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7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 курс. Блок 3: Криптография на практике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Панина Жанна Валерьевна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Выполнение контрольных заданий третьего блока внешнего курса</w:t>
      </w:r>
      <w:r>
        <w:t xml:space="preserve"> </w:t>
      </w:r>
      <w:r>
        <w:t xml:space="preserve">“Основы кибербезопасности”</w:t>
      </w:r>
      <w:r>
        <w:t xml:space="preserve">. В ходе выполнения контрольных заданий использовались материалы курса</w:t>
      </w:r>
      <w:r>
        <w:t xml:space="preserve"> </w:t>
      </w:r>
      <w:r>
        <w:t xml:space="preserve">[1]</w:t>
      </w:r>
      <w:r>
        <w:t xml:space="preserve">.</w:t>
      </w:r>
    </w:p>
    <w:bookmarkEnd w:id="9"/>
    <w:bookmarkStart w:id="82" w:name="выполнение-заданий-3-блока"/>
    <w:p>
      <w:pPr>
        <w:pStyle w:val="Heading1"/>
      </w:pPr>
      <w:r>
        <w:t xml:space="preserve">2. Выполнение заданий 3 блока</w:t>
      </w:r>
    </w:p>
    <w:bookmarkStart w:id="30" w:name="введение-в-криптографию"/>
    <w:p>
      <w:pPr>
        <w:pStyle w:val="Heading2"/>
      </w:pPr>
      <w:r>
        <w:t xml:space="preserve">2.1 Введение в криптографию</w:t>
      </w:r>
    </w:p>
    <w:p>
      <w:pPr>
        <w:pStyle w:val="FirstParagraph"/>
      </w:pPr>
      <w:r>
        <w:t xml:space="preserve">Для ответа на вопрос используется определение ассиметричного шифрования с двумя ключами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001"/>
          <w:p>
            <w:pPr>
              <w:pStyle w:val="Compact"/>
              <w:jc w:val="center"/>
            </w:pPr>
            <w:r>
              <w:drawing>
                <wp:inline>
                  <wp:extent cx="3733800" cy="1924807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48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Вопрос 1</w:t>
            </w:r>
          </w:p>
          <w:bookmarkEnd w:id="13"/>
        </w:tc>
      </w:tr>
    </w:tbl>
    <w:p>
      <w:pPr>
        <w:pStyle w:val="BodyText"/>
      </w:pPr>
      <w:r>
        <w:t xml:space="preserve">Отмечены основные условия для криптографической хэш-функции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002"/>
          <w:p>
            <w:pPr>
              <w:pStyle w:val="Compact"/>
              <w:jc w:val="center"/>
            </w:pPr>
            <w:r>
              <w:drawing>
                <wp:inline>
                  <wp:extent cx="3733800" cy="19012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1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Вопрос 2</w:t>
            </w:r>
          </w:p>
          <w:bookmarkEnd w:id="17"/>
        </w:tc>
      </w:tr>
    </w:tbl>
    <w:p>
      <w:pPr>
        <w:pStyle w:val="BodyText"/>
      </w:pPr>
      <w:r>
        <w:t xml:space="preserve">Отмечены алгоритмы цифровой подписи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003"/>
          <w:p>
            <w:pPr>
              <w:pStyle w:val="Compact"/>
              <w:jc w:val="center"/>
            </w:pPr>
            <w:r>
              <w:drawing>
                <wp:inline>
                  <wp:extent cx="3733800" cy="206031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03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Вопрос 3</w:t>
            </w:r>
          </w:p>
          <w:bookmarkEnd w:id="21"/>
        </w:tc>
      </w:tr>
    </w:tbl>
    <w:p>
      <w:pPr>
        <w:pStyle w:val="BodyText"/>
      </w:pPr>
      <w:r>
        <w:t xml:space="preserve">В информационной безопасности аутентификация сообщения или аутентификация источника данных - это свойство, которое гарантирует, что сообщение не было изменено во время передачи (целостность данных), и что принимающая сторона может проверить источник сообщения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4"/>
          <w:p>
            <w:pPr>
              <w:pStyle w:val="Compact"/>
              <w:jc w:val="center"/>
            </w:pPr>
            <w:r>
              <w:drawing>
                <wp:inline>
                  <wp:extent cx="3733800" cy="174363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4363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Вопрос 4</w:t>
            </w:r>
          </w:p>
          <w:bookmarkEnd w:id="25"/>
        </w:tc>
      </w:tr>
    </w:tbl>
    <w:p>
      <w:pPr>
        <w:pStyle w:val="BodyText"/>
      </w:pPr>
      <w:r>
        <w:t xml:space="preserve">Верно дано определение обмена ключами Диффи-Хэллмана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5"/>
          <w:p>
            <w:pPr>
              <w:pStyle w:val="Compact"/>
              <w:jc w:val="center"/>
            </w:pPr>
            <w:r>
              <w:drawing>
                <wp:inline>
                  <wp:extent cx="3733800" cy="170075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00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Вопрос 5</w:t>
            </w:r>
          </w:p>
          <w:bookmarkEnd w:id="29"/>
        </w:tc>
      </w:tr>
    </w:tbl>
    <w:bookmarkEnd w:id="30"/>
    <w:bookmarkStart w:id="51" w:name="цифровая-подпись"/>
    <w:p>
      <w:pPr>
        <w:pStyle w:val="Heading2"/>
      </w:pPr>
      <w:r>
        <w:t xml:space="preserve">2.2 Цифровая подпись</w:t>
      </w:r>
    </w:p>
    <w:p>
      <w:pPr>
        <w:pStyle w:val="FirstParagraph"/>
      </w:pPr>
      <w:r>
        <w:t xml:space="preserve">По определению цифровой подписи протокол ЭЦП относится к протоколам с публичным ключом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6"/>
          <w:p>
            <w:pPr>
              <w:pStyle w:val="Compact"/>
              <w:jc w:val="center"/>
            </w:pPr>
            <w:r>
              <w:drawing>
                <wp:inline>
                  <wp:extent cx="3733800" cy="1445763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576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Вопрос 6</w:t>
            </w:r>
          </w:p>
          <w:bookmarkEnd w:id="34"/>
        </w:tc>
      </w:tr>
    </w:tbl>
    <w:p>
      <w:pPr>
        <w:pStyle w:val="BodyText"/>
      </w:pPr>
      <w:r>
        <w:t xml:space="preserve">Алгоритм верификации электронной подписи состоит в следующем: на первом этапе получатель сообщения строит собственный вариант хэш-функции подписанного документа. На втором этапе происходит расшифровка хэш-функции, содержащейся в ообщении, с помощью открытого ключа отправителя. На третьем этапе производится сравнение двух хэш-функций. Их совпадение гарантирует одновременно подлинность содержимого документа и его авторства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7"/>
          <w:p>
            <w:pPr>
              <w:pStyle w:val="Compact"/>
              <w:jc w:val="center"/>
            </w:pPr>
            <w:r>
              <w:drawing>
                <wp:inline>
                  <wp:extent cx="3733800" cy="1911836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18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Вопрос 7</w:t>
            </w:r>
          </w:p>
          <w:bookmarkEnd w:id="38"/>
        </w:tc>
      </w:tr>
    </w:tbl>
    <w:p>
      <w:pPr>
        <w:pStyle w:val="BodyText"/>
      </w:pPr>
      <w:r>
        <w:t xml:space="preserve">Электронная подпись обеспечивает всё указанное, кроме конфиденциальности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8"/>
          <w:p>
            <w:pPr>
              <w:pStyle w:val="Compact"/>
              <w:jc w:val="center"/>
            </w:pPr>
            <w:r>
              <w:drawing>
                <wp:inline>
                  <wp:extent cx="3733800" cy="162935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9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Вопрос 8</w:t>
            </w:r>
          </w:p>
          <w:bookmarkEnd w:id="42"/>
        </w:tc>
      </w:tr>
    </w:tbl>
    <w:p>
      <w:pPr>
        <w:pStyle w:val="BodyText"/>
      </w:pPr>
      <w:r>
        <w:t xml:space="preserve">Для отправки налоговой отчётности в ФНС используется усиленная квалифицированная электронная подпись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9"/>
          <w:p>
            <w:pPr>
              <w:pStyle w:val="Compact"/>
              <w:jc w:val="center"/>
            </w:pPr>
            <w:r>
              <w:drawing>
                <wp:inline>
                  <wp:extent cx="3733800" cy="1593196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931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Вопрос 9</w:t>
            </w:r>
          </w:p>
          <w:bookmarkEnd w:id="46"/>
        </w:tc>
      </w:tr>
    </w:tbl>
    <w:p>
      <w:pPr>
        <w:pStyle w:val="BodyText"/>
      </w:pPr>
      <w:r>
        <w:t xml:space="preserve">Верный ответ указан на изображении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0"/>
          <w:p>
            <w:pPr>
              <w:pStyle w:val="Compact"/>
              <w:jc w:val="center"/>
            </w:pPr>
            <w:r>
              <w:drawing>
                <wp:inline>
                  <wp:extent cx="3733800" cy="1606497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64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Вопрос 10</w:t>
            </w:r>
          </w:p>
          <w:bookmarkEnd w:id="50"/>
        </w:tc>
      </w:tr>
    </w:tbl>
    <w:bookmarkEnd w:id="51"/>
    <w:bookmarkStart w:id="64" w:name="электронные-платежи"/>
    <w:p>
      <w:pPr>
        <w:pStyle w:val="Heading2"/>
      </w:pPr>
      <w:r>
        <w:t xml:space="preserve">2.3 Электронные платежи</w:t>
      </w:r>
    </w:p>
    <w:p>
      <w:pPr>
        <w:pStyle w:val="FirstParagraph"/>
      </w:pPr>
      <w:r>
        <w:t xml:space="preserve">Известные платёжные системы - Visa, MasterCard, МИР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11"/>
          <w:p>
            <w:pPr>
              <w:pStyle w:val="Compact"/>
              <w:jc w:val="center"/>
            </w:pPr>
            <w:r>
              <w:drawing>
                <wp:inline>
                  <wp:extent cx="3733800" cy="206487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648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Вопрос 11</w:t>
            </w:r>
          </w:p>
          <w:bookmarkEnd w:id="55"/>
        </w:tc>
      </w:tr>
    </w:tbl>
    <w:p>
      <w:pPr>
        <w:pStyle w:val="BodyText"/>
      </w:pPr>
      <w:r>
        <w:t xml:space="preserve">Верные варианты на изображении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12"/>
          <w:p>
            <w:pPr>
              <w:pStyle w:val="Compact"/>
              <w:jc w:val="center"/>
            </w:pPr>
            <w:r>
              <w:drawing>
                <wp:inline>
                  <wp:extent cx="3733800" cy="1912553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25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Вопрос 12</w:t>
            </w:r>
          </w:p>
          <w:bookmarkEnd w:id="59"/>
        </w:tc>
      </w:tr>
    </w:tbl>
    <w:p>
      <w:pPr>
        <w:pStyle w:val="BodyText"/>
      </w:pPr>
      <w:r>
        <w:t xml:space="preserve">При онлайн-платежах используется многофакторная аутентификация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3"/>
          <w:p>
            <w:pPr>
              <w:pStyle w:val="Compact"/>
              <w:jc w:val="center"/>
            </w:pPr>
            <w:r>
              <w:drawing>
                <wp:inline>
                  <wp:extent cx="3733800" cy="1886279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62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Вопрос 13</w:t>
            </w:r>
          </w:p>
          <w:bookmarkEnd w:id="63"/>
        </w:tc>
      </w:tr>
    </w:tbl>
    <w:bookmarkEnd w:id="64"/>
    <w:bookmarkStart w:id="81" w:name="блокчейн"/>
    <w:p>
      <w:pPr>
        <w:pStyle w:val="Heading2"/>
      </w:pPr>
      <w:r>
        <w:t xml:space="preserve">2.4 Блокчейн</w:t>
      </w:r>
    </w:p>
    <w:p>
      <w:pPr>
        <w:pStyle w:val="FirstParagraph"/>
      </w:pPr>
      <w:r>
        <w:t xml:space="preserve">Proof-of-Work (PoW, доказательство выполнения работы) - это алгоритм достижения консенсуса в блокчейне. Он используется для подтверждения транзанкций и создания новых блоков. С помощью PoW майнеры конкурируют друг с другом за завершение транзакций в сети и за вознаграждение. Пользователи сети отправляют друг другу цифровые токены, после чего все транзакции собираются в блоки и записываются в распределённый реестр, то есть, в блокчейн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4"/>
          <w:p>
            <w:pPr>
              <w:pStyle w:val="Compact"/>
              <w:jc w:val="center"/>
            </w:pPr>
            <w:r>
              <w:drawing>
                <wp:inline>
                  <wp:extent cx="3733800" cy="1928966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289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Вопрос 14</w:t>
            </w:r>
          </w:p>
          <w:bookmarkEnd w:id="68"/>
        </w:tc>
      </w:tr>
    </w:tbl>
    <w:p>
      <w:pPr>
        <w:pStyle w:val="BodyText"/>
      </w:pPr>
      <w:r>
        <w:t xml:space="preserve">Консенсус блокчейна - это процедура, в ходе которой участники сети достигают согласия о текущем состоянии данных в сети. Благодаря этому алгоритмы консенсуса устанавливают надёжность и доверие к самой сети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5"/>
          <w:p>
            <w:pPr>
              <w:pStyle w:val="Compact"/>
              <w:jc w:val="center"/>
            </w:pPr>
            <w:r>
              <w:drawing>
                <wp:inline>
                  <wp:extent cx="3733800" cy="1885691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856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Вопрос 15</w:t>
            </w:r>
          </w:p>
          <w:bookmarkEnd w:id="72"/>
        </w:tc>
      </w:tr>
    </w:tbl>
    <w:p>
      <w:pPr>
        <w:pStyle w:val="BodyText"/>
      </w:pPr>
      <w:r>
        <w:t xml:space="preserve">Ответ - цифровая подпись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6"/>
          <w:p>
            <w:pPr>
              <w:pStyle w:val="Compact"/>
              <w:jc w:val="center"/>
            </w:pPr>
            <w:r>
              <w:drawing>
                <wp:inline>
                  <wp:extent cx="3733800" cy="165438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4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Вопрос 16</w:t>
            </w:r>
          </w:p>
          <w:bookmarkEnd w:id="76"/>
        </w:tc>
      </w:tr>
    </w:tbl>
    <w:p>
      <w:pPr>
        <w:pStyle w:val="BodyText"/>
      </w:pPr>
      <w:r>
        <w:t xml:space="preserve">Все задания курса выполнены, мне пришла информация о прохождении, но сертификат не выдаётся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7"/>
          <w:p>
            <w:pPr>
              <w:pStyle w:val="Compact"/>
              <w:jc w:val="center"/>
            </w:pPr>
            <w:r>
              <w:drawing>
                <wp:inline>
                  <wp:extent cx="3733800" cy="2918124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18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Информация о завершении курса</w:t>
            </w:r>
          </w:p>
          <w:bookmarkEnd w:id="80"/>
        </w:tc>
      </w:tr>
    </w:tbl>
    <w:bookmarkEnd w:id="81"/>
    <w:bookmarkEnd w:id="82"/>
    <w:bookmarkStart w:id="83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Был пройден третий, завершающий блок курса и изучены его основные понятия.</w:t>
      </w:r>
    </w:p>
    <w:bookmarkEnd w:id="83"/>
    <w:bookmarkStart w:id="87" w:name="список-литературы"/>
    <w:p>
      <w:pPr>
        <w:pStyle w:val="Heading1"/>
      </w:pPr>
      <w:r>
        <w:t xml:space="preserve">Список литературы</w:t>
      </w:r>
    </w:p>
    <w:bookmarkStart w:id="86" w:name="refs"/>
    <w:bookmarkStart w:id="85" w:name="ref-stepik_infose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Балтийский федеральный университет имени Иммануила Канта. Основы кибербезопасности.</w:t>
      </w:r>
      <w:r>
        <w:t xml:space="preserve"> </w:t>
      </w:r>
      <w:hyperlink r:id="rId84">
        <w:r>
          <w:rPr>
            <w:rStyle w:val="Hyperlink"/>
          </w:rPr>
          <w:t xml:space="preserve">https://stepik.org/lesson/666227/step/2?unit=664216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7" Target="media/rId47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hyperlink" Id="rId84" Target="https://stepik.org/lesson/666227/step/2?unit=6642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4" Target="https://stepik.org/lesson/666227/step/2?unit=6642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3: Криптография на практике</dc:title>
  <dc:creator>Панина Жанна Валерьевна</dc:creator>
  <dc:language>ru-RU</dc:language>
  <cp:keywords/>
  <dcterms:created xsi:type="dcterms:W3CDTF">2026-05-12T08:01:47Z</dcterms:created>
  <dcterms:modified xsi:type="dcterms:W3CDTF">2026-05-12T08:01:47Z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Основы информационной безопасности</vt:lpwstr>
  </property>
  <property fmtid="{D5CDD505-2E9C-101B-9397-08002B2CF9AE}" pid="17" name="toc-title">
    <vt:lpwstr>Содержание</vt:lpwstr>
  </property>
</Properties>
</file>