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5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5 Этап. Использование Burp Suite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инструмент Burp Suite.</w:t>
      </w:r>
    </w:p>
    <w:bookmarkEnd w:id="9"/>
    <w:bookmarkStart w:id="10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 проникающего в веб-приложения. Эти инструменты позволяют сканировать, анализировать и использовать веб-приложения с помощью ручных и автоматических методов. Интеграция интерфейсов этих инструментов обеспечивает полную платформу атаки для обмена информацией между одним или несколькими инструментами, что делает Burp Suite очень эффективной и простой в использовании платформой для атаки веб-приложений.</w:t>
      </w:r>
    </w:p>
    <w:bookmarkEnd w:id="10"/>
    <w:bookmarkStart w:id="107" w:name="выполнение-работы"/>
    <w:p>
      <w:pPr>
        <w:pStyle w:val="Heading1"/>
      </w:pPr>
      <w:r>
        <w:t xml:space="preserve">3. Выполнение работы</w:t>
      </w:r>
    </w:p>
    <w:p>
      <w:pPr>
        <w:pStyle w:val="FirstParagraph"/>
      </w:pPr>
      <w:r>
        <w:t xml:space="preserve">Запускаю локальный сервер для дальнейшего тестирования Burp Suite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121250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2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mysql и apache2</w:t>
            </w:r>
          </w:p>
          <w:bookmarkEnd w:id="14"/>
        </w:tc>
      </w:tr>
    </w:tbl>
    <w:p>
      <w:pPr>
        <w:pStyle w:val="BodyText"/>
      </w:pPr>
      <w:r>
        <w:t xml:space="preserve">Запускаю инструмент Burp Suite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3733800" cy="1949701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Burp Suite</w:t>
            </w:r>
          </w:p>
          <w:bookmarkEnd w:id="18"/>
        </w:tc>
      </w:tr>
    </w:tbl>
    <w:p>
      <w:pPr>
        <w:pStyle w:val="BodyText"/>
      </w:pPr>
      <w:r>
        <w:t xml:space="preserve">Открываю сетевые настройки браузера для подготовки к работе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3"/>
          <w:p>
            <w:pPr>
              <w:pStyle w:val="Compact"/>
              <w:jc w:val="center"/>
            </w:pPr>
            <w:r>
              <w:drawing>
                <wp:inline>
                  <wp:extent cx="3733800" cy="95108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1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Сетевые настройки браузера</w:t>
            </w:r>
          </w:p>
          <w:bookmarkEnd w:id="22"/>
        </w:tc>
      </w:tr>
    </w:tbl>
    <w:p>
      <w:pPr>
        <w:pStyle w:val="BodyText"/>
      </w:pPr>
      <w:r>
        <w:t xml:space="preserve">Изменяю настройки сервера для работы с прокси и захвата данных с помощью Burp Suite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  <w:r>
              <w:drawing>
                <wp:inline>
                  <wp:extent cx="3733800" cy="319438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4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настроек</w:t>
            </w:r>
          </w:p>
          <w:bookmarkEnd w:id="26"/>
        </w:tc>
      </w:tr>
    </w:tbl>
    <w:p>
      <w:pPr>
        <w:pStyle w:val="BodyText"/>
      </w:pPr>
      <w:r>
        <w:t xml:space="preserve">Изменяю настройки Proxy в Burp Suite для дальнейшей работы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3733800" cy="217693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6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настроек Proxy</w:t>
            </w:r>
          </w:p>
          <w:bookmarkEnd w:id="30"/>
        </w:tc>
      </w:tr>
    </w:tbl>
    <w:p>
      <w:pPr>
        <w:pStyle w:val="BodyText"/>
      </w:pPr>
      <w:r>
        <w:t xml:space="preserve">Во вкладке Proxy устанавливаю значение</w:t>
      </w:r>
      <w:r>
        <w:t xml:space="preserve"> </w:t>
      </w:r>
      <w:r>
        <w:t xml:space="preserve">“Intercept”</w:t>
      </w:r>
      <w:r>
        <w:t xml:space="preserve"> </w:t>
      </w:r>
      <w:r>
        <w:t xml:space="preserve">на</w:t>
      </w:r>
      <w:r>
        <w:t xml:space="preserve"> </w:t>
      </w:r>
      <w:r>
        <w:t xml:space="preserve">“on”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Включение Intercept</w:t>
            </w:r>
          </w:p>
          <w:bookmarkEnd w:id="34"/>
        </w:tc>
      </w:tr>
    </w:tbl>
    <w:p>
      <w:pPr>
        <w:pStyle w:val="BodyText"/>
      </w:pPr>
      <w:r>
        <w:t xml:space="preserve">Устанавливаю параметр</w:t>
      </w:r>
      <w:r>
        <w:t xml:space="preserve"> </w:t>
      </w:r>
      <w:r>
        <w:rPr>
          <w:rStyle w:val="VerbatimChar"/>
        </w:rPr>
        <w:t xml:space="preserve">network_allow_hijacking_localhost</w:t>
      </w:r>
      <w:r>
        <w:t xml:space="preserve"> </w:t>
      </w:r>
      <w:r>
        <w:t xml:space="preserve">на true, чтобы Burp Suite корректно работал с локальным сервером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7"/>
          <w:p>
            <w:pPr>
              <w:pStyle w:val="Compact"/>
              <w:jc w:val="center"/>
            </w:pPr>
            <w:r>
              <w:drawing>
                <wp:inline>
                  <wp:extent cx="3733800" cy="86704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Параметр network_allow_hijacking_localhost</w:t>
            </w:r>
          </w:p>
          <w:bookmarkEnd w:id="38"/>
        </w:tc>
      </w:tr>
    </w:tbl>
    <w:p>
      <w:pPr>
        <w:pStyle w:val="BodyText"/>
      </w:pPr>
      <w:r>
        <w:t xml:space="preserve">Пытаюсь зайти в браузере на DVWA, сразу во вкладке Proxy вижу захваченный запрос. Нажимаю</w:t>
      </w:r>
      <w:r>
        <w:t xml:space="preserve"> </w:t>
      </w:r>
      <w:r>
        <w:t xml:space="preserve">“Forward”</w:t>
      </w:r>
      <w:r>
        <w:t xml:space="preserve"> </w:t>
      </w:r>
      <w:r>
        <w:t xml:space="preserve">для загрузки страницы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r>
              <w:drawing>
                <wp:inline>
                  <wp:extent cx="3733800" cy="126989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9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Захваченный запрос</w:t>
            </w:r>
          </w:p>
          <w:bookmarkEnd w:id="42"/>
        </w:tc>
      </w:tr>
    </w:tbl>
    <w:p>
      <w:pPr>
        <w:pStyle w:val="BodyText"/>
      </w:pPr>
      <w:r>
        <w:t xml:space="preserve">Сразу загрузилась страница авторизации и поменялся текс запроса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9"/>
          <w:p>
            <w:pPr>
              <w:pStyle w:val="Compact"/>
              <w:jc w:val="center"/>
            </w:pPr>
            <w:r>
              <w:drawing>
                <wp:inline>
                  <wp:extent cx="3733800" cy="127201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2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Страница авторизации и изменения</w:t>
            </w:r>
          </w:p>
          <w:bookmarkEnd w:id="46"/>
        </w:tc>
      </w:tr>
    </w:tbl>
    <w:p>
      <w:pPr>
        <w:pStyle w:val="BodyText"/>
      </w:pPr>
      <w:r>
        <w:t xml:space="preserve">Можем перейти на вкладку Target, чтобы посмотреть историю запросов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211141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1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Вкладка Target</w:t>
            </w:r>
          </w:p>
          <w:bookmarkEnd w:id="50"/>
        </w:tc>
      </w:tr>
    </w:tbl>
    <w:p>
      <w:pPr>
        <w:pStyle w:val="BodyText"/>
      </w:pPr>
      <w:r>
        <w:t xml:space="preserve">Ввожу неверные случайные данные для входа, пытаюсь залогиниться и вижу в запросе строку, в которой отображаются введённые мной данные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125649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6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Попытка входа</w:t>
            </w:r>
          </w:p>
          <w:bookmarkEnd w:id="54"/>
        </w:tc>
      </w:tr>
    </w:tbl>
    <w:p>
      <w:pPr>
        <w:pStyle w:val="BodyText"/>
      </w:pPr>
      <w:r>
        <w:t xml:space="preserve">Этот запрос можем также найти во вкладке Target, нажав правой кнопкой мыши на хост нужного запроса и далее</w:t>
      </w:r>
      <w:r>
        <w:t xml:space="preserve"> </w:t>
      </w:r>
      <w:r>
        <w:t xml:space="preserve">“Send to Intruder”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2"/>
          <w:p>
            <w:pPr>
              <w:pStyle w:val="Compact"/>
              <w:jc w:val="center"/>
            </w:pPr>
            <w:r>
              <w:drawing>
                <wp:inline>
                  <wp:extent cx="3733800" cy="270261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2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Вкладка Target</w:t>
            </w:r>
          </w:p>
          <w:bookmarkEnd w:id="58"/>
        </w:tc>
      </w:tr>
    </w:tbl>
    <w:p>
      <w:pPr>
        <w:pStyle w:val="BodyText"/>
      </w:pPr>
      <w:r>
        <w:t xml:space="preserve">Переходим на вкладку Intruder, видим свой запрос и значение по умолчанию у типа атаки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3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Вкладка Intruder</w:t>
            </w:r>
          </w:p>
          <w:bookmarkEnd w:id="62"/>
        </w:tc>
      </w:tr>
    </w:tbl>
    <w:p>
      <w:pPr>
        <w:pStyle w:val="BodyText"/>
      </w:pPr>
      <w:r>
        <w:t xml:space="preserve">Изменяем значение типа атаки на Cluster Bomb attack и проставляем специальные символы у имени пользователя и пароля - эти данные и будем пробивать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Изменение типа атаки</w:t>
            </w:r>
          </w:p>
          <w:bookmarkEnd w:id="66"/>
        </w:tc>
      </w:tr>
    </w:tbl>
    <w:p>
      <w:pPr>
        <w:pStyle w:val="BodyText"/>
      </w:pPr>
      <w:r>
        <w:t xml:space="preserve">Составляем два списка со значениями для подбора в Payload setting - сначала первый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Первый список со значениями</w:t>
            </w:r>
          </w:p>
          <w:bookmarkEnd w:id="70"/>
        </w:tc>
      </w:tr>
    </w:tbl>
    <w:p>
      <w:pPr>
        <w:pStyle w:val="BodyText"/>
      </w:pPr>
      <w:r>
        <w:t xml:space="preserve">Затем второй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 В строке Request count видим число - это нужное количество запросов, чтобы проверить все возможные пары пользователь-пароль.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6"/>
          <w:p>
            <w:pPr>
              <w:pStyle w:val="Compact"/>
              <w:jc w:val="center"/>
            </w:pPr>
            <w:r>
              <w:drawing>
                <wp:inline>
                  <wp:extent cx="3733800" cy="283638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6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Второй список со значениями</w:t>
            </w:r>
          </w:p>
          <w:bookmarkEnd w:id="74"/>
        </w:tc>
      </w:tr>
    </w:tbl>
    <w:p>
      <w:pPr>
        <w:pStyle w:val="BodyText"/>
      </w:pPr>
      <w:r>
        <w:t xml:space="preserve">Нажимаю start attack, и начинается подбор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7"/>
          <w:p>
            <w:pPr>
              <w:pStyle w:val="Compact"/>
              <w:jc w:val="center"/>
            </w:pPr>
            <w:r>
              <w:drawing>
                <wp:inline>
                  <wp:extent cx="3733800" cy="109224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Запуск атаки</w:t>
            </w:r>
          </w:p>
          <w:bookmarkEnd w:id="78"/>
        </w:tc>
      </w:tr>
    </w:tbl>
    <w:p>
      <w:pPr>
        <w:pStyle w:val="BodyText"/>
      </w:pPr>
      <w:r>
        <w:t xml:space="preserve">При открытии результата каждого post-запроса можем увидеть полученный get-запрос: по нему видно, куда нас перенаправило после выполнения ввода пары пользователь-пароль. Например, в случае с подбором пары password-abcdefg нас перенаправило на login.php, это значит, что пара не подходит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8"/>
          <w:p>
            <w:pPr>
              <w:pStyle w:val="Compact"/>
              <w:jc w:val="center"/>
            </w:pPr>
            <w:r>
              <w:drawing>
                <wp:inline>
                  <wp:extent cx="3733800" cy="179414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4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Результаты подбора</w:t>
            </w:r>
          </w:p>
          <w:bookmarkEnd w:id="82"/>
        </w:tc>
      </w:tr>
    </w:tbl>
    <w:p>
      <w:pPr>
        <w:pStyle w:val="BodyText"/>
      </w:pPr>
      <w:r>
        <w:t xml:space="preserve">Проверяем результат пары admin-password во вкладке Response; здесь нас перенаправило на страницу index.php, значит, эта пара верна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9"/>
          <w:p>
            <w:pPr>
              <w:pStyle w:val="Compact"/>
              <w:jc w:val="center"/>
            </w:pPr>
            <w:r>
              <w:drawing>
                <wp:inline>
                  <wp:extent cx="3733800" cy="202225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2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Правильно подобранная пара</w:t>
            </w:r>
          </w:p>
          <w:bookmarkEnd w:id="86"/>
        </w:tc>
      </w:tr>
    </w:tbl>
    <w:p>
      <w:pPr>
        <w:pStyle w:val="BodyText"/>
      </w:pPr>
      <w:r>
        <w:t xml:space="preserve">Если хотим дополнительно проверить с помощью Repeater, нажимаем правой кнопкой мыши на интересующий нас запрос и выбираем</w:t>
      </w:r>
      <w:r>
        <w:t xml:space="preserve"> </w:t>
      </w:r>
      <w:r>
        <w:t xml:space="preserve">“Send to Repeater”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20"/>
          <w:p>
            <w:pPr>
              <w:pStyle w:val="Compact"/>
              <w:jc w:val="center"/>
            </w:pPr>
            <w:r>
              <w:drawing>
                <wp:inline>
                  <wp:extent cx="3733800" cy="204018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0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через Repeater</w:t>
            </w:r>
          </w:p>
          <w:bookmarkEnd w:id="90"/>
        </w:tc>
      </w:tr>
    </w:tbl>
    <w:p>
      <w:pPr>
        <w:pStyle w:val="BodyText"/>
      </w:pPr>
      <w:r>
        <w:t xml:space="preserve">Перехожу во вкладку</w:t>
      </w:r>
      <w:r>
        <w:t xml:space="preserve"> </w:t>
      </w:r>
      <w:r>
        <w:t xml:space="preserve">“Repeater”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21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Вкладка Repeater</w:t>
            </w:r>
          </w:p>
          <w:bookmarkEnd w:id="94"/>
        </w:tc>
      </w:tr>
    </w:tbl>
    <w:p>
      <w:pPr>
        <w:pStyle w:val="BodyText"/>
      </w:pPr>
      <w:r>
        <w:t xml:space="preserve">Нажав кнопку</w:t>
      </w:r>
      <w:r>
        <w:t xml:space="preserve"> </w:t>
      </w:r>
      <w:r>
        <w:t xml:space="preserve">“send”</w:t>
      </w:r>
      <w:r>
        <w:t xml:space="preserve">, получаю в</w:t>
      </w:r>
      <w:r>
        <w:t xml:space="preserve"> </w:t>
      </w:r>
      <w:r>
        <w:t xml:space="preserve">“Response”</w:t>
      </w:r>
      <w:r>
        <w:t xml:space="preserve"> </w:t>
      </w:r>
      <w:r>
        <w:t xml:space="preserve">в строке Location перенаправление на index.php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Просмотр Response</w:t>
            </w:r>
          </w:p>
          <w:bookmarkEnd w:id="98"/>
        </w:tc>
      </w:tr>
    </w:tbl>
    <w:p>
      <w:pPr>
        <w:pStyle w:val="BodyText"/>
      </w:pPr>
      <w:r>
        <w:t xml:space="preserve">Нажав на</w:t>
      </w:r>
      <w:r>
        <w:t xml:space="preserve"> </w:t>
      </w:r>
      <w:r>
        <w:rPr>
          <w:rStyle w:val="VerbatimChar"/>
        </w:rPr>
        <w:t xml:space="preserve">Follow redirection</w:t>
      </w:r>
      <w:r>
        <w:t xml:space="preserve">, получаю нескомпилироанный html-код в окне Response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3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html код</w:t>
            </w:r>
          </w:p>
          <w:bookmarkEnd w:id="102"/>
        </w:tc>
      </w:tr>
    </w:tbl>
    <w:p>
      <w:pPr>
        <w:pStyle w:val="BodyText"/>
      </w:pPr>
      <w:r>
        <w:t xml:space="preserve">Захожу в окно Render и вижу изображение полученной страницы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Как выглядит полученная страница в Render</w:t>
            </w:r>
          </w:p>
          <w:bookmarkEnd w:id="106"/>
        </w:tc>
      </w:tr>
    </w:tbl>
    <w:bookmarkEnd w:id="107"/>
    <w:bookmarkStart w:id="10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работы я научилась использовать инструмент Burp Suite.</w:t>
      </w:r>
    </w:p>
    <w:bookmarkEnd w:id="108"/>
    <w:bookmarkStart w:id="110" w:name="список-литературы"/>
    <w:p>
      <w:pPr>
        <w:pStyle w:val="Heading1"/>
      </w:pPr>
      <w:r>
        <w:t xml:space="preserve">Список литературы</w:t>
      </w:r>
    </w:p>
    <w:bookmarkStart w:id="109" w:name="refs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5" Target="media/rId1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Панина Жанна Валерьевна</dc:creator>
  <dc:language>ru-RU</dc:language>
  <cp:keywords/>
  <dcterms:created xsi:type="dcterms:W3CDTF">2026-05-09T23:25:11Z</dcterms:created>
  <dcterms:modified xsi:type="dcterms:W3CDTF">2026-05-09T23:25:11Z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5 Этап. Использование Burp Suite</vt:lpwstr>
  </property>
  <property fmtid="{D5CDD505-2E9C-101B-9397-08002B2CF9AE}" pid="17" name="toc-title">
    <vt:lpwstr>Содержание</vt:lpwstr>
  </property>
</Properties>
</file>