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3E50"/>
          <w:sz w:val="36"/>
          <w:szCs w:val="36"/>
        </w:rPr>
        <w:t xml:space="preserve">WINTAK MESHTASTIC PLUGIN</w:t>
      </w:r>
    </w:p>
    <w:p>
      <w:pPr>
        <w:spacing w:after="60"/>
        <w:jc w:val="center"/>
      </w:pPr>
      <w:r>
        <w:rPr>
          <w:rFonts w:ascii="Arial" w:cs="Arial" w:eastAsia="Arial" w:hAnsi="Arial"/>
          <w:color w:val="2B3E50"/>
          <w:sz w:val="28"/>
          <w:szCs w:val="28"/>
        </w:rPr>
        <w:t xml:space="preserve">Requirements Supplement</w:t>
      </w:r>
    </w:p>
    <w:p>
      <w:pPr>
        <w:spacing w:after="60"/>
        <w:jc w:val="center"/>
      </w:pPr>
      <w:r>
        <w:rPr>
          <w:rFonts w:ascii="Arial" w:cs="Arial" w:eastAsia="Arial" w:hAnsi="Arial"/>
          <w:color w:val="666666"/>
          <w:sz w:val="20"/>
          <w:szCs w:val="20"/>
        </w:rPr>
        <w:t xml:space="preserve">Phase 0 Spike Plan | Acceptance Criteria | Security | Fallback Designs | Architectural Notes</w:t>
      </w:r>
    </w:p>
    <w:p>
      <w:pPr>
        <w:spacing w:after="200"/>
        <w:jc w:val="center"/>
      </w:pPr>
      <w:r>
        <w:rPr>
          <w:rFonts w:ascii="Arial" w:cs="Arial" w:eastAsia="Arial" w:hAnsi="Arial"/>
          <w:color w:val="888888"/>
          <w:sz w:val="18"/>
          <w:szCs w:val="18"/>
        </w:rPr>
        <w:t xml:space="preserve">Project: Echo6 TAK Infrastructure  |  Version 1.0-S  |  March 2026  |  Classification: UNCLASSIFIED</w:t>
      </w:r>
    </w:p>
    <w:p>
      <w:pPr>
        <w:pStyle w:val="Heading1"/>
      </w:pPr>
      <w:r>
        <w:t xml:space="preserve">A. Phase 0: SDK Investigation Spike</w:t>
      </w:r>
    </w:p>
    <w:p>
      <w:pPr>
        <w:spacing w:after="120"/>
      </w:pPr>
      <w:r>
        <w:rPr>
          <w:rFonts w:ascii="Arial" w:cs="Arial" w:eastAsia="Arial" w:hAnsi="Arial"/>
          <w:sz w:val="22"/>
          <w:szCs w:val="22"/>
        </w:rPr>
        <w:t xml:space="preserve">Before committing resources to Phase 1 development, a one-week (5 business days) investigation spike will resolve the open SDK questions identified in Section 8 of the base requirements document. The outcome of this spike will directly shape the architecture and may require requirement modifications before Phase 1 begins.</w:t>
      </w:r>
    </w:p>
    <w:p>
      <w:pPr>
        <w:pStyle w:val="Heading2"/>
      </w:pPr>
      <w:r>
        <w:t xml:space="preserve">A.1 Spike Objectives</w:t>
      </w:r>
    </w:p>
    <w:p>
      <w:pPr>
        <w:spacing w:after="120"/>
      </w:pPr>
      <w:r>
        <w:rPr>
          <w:rFonts w:ascii="Arial" w:cs="Arial" w:eastAsia="Arial" w:hAnsi="Arial"/>
          <w:sz w:val="22"/>
          <w:szCs w:val="22"/>
        </w:rPr>
        <w:t xml:space="preserve">Each objective maps to an open question from the base document. The spike team should produce a short written finding for each item with code samples or SDK documentation excerpts where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2360"/>
      </w:tblGrid>
      <w:tr>
        <w:tc>
          <w:tcPr>
            <w:tcW w:type="dxa" w:w="12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26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Investigation Area</w:t>
            </w:r>
          </w:p>
        </w:tc>
        <w:tc>
          <w:tcPr>
            <w:tcW w:type="dxa" w:w="32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Key Questions</w:t>
            </w:r>
          </w:p>
        </w:tc>
        <w:tc>
          <w:tcPr>
            <w:tcW w:type="dxa" w:w="2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Impacted Requirements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SDK Acquisition &amp; Project Setup</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Obtain SDK from tak.gov. Confirm .NET target framework. Create skeleton plugin project that loads in WinTAK.</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requirements</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CoT Dispatch Mechanism</w:t>
            </w:r>
          </w:p>
        </w:tc>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Confirm CotDispatcher.Dispatch() or identify alternate injection API. Test injecting a synthetic CoT event and verify it renders on map.</w:t>
            </w:r>
          </w:p>
        </w:tc>
        <w:tc>
          <w:tcPr>
            <w:tcW w:type="dxa" w:w="2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CON-01, NOD-01, all PLI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Contact/Detail Panel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 plugins inject custom UI sections into the node detail panel? If not, can a standalone popup/panel be triggered from a map marker click event?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TEL-03, NBR-01, NOD-05</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Chat Group API</w:t>
            </w:r>
          </w:p>
        </w:tc>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Can plugins create and route messages to chat groups/rooms programmatically? If not, can a plugin present its own chat panel?</w:t>
            </w:r>
          </w:p>
        </w:tc>
        <w:tc>
          <w:tcPr>
            <w:tcW w:type="dxa" w:w="2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CHN-02, MSG-01, MSG-02, MSG-03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 Drawing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Can plugins draw polylines/shapes on the map layer? What about toggling layer visibility?</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NBR-02, NBR-03, NBR-04</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Settings Panel Integration</w:t>
            </w:r>
          </w:p>
        </w:tc>
        <w:tc>
          <w:tcPr>
            <w:tcW w:type="dxa" w:w="3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How do plugins register settings in WinTAK preferences? If not supported, confirm a plugin-owned settings window is viable.</w:t>
            </w:r>
          </w:p>
        </w:tc>
        <w:tc>
          <w:tcPr>
            <w:tcW w:type="dxa" w:w="2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All settings/config requirements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Lifecycle &amp; Integration Test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Document init/shutdown hooks. Build end-to-end proof: plugin connects to Meshtastic node via TCP, deserializes a position packet, injects CoT, and marker appears on map.</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 requirements</w:t>
            </w:r>
          </w:p>
        </w:tc>
      </w:tr>
    </w:tbl>
    <w:p>
      <w:pPr>
        <w:spacing w:after="80"/>
      </w:pPr>
    </w:p>
    <w:p>
      <w:pPr>
        <w:pStyle w:val="Heading2"/>
      </w:pPr>
      <w:r>
        <w:t xml:space="preserve">A.2 Spike Deliverables</w:t>
      </w:r>
    </w:p>
    <w:p>
      <w:pPr>
        <w:spacing w:after="120"/>
      </w:pPr>
      <w:r>
        <w:rPr>
          <w:rFonts w:ascii="Arial" w:cs="Arial" w:eastAsia="Arial" w:hAnsi="Arial"/>
          <w:sz w:val="22"/>
          <w:szCs w:val="22"/>
        </w:rPr>
        <w:t xml:space="preserve">1. SDK Findings Report: Written answers to each investigation area with code samples, API signatures, or confirmed limitations.</w:t>
      </w:r>
    </w:p>
    <w:p>
      <w:pPr>
        <w:spacing w:after="120"/>
      </w:pPr>
      <w:r>
        <w:rPr>
          <w:rFonts w:ascii="Arial" w:cs="Arial" w:eastAsia="Arial" w:hAnsi="Arial"/>
          <w:sz w:val="22"/>
          <w:szCs w:val="22"/>
        </w:rPr>
        <w:t xml:space="preserve">2. Skeleton Plugin: A minimal .dll that loads into WinTAK, connects to a Meshtastic node over TCP, and places one CoT marker on the map.</w:t>
      </w:r>
    </w:p>
    <w:p>
      <w:pPr>
        <w:spacing w:after="120"/>
      </w:pPr>
      <w:r>
        <w:rPr>
          <w:rFonts w:ascii="Arial" w:cs="Arial" w:eastAsia="Arial" w:hAnsi="Arial"/>
          <w:sz w:val="22"/>
          <w:szCs w:val="22"/>
        </w:rPr>
        <w:t xml:space="preserve">3. Requirements Impact Assessment: A list of any “Must” requirements from the base document that need redesign based on SDK limitations, with recommended fallback approaches (see Section D of this supplement).</w:t>
      </w:r>
    </w:p>
    <w:p>
      <w:pPr>
        <w:spacing w:after="120"/>
      </w:pPr>
      <w:r>
        <w:rPr>
          <w:rFonts w:ascii="Arial" w:cs="Arial" w:eastAsia="Arial" w:hAnsi="Arial"/>
          <w:sz w:val="22"/>
          <w:szCs w:val="22"/>
        </w:rPr>
        <w:t xml:space="preserve">4. Go/No-Go Recommendation: Confirmation that the plugin approach is viable, or identification of blockers that require escalation.</w:t>
      </w:r>
    </w:p>
    <w:p>
      <w:pPr>
        <w:pStyle w:val="Heading2"/>
      </w:pPr>
      <w:r>
        <w:t xml:space="preserve">A.3 Spike Resources</w:t>
      </w:r>
    </w:p>
    <w:p>
      <w:pPr>
        <w:spacing w:after="120"/>
      </w:pPr>
      <w:r>
        <w:rPr>
          <w:rFonts w:ascii="Arial" w:cs="Arial" w:eastAsia="Arial" w:hAnsi="Arial"/>
          <w:sz w:val="22"/>
          <w:szCs w:val="22"/>
        </w:rPr>
        <w:t xml:space="preserve">Personnel: 1 developer with C# / .NET experience and TAK familiarity. Environment: Windows machine with WinTAK 4.x installed, TAK Server 5.x accessible, one Meshtastic node reachable via TCP. Access: tak.gov credentials for SDK download.</w:t>
      </w:r>
    </w:p>
    <w:p>
      <w:r>
        <w:br w:type="page"/>
      </w:r>
    </w:p>
    <w:p>
      <w:pPr>
        <w:pStyle w:val="Heading1"/>
      </w:pPr>
      <w:r>
        <w:t xml:space="preserve">B. Acceptance Criteria</w:t>
      </w:r>
    </w:p>
    <w:p>
      <w:pPr>
        <w:spacing w:after="120"/>
      </w:pPr>
      <w:r>
        <w:rPr>
          <w:rFonts w:ascii="Arial" w:cs="Arial" w:eastAsia="Arial" w:hAnsi="Arial"/>
          <w:sz w:val="22"/>
          <w:szCs w:val="22"/>
        </w:rPr>
        <w:t xml:space="preserve">The following acceptance criteria supplement the functional requirements in Section 5 of the base document. Each criterion is verifiable and includes default values for configurable parameters.</w:t>
      </w:r>
    </w:p>
    <w:p>
      <w:pPr>
        <w:pStyle w:val="Heading2"/>
      </w:pPr>
      <w:r>
        <w:t xml:space="preserve">B.1 Connection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CON-01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successfully connects to a Meshtastic node at a user-configured hostname:port. Connection established within 10 seconds on a local network. Plugin receives at least one valid protobuf packet after connecting.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Default port: 4403</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CON-02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Status indicator displays three distinct states: green/connected, red/disconnected, yellow/reconnecting. State transitions occur within 2 seconds of actual connection state change.</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CON-03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 TCP connection loss, plugin automatically retries connection. Retry interval is configurable. Plugin attempts reconnection indefinitely until manually stopped or connection succeeds. No WinTAK UI freeze during reconnection.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Default retry interval: 15 seconds. Configurable range: 5–60 seconds.</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CON-04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Deferred to Phase 3. Architecture accommodates future multi-node by keying node state as (connectionId, nodeId).</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B.2 Node Display &amp;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NOD-01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Mesh node markers on the WinTAK map display the Meshtastic shortname as the callsign label. If shortname is unavailable, display the node’s hex ID (e.g., !a1b2c3d4).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NOD-02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Nodes heard on different Meshtastic channels render with distinct TAK team colors. At least 8 team colors are supported. Nodes heard on multiple channels use the lowest-index channel color.</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Default mapping: Ch0=Cyan, Ch1=Green, Ch2=Yellow, Ch3=Orange, Ch4=Red, Ch5=Purple, Ch6=White, Ch7=Magenta. Configurable.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NOD-03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CoT type string reflects device role where reported in NodeInfo. Router nodes use a distinct icon from client/tracker nodes.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Mapping: CLIENT→a-f-G-U-C, ROUTER→a-f-G-U-C-R (custom), TRACKER→a-f-G-E-S. Fallback: a-f-G-U-C.</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NOD-04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Nodes that have not sent a position update within the configured stale timeout change to a dimmed/grayed marker. Stale nodes are not removed from the map until the cleanup timeout.</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Default stale timeout: 30 minutes. Default cleanup timeout: 24 hours. Both configurable.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NOD-05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Clicking a mesh node marker displays a detail panel showing: long name, short name, hardware model, firmware version, last heard timestamp, and mesh node number (hex). All fields gracefully show “Unknown” if not yet received.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B.3 Channel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CHN-01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Within 30 seconds of connection, the plugin UI lists all channels reported by the Meshtastic node’s config. Channel list updates if node config changes.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CHN-02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Each discovered Meshtastic channel is available as a distinct chat destination in WinTAK. Messages from mesh nodes on channel N appear only in the channel N chat group.</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CHN-03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Toggling a channel to “off” stops position and message CoT injection from that channel. Re-enabling restores reception. Toggle state persists across WinTAK restarts.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Default: all channels enabled.</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CHN-04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A dropdown or selector is visible when composing outbound messages. The selector lists all enabled channels by name. Selecting a channel routes the outbound message to that channel index.</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CHN-06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Channel index 0 is pre-selected in the outbound channel selector on plugin startup and after each sent message.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B.4 Chat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MSG-01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Inbound TEXT_MESSAGE_APP packets display in WinTAK chat with the sender’s shortname as the contact name. If shortname is unknown, the node’s hex ID is used.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MSG-02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Messages from different Meshtastic channels do not appear in the same chat window. Each channel’s messages are isolated to their respective group.</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MSG-03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Operator can type a message, select a target channel, and send. The message arrives on the mesh within 5 seconds (excluding mesh relay hops). Sent messages appear in the local chat window as confirmation.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Max message length: 228 bytes (Meshtastic limit).</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MSG-04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Operator can select a specific mesh node as a DM recipient. The message is sent as a Meshtastic direct message (destination = node ID). DMs appear in a separate chat context from channel messages.</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MSG-05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ATAK_PLUGIN packets with compressed payloads are detected. If decompression succeeds, the content is processed normally. If decompression fails, a log warning is emitted and the packet is discarded without error.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B.5 Telemetry &amp; Sensor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TEL-01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detail panel displays battery percentage (0–100%), voltage (V), uptime (formatted as Xd Xh Xm), and channel utilization (%). Fields show “N/A” if not received.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TEL-02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Environment section displays temperature, humidity (%), barometric pressure, gas resistance (Ω), and IAQ index. Missing sensor fields are hidden (not shown as N/A) since not all hardware reports all metrics.</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Default temp unit: °F. Default pressure unit: inHg. Configurable to °C / hPa.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TEL-03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Telemetry data is displayed in a structured, labeled panel with sections for device, environment, and power. Data is NOT presented as raw remarks text or a single unformatted string.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TEL-04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When a new TELEMETRY_APP packet is received for a node whose detail panel is currently open, the displayed values update within 2 seconds without requiring the operator to close and reopen the panel.</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TEL-06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Power metrics (voltage, current in mA) displayed in device telemetry section where reported by the node.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B.6 Neighbor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 ID</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Defaults / Thresholds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NBR-01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detail panel includes a neighbor section listing each known neighbor with: node name (or hex ID), SNR (dB), and last update timestamp. List sorted by SNR descending.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NBR-02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When topology overlay is enabled, polylines are drawn on the map between each node and its reported neighbors. Lines are removed when overlay is disabled.</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Overlay off by default.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NBR-03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Neighbor lines use color coding based on SNR: green ≥ 5 dB, yellow ≥ 0 dB, red &lt; 0 dB. Thresholds are configurable in settings.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Green: SNR ≥ 5, Yellow: 0 ≤ SNR &lt; 5, Red: SNR &lt; 0.</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NBR-05</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Neighbor data updates in the detail panel and topology overlay within 5 seconds of receiving a new NEIGHBORINFO_APP packet.</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N/A</w:t>
            </w:r>
          </w:p>
        </w:tc>
      </w:tr>
    </w:tbl>
    <w:p>
      <w:pPr>
        <w:spacing w:after="80"/>
      </w:pPr>
    </w:p>
    <w:p>
      <w:pPr>
        <w:pStyle w:val="Heading2"/>
      </w:pPr>
      <w:r>
        <w:t xml:space="preserve">B.7 Non-Functional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36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5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3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Threshold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Perf</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WinTAK UI frame rate does not drop below 30 fps with plugin active and 50 nodes tracked. All Meshtastic I/O occurs on background threads; no blocking calls on the UI thread.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 MB memory for 200 nodes. Max 1 CoT/sec/node.</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Reliab.</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TCP disconnection does not produce an unhandled exception. Malformed protobuf packets are logged at Warning level and discarded. Plugin settings survive WinTAK restart.</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Zero crashes from connection loss or bad packets.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Deploy</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installs by copying .dll and dependency files to WinTAK’s plugin folder. No Python, NSSM, or external service installation required. Plugin appears in WinTAK plugin list on next launch.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Single-folder deployment.</w:t>
            </w:r>
          </w:p>
        </w:tc>
      </w:tr>
    </w:tbl>
    <w:p>
      <w:r>
        <w:br w:type="page"/>
      </w:r>
    </w:p>
    <w:p>
      <w:pPr>
        <w:pStyle w:val="Heading1"/>
      </w:pPr>
      <w:r>
        <w:t xml:space="preserve">C. Security Considerations</w:t>
      </w:r>
    </w:p>
    <w:p>
      <w:pPr>
        <w:spacing w:after="120"/>
      </w:pPr>
      <w:r>
        <w:rPr>
          <w:rFonts w:ascii="Arial" w:cs="Arial" w:eastAsia="Arial" w:hAnsi="Arial"/>
          <w:sz w:val="22"/>
          <w:szCs w:val="22"/>
        </w:rPr>
        <w:t xml:space="preserve">The base requirements document does not address security. This section defines the security scope and requirements for the plugin.</w:t>
      </w:r>
    </w:p>
    <w:p>
      <w:pPr>
        <w:pStyle w:val="Heading2"/>
      </w:pPr>
      <w:r>
        <w:t xml:space="preserve">C.1 Channel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plugin must not transmit on any Meshtastic channel unless the connected node holds the PSK for that channel. If the node cannot decrypt a received packet, the plugin discards it silently.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SEC-02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The plugin must identify the admin channel (if configured) and prevent accidental message transmission on it. Admin channel should be visually distinguished in the channel list (e.g., lock icon or color) and excluded from the outbound channel selector by default.</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 channel transmission can be explicitly unlocked via a settings toggle with a confirmation prompt: “Transmitting on the admin channel can reconfigure remote nodes. Are you sure?”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SEC-04</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The plugin must not log or display PSK values in any UI element, log file, or CoT remark field.</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SEC-05</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Connection credentials (hostname, port) stored in WinTAK settings should use the platform’s secure storage mechanism if available, or at minimum not be stored in plaintext in an easily accessible config file.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Should</w:t>
            </w:r>
          </w:p>
        </w:tc>
      </w:tr>
    </w:tbl>
    <w:p>
      <w:pPr>
        <w:spacing w:after="80"/>
      </w:pPr>
    </w:p>
    <w:p>
      <w:pPr>
        <w:pStyle w:val="Heading2"/>
      </w:pPr>
      <w:r>
        <w:t xml:space="preserve">C.2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SEC-06</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 position data injected into WinTAK as CoT inherits the TAK Server’s classification and access controls. The plugin itself does not add additional classification markings but must not strip any that TAK Server applies.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SEC-07</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The plugin should sanitize all string data from Meshtastic packets (shortnames, long names, text messages) before injecting into CoT XML to prevent XML injection attacks.</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SEC-08</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plugin should validate that incoming Meshtastic packets have plausible node IDs and do not spoof the connected node’s own ID.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Should</w:t>
            </w:r>
          </w:p>
        </w:tc>
      </w:tr>
    </w:tbl>
    <w:p>
      <w:pPr>
        <w:spacing w:after="80"/>
      </w:pPr>
    </w:p>
    <w:p>
      <w:pPr>
        <w:pStyle w:val="Heading2"/>
      </w:pPr>
      <w:r>
        <w:t xml:space="preserve">C.3 Network Security</w:t>
      </w:r>
    </w:p>
    <w:p>
      <w:pPr>
        <w:spacing w:after="120"/>
      </w:pPr>
      <w:r>
        <w:rPr>
          <w:rFonts w:ascii="Arial" w:cs="Arial" w:eastAsia="Arial" w:hAnsi="Arial"/>
          <w:sz w:val="22"/>
          <w:szCs w:val="22"/>
        </w:rPr>
        <w:t xml:space="preserve">The TCP connection between the plugin and the Meshtastic node is unencrypted by default (Meshtastic’s TCP API does not support TLS). This is acceptable for local/same-subnet connections. For remote connections across untrusted networks, operators should use a VPN or SSH tunnel. The plugin settings panel should include a note recommending VPN for remote node connections.</w:t>
      </w:r>
    </w:p>
    <w:p>
      <w:r>
        <w:br w:type="page"/>
      </w:r>
    </w:p>
    <w:p>
      <w:pPr>
        <w:pStyle w:val="Heading1"/>
      </w:pPr>
      <w:r>
        <w:t xml:space="preserve">D. Fallback Designs for SDK-Dependent Features</w:t>
      </w:r>
    </w:p>
    <w:p>
      <w:pPr>
        <w:spacing w:after="120"/>
      </w:pPr>
      <w:r>
        <w:rPr>
          <w:rFonts w:ascii="Arial" w:cs="Arial" w:eastAsia="Arial" w:hAnsi="Arial"/>
          <w:sz w:val="22"/>
          <w:szCs w:val="22"/>
        </w:rPr>
        <w:t xml:space="preserve">Several “Must” requirements depend on WinTAK SDK capabilities that may not exist or may work differently than assumed. This section defines fallback approaches for each SDK-dependent feature, to be selected based on Phase 0 findings.</w:t>
      </w:r>
    </w:p>
    <w:p>
      <w:pPr>
        <w:pStyle w:val="Heading2"/>
      </w:pPr>
      <w:r>
        <w:t xml:space="preserve">D.1 Chat Group Integration (CHN-02, MSG-01, MSG-02)</w:t>
      </w:r>
    </w:p>
    <w:p>
      <w:pPr>
        <w:pStyle w:val="Heading3"/>
      </w:pPr>
      <w:r>
        <w:t xml:space="preserve">Primary Design (SDK supports Chat Group API)</w:t>
      </w:r>
    </w:p>
    <w:p>
      <w:pPr>
        <w:spacing w:after="120"/>
      </w:pPr>
      <w:r>
        <w:rPr>
          <w:rFonts w:ascii="Arial" w:cs="Arial" w:eastAsia="Arial" w:hAnsi="Arial"/>
          <w:sz w:val="22"/>
          <w:szCs w:val="22"/>
        </w:rPr>
        <w:t xml:space="preserve">Plugin programmatically creates TAK chat groups for each Meshtastic channel. Messages are routed through WinTAK’s native chat interface. Users interact with mesh chat identically to TAK Server chat.</w:t>
      </w:r>
    </w:p>
    <w:p>
      <w:pPr>
        <w:pStyle w:val="Heading3"/>
      </w:pPr>
      <w:r>
        <w:t xml:space="preserve">Fallback Design (No Chat Group API)</w:t>
      </w:r>
    </w:p>
    <w:p>
      <w:pPr>
        <w:spacing w:after="120"/>
      </w:pPr>
      <w:r>
        <w:rPr>
          <w:rFonts w:ascii="Arial" w:cs="Arial" w:eastAsia="Arial" w:hAnsi="Arial"/>
          <w:sz w:val="22"/>
          <w:szCs w:val="22"/>
        </w:rPr>
        <w:t xml:space="preserve">Plugin provides its own chat panel as a WinTAK tool window or docked panel. The panel includes a channel tab bar across the top, a message list in the center, and a compose area at the bottom with the outbound channel selector. GeoChat CoT events are still generated for TAK Server forwarding, but the primary operator interaction happens in the plugin’s custom chat UI. This approach has the advantage of full control over the chat UX but the disadvantage of not appearing in WinTAK’s native chat contacts list.</w:t>
      </w:r>
    </w:p>
    <w:p>
      <w:pPr>
        <w:pStyle w:val="Heading2"/>
      </w:pPr>
      <w:r>
        <w:t xml:space="preserve">D.2 Node Detail Panel (TEL-03, NBR-01, NOD-05)</w:t>
      </w:r>
    </w:p>
    <w:p>
      <w:pPr>
        <w:pStyle w:val="Heading3"/>
      </w:pPr>
      <w:r>
        <w:t xml:space="preserve">Primary Design (SDK supports Contact Panel extensions)</w:t>
      </w:r>
    </w:p>
    <w:p>
      <w:pPr>
        <w:spacing w:after="120"/>
      </w:pPr>
      <w:r>
        <w:rPr>
          <w:rFonts w:ascii="Arial" w:cs="Arial" w:eastAsia="Arial" w:hAnsi="Arial"/>
          <w:sz w:val="22"/>
          <w:szCs w:val="22"/>
        </w:rPr>
        <w:t xml:space="preserve">Plugin injects custom sections (Telemetry, Environment, Neighbors) into the existing WinTAK contact detail panel via SDK extension points. Data appears alongside standard TAK contact information.</w:t>
      </w:r>
    </w:p>
    <w:p>
      <w:pPr>
        <w:pStyle w:val="Heading3"/>
      </w:pPr>
      <w:r>
        <w:t xml:space="preserve">Fallback Design (No Contact Panel API)</w:t>
      </w:r>
    </w:p>
    <w:p>
      <w:pPr>
        <w:spacing w:after="120"/>
      </w:pPr>
      <w:r>
        <w:rPr>
          <w:rFonts w:ascii="Arial" w:cs="Arial" w:eastAsia="Arial" w:hAnsi="Arial"/>
          <w:sz w:val="22"/>
          <w:szCs w:val="22"/>
        </w:rPr>
        <w:t xml:space="preserve">Plugin registers a click/double-click handler on mesh node CoT markers. When activated, a plugin-owned detail popup or side panel displays the structured telemetry and neighbor data. The popup is non-modal so the operator can keep it open while interacting with the map. If no click handler API exists, the plugin can use CoT remarks to embed a structured text block and additionally provide a toolbar button that opens a node browser panel listing all tracked nodes with expandable detail sections.</w:t>
      </w:r>
    </w:p>
    <w:p>
      <w:pPr>
        <w:pStyle w:val="Heading2"/>
      </w:pPr>
      <w:r>
        <w:t xml:space="preserve">D.3 Map Topology Overlay (NBR-02, NBR-03, NBR-04)</w:t>
      </w:r>
    </w:p>
    <w:p>
      <w:pPr>
        <w:pStyle w:val="Heading3"/>
      </w:pPr>
      <w:r>
        <w:t xml:space="preserve">Primary Design (SDK supports Map Drawing API)</w:t>
      </w:r>
    </w:p>
    <w:p>
      <w:pPr>
        <w:spacing w:after="120"/>
      </w:pPr>
      <w:r>
        <w:rPr>
          <w:rFonts w:ascii="Arial" w:cs="Arial" w:eastAsia="Arial" w:hAnsi="Arial"/>
          <w:sz w:val="22"/>
          <w:szCs w:val="22"/>
        </w:rPr>
        <w:t xml:space="preserve">Plugin draws polylines on a dedicated map layer between neighbor node pairs, color-coded by SNR. Layer is registered in WinTAK’s layer manager and toggleable.</w:t>
      </w:r>
    </w:p>
    <w:p>
      <w:pPr>
        <w:pStyle w:val="Heading3"/>
      </w:pPr>
      <w:r>
        <w:t xml:space="preserve">Fallback Design (No Map Drawing API)</w:t>
      </w:r>
    </w:p>
    <w:p>
      <w:pPr>
        <w:spacing w:after="120"/>
      </w:pPr>
      <w:r>
        <w:rPr>
          <w:rFonts w:ascii="Arial" w:cs="Arial" w:eastAsia="Arial" w:hAnsi="Arial"/>
          <w:sz w:val="22"/>
          <w:szCs w:val="22"/>
        </w:rPr>
        <w:t xml:space="preserve">Plugin generates CoT shape elements (lines) using the CoT shape schema (&lt;link&gt; elements with line type). These are injected as standard CoT events with short stale times (e.g., 5 minutes) so they auto-expire and refresh. This approach is less efficient (more CoT events) but requires no special SDK drawing API. If CoT shapes are not rendered correctly, the topology overlay feature is deferred and neighbor data is presented only in the node detail panel.</w:t>
      </w:r>
    </w:p>
    <w:p>
      <w:pPr>
        <w:pStyle w:val="Heading2"/>
      </w:pPr>
      <w:r>
        <w:t xml:space="preserve">D.4 Settings Panel (All config requirements)</w:t>
      </w:r>
    </w:p>
    <w:p>
      <w:pPr>
        <w:pStyle w:val="Heading3"/>
      </w:pPr>
      <w:r>
        <w:t xml:space="preserve">Primary Design (SDK supports Settings Integration)</w:t>
      </w:r>
    </w:p>
    <w:p>
      <w:pPr>
        <w:spacing w:after="120"/>
      </w:pPr>
      <w:r>
        <w:rPr>
          <w:rFonts w:ascii="Arial" w:cs="Arial" w:eastAsia="Arial" w:hAnsi="Arial"/>
          <w:sz w:val="22"/>
          <w:szCs w:val="22"/>
        </w:rPr>
        <w:t xml:space="preserve">Plugin registers a settings page in WinTAK’s native preferences dialog.</w:t>
      </w:r>
    </w:p>
    <w:p>
      <w:pPr>
        <w:pStyle w:val="Heading3"/>
      </w:pPr>
      <w:r>
        <w:t xml:space="preserve">Fallback Design (No Settings Integration)</w:t>
      </w:r>
    </w:p>
    <w:p>
      <w:pPr>
        <w:spacing w:after="120"/>
      </w:pPr>
      <w:r>
        <w:rPr>
          <w:rFonts w:ascii="Arial" w:cs="Arial" w:eastAsia="Arial" w:hAnsi="Arial"/>
          <w:sz w:val="22"/>
          <w:szCs w:val="22"/>
        </w:rPr>
        <w:t xml:space="preserve">Plugin provides its own settings window accessible from a toolbar button or right-click context menu. Settings are persisted to an XML or JSON file in the WinTAK plugin data directory. This is a common pattern in WinTAK plugins and is unlikely to be a problem.</w:t>
      </w:r>
    </w:p>
    <w:p>
      <w:r>
        <w:br w:type="page"/>
      </w:r>
    </w:p>
    <w:p>
      <w:pPr>
        <w:pStyle w:val="Heading1"/>
      </w:pPr>
      <w:r>
        <w:t xml:space="preserve">E. Architectural Notes &amp; Additional Requirements</w:t>
      </w:r>
    </w:p>
    <w:p>
      <w:pPr>
        <w:pStyle w:val="Heading2"/>
      </w:pPr>
      <w:r>
        <w:t xml:space="preserve">E.1 Outbound PLI (Missing Requirement)</w:t>
      </w:r>
    </w:p>
    <w:p>
      <w:pPr>
        <w:spacing w:after="120"/>
      </w:pPr>
      <w:r>
        <w:rPr>
          <w:rFonts w:ascii="Arial" w:cs="Arial" w:eastAsia="Arial" w:hAnsi="Arial"/>
          <w:sz w:val="22"/>
          <w:szCs w:val="22"/>
        </w:rPr>
        <w:t xml:space="preserve">The base document describes bidirectional communication (Section 4.3) and mentions outbound PLI in the communication flow, but Section 5 contains no explicit requirement for transmitting the WinTAK operator’s own position onto the Meshtastic mesh network. The following requirement should be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3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0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PLI-01</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can optionally broadcast the WinTAK operator’s position to the Meshtastic mesh as a POSITION_APP packet at a configurable interval. The operator’s callsign and team color are included.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Should</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PLI-02</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Outbound PLI transmission is disabled by default and must be explicitly enabled in settings to prevent unintended position disclosure.</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Must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PLI-03</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Outbound PLI target channel is selectable (defaults to channel 0).</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Should</w:t>
            </w:r>
          </w:p>
        </w:tc>
      </w:tr>
    </w:tbl>
    <w:p>
      <w:pPr>
        <w:spacing w:after="80"/>
      </w:pPr>
    </w:p>
    <w:p>
      <w:pPr>
        <w:pStyle w:val="Heading2"/>
      </w:pPr>
      <w:r>
        <w:t xml:space="preserve">E.2 Protobuf Versioning &amp; Compatibility</w:t>
      </w:r>
    </w:p>
    <w:p>
      <w:pPr>
        <w:spacing w:after="120"/>
      </w:pPr>
      <w:r>
        <w:rPr>
          <w:rFonts w:ascii="Arial" w:cs="Arial" w:eastAsia="Arial" w:hAnsi="Arial"/>
          <w:sz w:val="22"/>
          <w:szCs w:val="22"/>
        </w:rPr>
        <w:t xml:space="preserve">Meshtastic firmware updates can introduce new protobuf fields, change enum values, or add new portnum types. The plugin should be designed to handle version drift gracefully:</w:t>
      </w:r>
    </w:p>
    <w:p>
      <w:pPr>
        <w:spacing w:after="120"/>
      </w:pPr>
      <w:r>
        <w:rPr>
          <w:rFonts w:ascii="Arial" w:cs="Arial" w:eastAsia="Arial" w:hAnsi="Arial"/>
          <w:sz w:val="22"/>
          <w:szCs w:val="22"/>
        </w:rPr>
        <w:t xml:space="preserve">1. Unknown fields in protobuf messages must be preserved (protobuf default behavior) but not cause deserialization failures. 2. Unknown portnum values should be logged at Debug level and discarded, not treated as errors. 3. The plugin should log the firmware version reported by the connected node on connection and warn if it is significantly newer than the .proto definitions the plugin was compiled against. 4. A “Protobuf version” should be displayed in the plugin’s About/Status panel so operators can identify compatibility issues.</w:t>
      </w:r>
    </w:p>
    <w:p>
      <w:pPr>
        <w:pStyle w:val="Heading2"/>
      </w:pPr>
      <w:r>
        <w:t xml:space="preserve">E.3 Multi-Node Data Model (Architectural Guidance)</w:t>
      </w:r>
    </w:p>
    <w:p>
      <w:pPr>
        <w:spacing w:after="120"/>
      </w:pPr>
      <w:r>
        <w:rPr>
          <w:rFonts w:ascii="Arial" w:cs="Arial" w:eastAsia="Arial" w:hAnsi="Arial"/>
          <w:sz w:val="22"/>
          <w:szCs w:val="22"/>
        </w:rPr>
        <w:t xml:space="preserve">Although multi-node connection support (CON-04) is deferred to Phase 3, the Phase 1 data model should be designed with this in mind to avoid a costly refactor. Specifically, all node state should be keyed by a tuple of (connectionId, meshNodeId) rather than just meshNodeId. This prevents collisions if the same mesh node is reachable through different gateway nodes, and enables clean separation of node state per connection in the future.</w:t>
      </w:r>
    </w:p>
    <w:p>
      <w:pPr>
        <w:pStyle w:val="Heading2"/>
      </w:pPr>
      <w:r>
        <w:t xml:space="preserve">E.4 CoT Type-to-Affiliation Mapping</w:t>
      </w:r>
    </w:p>
    <w:p>
      <w:pPr>
        <w:spacing w:after="120"/>
      </w:pPr>
      <w:r>
        <w:rPr>
          <w:rFonts w:ascii="Arial" w:cs="Arial" w:eastAsia="Arial" w:hAnsi="Arial"/>
          <w:sz w:val="22"/>
          <w:szCs w:val="22"/>
        </w:rPr>
        <w:t xml:space="preserve">The base document specifies that nodes are color-coded by channel (NOD-02) using TAK team colors, but does not define the CoT type string for mesh node markers. TAK uses the MIL-STD-2525 affiliation system. The following default mapping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312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CoT Type String</w:t>
            </w:r>
          </w:p>
        </w:tc>
        <w:tc>
          <w:tcPr>
            <w:tcW w:type="dxa" w:w="312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Default mesh node</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a-f-G-U-C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Friendly ground unit, civilian. Mesh nodes are assumed friendly.</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Router node</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a-f-G-U-C-I</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Friendly ground, infrastructure. Distinguishes fixed infrastructure from mobile users.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20"/>
                <w:szCs w:val="20"/>
              </w:rPr>
              <w:t xml:space="preserve">Tracker node</w:t>
            </w:r>
          </w:p>
        </w:tc>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a-f-G-E-S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Friendly ground, equipment/sensor. Appropriate for asset tracking devices.</w:t>
            </w:r>
          </w:p>
        </w:tc>
      </w:tr>
      <w:tr>
        <w:tc>
          <w:tcPr>
            <w:tcW w:type="dxa" w:w="1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b/>
                <w:bCs/>
                <w:sz w:val="20"/>
                <w:szCs w:val="20"/>
              </w:rPr>
              <w:t xml:space="preserve">Unknown affiliation</w:t>
            </w:r>
          </w:p>
        </w:tc>
        <w:tc>
          <w:tcPr>
            <w:tcW w:type="dxa" w:w="5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a-u-G</w:t>
            </w:r>
          </w:p>
        </w:tc>
        <w:tc>
          <w:tcPr>
            <w:tcW w:type="dxa" w:w="33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20"/>
                <w:szCs w:val="20"/>
              </w:rPr>
              <w:t xml:space="preserve">Unknown ground unit. Used if the plugin cannot determine the node’s purpose.</w:t>
            </w:r>
          </w:p>
        </w:tc>
      </w:tr>
    </w:tbl>
    <w:p>
      <w:pPr>
        <w:spacing w:after="80"/>
      </w:pPr>
    </w:p>
    <w:p>
      <w:pPr>
        <w:spacing w:after="120"/>
      </w:pPr>
      <w:r>
        <w:rPr>
          <w:rFonts w:ascii="Arial" w:cs="Arial" w:eastAsia="Arial" w:hAnsi="Arial"/>
          <w:sz w:val="22"/>
          <w:szCs w:val="22"/>
        </w:rPr>
        <w:t xml:space="preserve">The CoT type string determines the icon in TAK and affects interoperability with other TAK consumers (other WinTAK clients, TAK Server, third-party tools). This mapping should be documented and configurable.</w:t>
      </w:r>
    </w:p>
    <w:p>
      <w:pPr>
        <w:pStyle w:val="Heading2"/>
      </w:pPr>
      <w:r>
        <w:t xml:space="preserve">E.5 Unishox2 Decompression Risk</w:t>
      </w:r>
    </w:p>
    <w:p>
      <w:pPr>
        <w:spacing w:after="120"/>
      </w:pPr>
      <w:r>
        <w:rPr>
          <w:rFonts w:ascii="Arial" w:cs="Arial" w:eastAsia="Arial" w:hAnsi="Arial"/>
          <w:sz w:val="22"/>
          <w:szCs w:val="22"/>
        </w:rPr>
        <w:t xml:space="preserve">Requirement MSG-05 calls for decompressing ATAK plugin messages that use unishox2 compression. There is no known production-quality C# implementation of the unishox2 algorithm. Options to address this: (a) Port the C reference implementation to C#, (b) wrap the C library via P/Invoke, or (c) use a pre-compiled native DLL included as a plugin dependency. Option (b) is recommended for reliability. If none of these options are feasible within Phase 1 timelines, MSG-05 should be deferred to Phase 3 and the plugin should log a warning when it detects a compressed ATAK packet and discard it gracefully.</w:t>
      </w:r>
    </w:p>
    <w:p>
      <w:pPr>
        <w:pStyle w:val="Heading2"/>
      </w:pPr>
      <w:r>
        <w:t xml:space="preserve">E.6 Serial/USB Connection Scope</w:t>
      </w:r>
    </w:p>
    <w:p>
      <w:pPr>
        <w:spacing w:after="120"/>
      </w:pPr>
      <w:r>
        <w:rPr>
          <w:rFonts w:ascii="Arial" w:cs="Arial" w:eastAsia="Arial" w:hAnsi="Arial"/>
          <w:sz w:val="22"/>
          <w:szCs w:val="22"/>
        </w:rPr>
        <w:t xml:space="preserve">The base document specifies TCP as the connection mechanism (CON-01) but does not explicitly exclude serial/USB connections. For clarity: serial and USB connections to Meshtastic nodes are out of scope for all phases. TCP via the Meshtastic node’s network API is the sole supported transport. If serial/USB is desired in the future, it should be added as a separate requirement with its own driver dependency (System.IO.Ports).</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3860"/>
            <w:tcBorders>
              <w:top w:val="single" w:color="BBBBBB" w:sz="1"/>
              <w:left w:val="single" w:color="BBBBBB" w:sz="1"/>
              <w:bottom w:val="single" w:color="BBBBBB" w:sz="1"/>
              <w:right w:val="single" w:color="BBBBBB"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March 2026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Echo6 TAK Team</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Initial supplement: Phase 0 spike, acceptance criteria, security, fallback designs, architectural notes.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WinTAK Meshtastic Plugin — Requirements Supplement</w:t>
    </w:r>
    <w:r>
      <w:rPr>
        <w:rFonts w:ascii="Arial" w:cs="Arial" w:eastAsia="Arial" w:hAnsi="Arial"/>
        <w:color w:val="999999"/>
        <w:sz w:val="16"/>
        <w:szCs w:val="16"/>
      </w:rPr>
      <w:t xml:space="preserve">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2026-03-01T19:15:04.601Z</dcterms:created>
  <dcterms:modified xsi:type="dcterms:W3CDTF">2026-03-01T19:15:04.602Z</dcterms:modified>
</cp:coreProperties>
</file>

<file path=docProps/custom.xml><?xml version="1.0" encoding="utf-8"?>
<Properties xmlns="http://schemas.openxmlformats.org/officeDocument/2006/custom-properties" xmlns:vt="http://schemas.openxmlformats.org/officeDocument/2006/docPropsVTypes"/>
</file>