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ealDocTitle"/>
        <w:keepNext/>
        <w:spacing w:line="240" w:lineRule="auto" w:before="0" w:after="240"/>
        <w:ind w:firstLine="0"/>
        <w:jc w:val="left"/>
      </w:pPr>
      <w:r>
        <w:rPr>
          <w:rFonts w:ascii="Arial" w:hAnsi="Arial" w:eastAsia="微软雅黑" w:cs="Arial"/>
          <w:b/>
          <w:color w:val="16845F"/>
          <w:sz w:val="52"/>
        </w:rPr>
        <w:t>How Helios Industrial Services can turn AI-enabled field operations into higher-quality growth</w:t>
      </w:r>
    </w:p>
    <w:p>
      <w:pPr>
        <w:pStyle w:val="TealSubtitle"/>
        <w:keepNext/>
        <w:spacing w:line="264" w:lineRule="auto" w:before="0" w:after="200"/>
        <w:ind w:firstLine="0"/>
        <w:jc w:val="left"/>
      </w:pPr>
      <w:r>
        <w:rPr>
          <w:rFonts w:ascii="Arial" w:hAnsi="Arial" w:eastAsia="微软雅黑" w:cs="Arial"/>
          <w:b w:val="0"/>
          <w:color w:val="4D5559"/>
          <w:sz w:val="22"/>
        </w:rPr>
        <w:t>April 2026 | Fictional consulting report | Teal consulting preset validation</w:t>
      </w:r>
    </w:p>
    <w:p>
      <w:pPr>
        <w:pStyle w:val="TealLead"/>
        <w:keepNext w:val="0"/>
        <w:spacing w:line="269" w:lineRule="auto" w:before="0" w:after="160"/>
        <w:ind w:firstLine="0"/>
        <w:jc w:val="left"/>
      </w:pPr>
      <w:r>
        <w:rPr>
          <w:rFonts w:ascii="Arial" w:hAnsi="Arial" w:eastAsia="微软雅黑" w:cs="Arial"/>
          <w:b w:val="0"/>
          <w:color w:val="4D5559"/>
          <w:sz w:val="20"/>
        </w:rPr>
        <w:t>Helios Industrial Services has built scale in maintenance, remote monitoring, and retrofit work, yet its economics have not improved at the same pace as revenue. This refined English sample tests whether a section-switched consulting layout, restrained teal exhibit system, and fully traceable QA bundle can produce a premium consulting deliverable with clean Markdown semantics.</w:t>
      </w:r>
    </w:p>
    <w:p>
      <w:pPr>
        <w:pStyle w:val="TealHeading1"/>
        <w:keepNext/>
        <w:spacing w:line="252" w:lineRule="auto" w:before="200" w:after="280"/>
        <w:ind w:firstLine="0"/>
        <w:jc w:val="left"/>
      </w:pPr>
      <w:r>
        <w:rPr>
          <w:rFonts w:ascii="Arial" w:hAnsi="Arial" w:eastAsia="微软雅黑" w:cs="Arial"/>
          <w:b/>
          <w:color w:val="16845F"/>
          <w:sz w:val="56"/>
        </w:rPr>
        <w:t>Executive summary</w:t>
      </w:r>
    </w:p>
    <w:p>
      <w:pPr>
        <w:pStyle w:val="TealBody"/>
        <w:keepNext w:val="0"/>
        <w:spacing w:line="259" w:lineRule="auto" w:before="0" w:after="120"/>
        <w:ind w:firstLine="0"/>
        <w:jc w:val="left"/>
      </w:pPr>
      <w:r>
        <w:rPr>
          <w:rFonts w:ascii="Arial" w:hAnsi="Arial" w:eastAsia="微软雅黑" w:cs="Arial"/>
          <w:b w:val="0"/>
          <w:color w:val="5F666A"/>
          <w:sz w:val="18"/>
        </w:rPr>
        <w:t>Helios has a credible market position in midmarket industrial maintenance, especially in power, water, and cold-chain facilities where uptime matters more than lowest-price procurement. Over the past three years the company expanded through emergency response projects, bolt-on digital monitoring services, and a heavier field footprint. Revenue grew quickly, but margin quality did not. The company now faces a familiar consulting problem: more activity, more technicians, and more dispatches, yet too little contract quality and too much operational noise.</w:t>
      </w:r>
    </w:p>
    <w:p>
      <w:pPr>
        <w:pStyle w:val="TealBody"/>
        <w:keepNext w:val="0"/>
        <w:spacing w:line="259" w:lineRule="auto" w:before="0" w:after="120"/>
        <w:ind w:firstLine="0"/>
        <w:jc w:val="left"/>
      </w:pPr>
      <w:r>
        <w:rPr>
          <w:rFonts w:ascii="Arial" w:hAnsi="Arial" w:eastAsia="微软雅黑" w:cs="Arial"/>
          <w:b w:val="0"/>
          <w:color w:val="5F666A"/>
          <w:sz w:val="18"/>
        </w:rPr>
        <w:t>Our central judgment is that Helios should stop treating AI as an isolated technology program and instead use it to redesign the commercial and operating spine of the service business. The value does not come from a chatbot or an analytics dashboard alone. It comes from linking three moves at the same time: migrating customers from reactive work to recurring contracts, increasing remote resolution before a truck roll is approved, and tightening branch-level planner discipline so technician time is sold into the highest-value demand.</w:t>
      </w:r>
    </w:p>
    <w:p>
      <w:pPr>
        <w:pStyle w:val="TealBody"/>
        <w:keepNext w:val="0"/>
        <w:spacing w:line="259" w:lineRule="auto" w:before="0" w:after="120"/>
        <w:ind w:firstLine="0"/>
        <w:jc w:val="left"/>
      </w:pPr>
      <w:r>
        <w:rPr>
          <w:rFonts w:ascii="Arial" w:hAnsi="Arial" w:eastAsia="微软雅黑" w:cs="Arial"/>
          <w:b w:val="0"/>
          <w:color w:val="5F666A"/>
          <w:sz w:val="18"/>
        </w:rPr>
        <w:t>If Helios executes these moves over the next twelve months, we estimate that recurring revenue mix can rise from 38 percent to 54 percent, technician productivity can improve by roughly 11 percent, and adjusted EBITDA margin can expand from 12.4 percent to 17.3 percent. The transformation logic is straightforward. Better contract quality reduces dispatch volatility. Lower volatility makes planner decisions more rational. Better planning allows the company to serve more demand remotely or through higher-yield onsite work rather than through low-margin emergency calls.</w:t>
      </w:r>
    </w:p>
    <w:p>
      <w:pPr>
        <w:sectPr>
          <w:pgSz w:w="11909" w:h="16834"/>
          <w:pgMar w:top="835" w:right="835" w:bottom="835" w:left="835" w:header="720" w:footer="720" w:gutter="0"/>
          <w:cols w:space="403" w:num="1"/>
          <w:docGrid w:linePitch="360"/>
        </w:sectPr>
      </w:pPr>
    </w:p>
    <w:p>
      <w:pPr>
        <w:pStyle w:val="TealHeading1"/>
        <w:keepNext/>
        <w:spacing w:line="252" w:lineRule="auto" w:before="200" w:after="280"/>
        <w:ind w:firstLine="0"/>
        <w:jc w:val="left"/>
      </w:pPr>
      <w:r>
        <w:rPr>
          <w:rFonts w:ascii="Arial" w:hAnsi="Arial" w:eastAsia="微软雅黑" w:cs="Arial"/>
          <w:b/>
          <w:color w:val="16845F"/>
          <w:sz w:val="56"/>
        </w:rPr>
        <w:t>Why the current growth model is not translating scale into value</w:t>
      </w:r>
    </w:p>
    <w:p>
      <w:pPr>
        <w:pStyle w:val="TealBody"/>
        <w:keepNext w:val="0"/>
        <w:spacing w:line="259" w:lineRule="auto" w:before="0" w:after="120"/>
        <w:ind w:firstLine="0"/>
        <w:jc w:val="left"/>
      </w:pPr>
      <w:r>
        <w:rPr>
          <w:rFonts w:ascii="Arial" w:hAnsi="Arial" w:eastAsia="微软雅黑" w:cs="Arial"/>
          <w:b w:val="0"/>
          <w:color w:val="5F666A"/>
          <w:sz w:val="18"/>
        </w:rPr>
        <w:t>Helios still relies too heavily on reactive field work. Emergency jobs remain attractive to branch leaders because they fill the calendar immediately and create visible top-line wins, but they also create rush procurement, overtime labor, and avoidable travel. At the same time, remote diagnostics and preventive service bundles are underpenetrated even though they renew at higher rates and create cleaner data on asset health. In effect, the company is paying for digital capability but not yet capturing the operating leverage that digital capability should create.</w:t>
      </w:r>
    </w:p>
    <w:p>
      <w:pPr>
        <w:sectPr>
          <w:type w:val="continuous"/>
          <w:pgSz w:w="11909" w:h="16834"/>
          <w:pgMar w:top="835" w:right="835" w:bottom="835" w:left="835" w:header="720" w:footer="720" w:gutter="0"/>
          <w:cols w:space="403" w:num="2"/>
          <w:docGrid w:linePitch="360"/>
        </w:sectPr>
      </w:pPr>
    </w:p>
    <w:p>
      <w:pPr>
        <w:pStyle w:val="TealTableTitle"/>
        <w:keepNext/>
        <w:spacing w:line="240" w:lineRule="auto" w:before="160" w:after="60"/>
        <w:ind w:firstLine="0"/>
        <w:jc w:val="left"/>
      </w:pPr>
      <w:r>
        <w:rPr>
          <w:rFonts w:ascii="Arial" w:hAnsi="Arial" w:eastAsia="微软雅黑" w:cs="Arial"/>
          <w:b/>
          <w:color w:val="30383D"/>
          <w:sz w:val="20"/>
        </w:rPr>
        <w:t>Table 1  Current economics by service line</w:t>
      </w:r>
    </w:p>
    <w:tbl>
      <w:tblPr>
        <w:tblStyle w:val="TableGrid"/>
        <w:tblW w:type="auto" w:w="0"/>
        <w:tblLayout w:type="autofit"/>
        <w:tblLook w:firstColumn="1" w:firstRow="1" w:lastColumn="0" w:lastRow="0" w:noHBand="0" w:noVBand="1" w:val="04A0"/>
        <w:tblBorders>
          <w:top w:val="single" w:sz="4" w:space="0" w:color="BFD6CE"/>
          <w:left w:val="single" w:sz="4" w:space="0" w:color="BFD6CE"/>
          <w:bottom w:val="single" w:sz="4" w:space="0" w:color="BFD6CE"/>
          <w:right w:val="single" w:sz="4" w:space="0" w:color="BFD6CE"/>
          <w:insideH w:val="single" w:sz="4" w:space="0" w:color="BFD6CE"/>
          <w:insideV w:val="single" w:sz="4" w:space="0" w:color="BFD6CE"/>
        </w:tblBorders>
      </w:tblPr>
      <w:tblGrid>
        <w:gridCol w:w="2048"/>
        <w:gridCol w:w="2048"/>
        <w:gridCol w:w="2048"/>
        <w:gridCol w:w="2048"/>
        <w:gridCol w:w="2048"/>
      </w:tblGrid>
      <w:tr>
        <w:tc>
          <w:tcPr>
            <w:tcW w:type="dxa" w:w="2048"/>
            <w:shd w:fill="EFF5F3"/>
          </w:tcPr>
          <w:p>
            <w:pPr>
              <w:spacing w:before="0" w:after="0" w:line="240" w:lineRule="auto"/>
              <w:ind w:firstLine="0"/>
              <w:jc w:val="center"/>
            </w:pPr>
            <w:r/>
            <w:r>
              <w:rPr>
                <w:rFonts w:ascii="Arial" w:hAnsi="Arial" w:eastAsia="微软雅黑" w:cs="Arial"/>
                <w:b/>
                <w:color w:val="30383D"/>
                <w:sz w:val="17"/>
              </w:rPr>
              <w:t>Service line</w:t>
            </w:r>
          </w:p>
        </w:tc>
        <w:tc>
          <w:tcPr>
            <w:tcW w:type="dxa" w:w="2048"/>
            <w:shd w:fill="EFF5F3"/>
          </w:tcPr>
          <w:p>
            <w:pPr>
              <w:spacing w:before="0" w:after="0" w:line="240" w:lineRule="auto"/>
              <w:ind w:firstLine="0"/>
              <w:jc w:val="center"/>
            </w:pPr>
            <w:r/>
            <w:r>
              <w:rPr>
                <w:rFonts w:ascii="Arial" w:hAnsi="Arial" w:eastAsia="微软雅黑" w:cs="Arial"/>
                <w:b/>
                <w:color w:val="30383D"/>
                <w:sz w:val="17"/>
              </w:rPr>
              <w:t>Revenue share</w:t>
            </w:r>
          </w:p>
        </w:tc>
        <w:tc>
          <w:tcPr>
            <w:tcW w:type="dxa" w:w="2048"/>
            <w:shd w:fill="EFF5F3"/>
          </w:tcPr>
          <w:p>
            <w:pPr>
              <w:spacing w:before="0" w:after="0" w:line="240" w:lineRule="auto"/>
              <w:ind w:firstLine="0"/>
              <w:jc w:val="center"/>
            </w:pPr>
            <w:r/>
            <w:r>
              <w:rPr>
                <w:rFonts w:ascii="Arial" w:hAnsi="Arial" w:eastAsia="微软雅黑" w:cs="Arial"/>
                <w:b/>
                <w:color w:val="30383D"/>
                <w:sz w:val="17"/>
              </w:rPr>
              <w:t>Gross margin</w:t>
            </w:r>
          </w:p>
        </w:tc>
        <w:tc>
          <w:tcPr>
            <w:tcW w:type="dxa" w:w="2048"/>
            <w:shd w:fill="EFF5F3"/>
          </w:tcPr>
          <w:p>
            <w:pPr>
              <w:spacing w:before="0" w:after="0" w:line="240" w:lineRule="auto"/>
              <w:ind w:firstLine="0"/>
              <w:jc w:val="center"/>
            </w:pPr>
            <w:r/>
            <w:r>
              <w:rPr>
                <w:rFonts w:ascii="Arial" w:hAnsi="Arial" w:eastAsia="微软雅黑" w:cs="Arial"/>
                <w:b/>
                <w:color w:val="30383D"/>
                <w:sz w:val="17"/>
              </w:rPr>
              <w:t>Renewal rate</w:t>
            </w:r>
          </w:p>
        </w:tc>
        <w:tc>
          <w:tcPr>
            <w:tcW w:type="dxa" w:w="2048"/>
            <w:shd w:fill="EFF5F3"/>
          </w:tcPr>
          <w:p>
            <w:pPr>
              <w:spacing w:before="0" w:after="0" w:line="240" w:lineRule="auto"/>
              <w:ind w:firstLine="0"/>
              <w:jc w:val="center"/>
            </w:pPr>
            <w:r/>
            <w:r>
              <w:rPr>
                <w:rFonts w:ascii="Arial" w:hAnsi="Arial" w:eastAsia="微软雅黑" w:cs="Arial"/>
                <w:b/>
                <w:color w:val="30383D"/>
                <w:sz w:val="17"/>
              </w:rPr>
              <w:t>Cash conversion cycle</w:t>
            </w:r>
          </w:p>
        </w:tc>
      </w:tr>
      <w:tr>
        <w:tc>
          <w:tcPr>
            <w:tcW w:type="dxa" w:w="2048"/>
          </w:tcPr>
          <w:p>
            <w:pPr>
              <w:spacing w:before="0" w:after="0" w:line="240" w:lineRule="auto"/>
              <w:ind w:firstLine="0"/>
              <w:jc w:val="left"/>
            </w:pPr>
            <w:r/>
            <w:r>
              <w:rPr>
                <w:rFonts w:ascii="Arial" w:hAnsi="Arial" w:eastAsia="微软雅黑" w:cs="Arial"/>
                <w:b w:val="0"/>
                <w:color w:val="5F666A"/>
                <w:sz w:val="17"/>
              </w:rPr>
              <w:t>Emergency response</w:t>
            </w:r>
          </w:p>
        </w:tc>
        <w:tc>
          <w:tcPr>
            <w:tcW w:type="dxa" w:w="2048"/>
          </w:tcPr>
          <w:p>
            <w:pPr>
              <w:spacing w:before="0" w:after="0" w:line="240" w:lineRule="auto"/>
              <w:ind w:firstLine="0"/>
              <w:jc w:val="right"/>
            </w:pPr>
            <w:r/>
            <w:r>
              <w:rPr>
                <w:rFonts w:ascii="Arial" w:hAnsi="Arial" w:eastAsia="微软雅黑" w:cs="Arial"/>
                <w:b w:val="0"/>
                <w:color w:val="5F666A"/>
                <w:sz w:val="17"/>
              </w:rPr>
              <w:t>35%</w:t>
            </w:r>
          </w:p>
        </w:tc>
        <w:tc>
          <w:tcPr>
            <w:tcW w:type="dxa" w:w="2048"/>
          </w:tcPr>
          <w:p>
            <w:pPr>
              <w:spacing w:before="0" w:after="0" w:line="240" w:lineRule="auto"/>
              <w:ind w:firstLine="0"/>
              <w:jc w:val="right"/>
            </w:pPr>
            <w:r/>
            <w:r>
              <w:rPr>
                <w:rFonts w:ascii="Arial" w:hAnsi="Arial" w:eastAsia="微软雅黑" w:cs="Arial"/>
                <w:b w:val="0"/>
                <w:color w:val="5F666A"/>
                <w:sz w:val="17"/>
              </w:rPr>
              <w:t>19%</w:t>
            </w:r>
          </w:p>
        </w:tc>
        <w:tc>
          <w:tcPr>
            <w:tcW w:type="dxa" w:w="2048"/>
          </w:tcPr>
          <w:p>
            <w:pPr>
              <w:spacing w:before="0" w:after="0" w:line="240" w:lineRule="auto"/>
              <w:ind w:firstLine="0"/>
              <w:jc w:val="right"/>
            </w:pPr>
            <w:r/>
            <w:r>
              <w:rPr>
                <w:rFonts w:ascii="Arial" w:hAnsi="Arial" w:eastAsia="微软雅黑" w:cs="Arial"/>
                <w:b w:val="0"/>
                <w:color w:val="5F666A"/>
                <w:sz w:val="17"/>
              </w:rPr>
              <w:t>22%</w:t>
            </w:r>
          </w:p>
        </w:tc>
        <w:tc>
          <w:tcPr>
            <w:tcW w:type="dxa" w:w="2048"/>
          </w:tcPr>
          <w:p>
            <w:pPr>
              <w:spacing w:before="0" w:after="0" w:line="240" w:lineRule="auto"/>
              <w:ind w:firstLine="0"/>
              <w:jc w:val="left"/>
            </w:pPr>
            <w:r/>
            <w:r>
              <w:rPr>
                <w:rFonts w:ascii="Arial" w:hAnsi="Arial" w:eastAsia="微软雅黑" w:cs="Arial"/>
                <w:b w:val="0"/>
                <w:color w:val="5F666A"/>
                <w:sz w:val="17"/>
              </w:rPr>
              <w:t>92 days</w:t>
            </w:r>
          </w:p>
        </w:tc>
      </w:tr>
      <w:tr>
        <w:tc>
          <w:tcPr>
            <w:tcW w:type="dxa" w:w="2048"/>
          </w:tcPr>
          <w:p>
            <w:pPr>
              <w:spacing w:before="0" w:after="0" w:line="240" w:lineRule="auto"/>
              <w:ind w:firstLine="0"/>
              <w:jc w:val="left"/>
            </w:pPr>
            <w:r/>
            <w:r>
              <w:rPr>
                <w:rFonts w:ascii="Arial" w:hAnsi="Arial" w:eastAsia="微软雅黑" w:cs="Arial"/>
                <w:b w:val="0"/>
                <w:color w:val="5F666A"/>
                <w:sz w:val="17"/>
              </w:rPr>
              <w:t>Preventive maintenance contracts</w:t>
            </w:r>
          </w:p>
        </w:tc>
        <w:tc>
          <w:tcPr>
            <w:tcW w:type="dxa" w:w="2048"/>
          </w:tcPr>
          <w:p>
            <w:pPr>
              <w:spacing w:before="0" w:after="0" w:line="240" w:lineRule="auto"/>
              <w:ind w:firstLine="0"/>
              <w:jc w:val="right"/>
            </w:pPr>
            <w:r/>
            <w:r>
              <w:rPr>
                <w:rFonts w:ascii="Arial" w:hAnsi="Arial" w:eastAsia="微软雅黑" w:cs="Arial"/>
                <w:b w:val="0"/>
                <w:color w:val="5F666A"/>
                <w:sz w:val="17"/>
              </w:rPr>
              <w:t>41%</w:t>
            </w:r>
          </w:p>
        </w:tc>
        <w:tc>
          <w:tcPr>
            <w:tcW w:type="dxa" w:w="2048"/>
          </w:tcPr>
          <w:p>
            <w:pPr>
              <w:spacing w:before="0" w:after="0" w:line="240" w:lineRule="auto"/>
              <w:ind w:firstLine="0"/>
              <w:jc w:val="right"/>
            </w:pPr>
            <w:r/>
            <w:r>
              <w:rPr>
                <w:rFonts w:ascii="Arial" w:hAnsi="Arial" w:eastAsia="微软雅黑" w:cs="Arial"/>
                <w:b w:val="0"/>
                <w:color w:val="5F666A"/>
                <w:sz w:val="17"/>
              </w:rPr>
              <w:t>31%</w:t>
            </w:r>
          </w:p>
        </w:tc>
        <w:tc>
          <w:tcPr>
            <w:tcW w:type="dxa" w:w="2048"/>
          </w:tcPr>
          <w:p>
            <w:pPr>
              <w:spacing w:before="0" w:after="0" w:line="240" w:lineRule="auto"/>
              <w:ind w:firstLine="0"/>
              <w:jc w:val="right"/>
            </w:pPr>
            <w:r/>
            <w:r>
              <w:rPr>
                <w:rFonts w:ascii="Arial" w:hAnsi="Arial" w:eastAsia="微软雅黑" w:cs="Arial"/>
                <w:b w:val="0"/>
                <w:color w:val="5F666A"/>
                <w:sz w:val="17"/>
              </w:rPr>
              <w:t>76%</w:t>
            </w:r>
          </w:p>
        </w:tc>
        <w:tc>
          <w:tcPr>
            <w:tcW w:type="dxa" w:w="2048"/>
          </w:tcPr>
          <w:p>
            <w:pPr>
              <w:spacing w:before="0" w:after="0" w:line="240" w:lineRule="auto"/>
              <w:ind w:firstLine="0"/>
              <w:jc w:val="left"/>
            </w:pPr>
            <w:r/>
            <w:r>
              <w:rPr>
                <w:rFonts w:ascii="Arial" w:hAnsi="Arial" w:eastAsia="微软雅黑" w:cs="Arial"/>
                <w:b w:val="0"/>
                <w:color w:val="5F666A"/>
                <w:sz w:val="17"/>
              </w:rPr>
              <w:t>55 days</w:t>
            </w:r>
          </w:p>
        </w:tc>
      </w:tr>
      <w:tr>
        <w:tc>
          <w:tcPr>
            <w:tcW w:type="dxa" w:w="2048"/>
          </w:tcPr>
          <w:p>
            <w:pPr>
              <w:spacing w:before="0" w:after="0" w:line="240" w:lineRule="auto"/>
              <w:ind w:firstLine="0"/>
              <w:jc w:val="left"/>
            </w:pPr>
            <w:r/>
            <w:r>
              <w:rPr>
                <w:rFonts w:ascii="Arial" w:hAnsi="Arial" w:eastAsia="微软雅黑" w:cs="Arial"/>
                <w:b w:val="0"/>
                <w:color w:val="5F666A"/>
                <w:sz w:val="17"/>
              </w:rPr>
              <w:t>Remote diagnostics and AI monitoring</w:t>
            </w:r>
          </w:p>
        </w:tc>
        <w:tc>
          <w:tcPr>
            <w:tcW w:type="dxa" w:w="2048"/>
          </w:tcPr>
          <w:p>
            <w:pPr>
              <w:spacing w:before="0" w:after="0" w:line="240" w:lineRule="auto"/>
              <w:ind w:firstLine="0"/>
              <w:jc w:val="right"/>
            </w:pPr>
            <w:r/>
            <w:r>
              <w:rPr>
                <w:rFonts w:ascii="Arial" w:hAnsi="Arial" w:eastAsia="微软雅黑" w:cs="Arial"/>
                <w:b w:val="0"/>
                <w:color w:val="5F666A"/>
                <w:sz w:val="17"/>
              </w:rPr>
              <w:t>14%</w:t>
            </w:r>
          </w:p>
        </w:tc>
        <w:tc>
          <w:tcPr>
            <w:tcW w:type="dxa" w:w="2048"/>
          </w:tcPr>
          <w:p>
            <w:pPr>
              <w:spacing w:before="0" w:after="0" w:line="240" w:lineRule="auto"/>
              <w:ind w:firstLine="0"/>
              <w:jc w:val="right"/>
            </w:pPr>
            <w:r/>
            <w:r>
              <w:rPr>
                <w:rFonts w:ascii="Arial" w:hAnsi="Arial" w:eastAsia="微软雅黑" w:cs="Arial"/>
                <w:b w:val="0"/>
                <w:color w:val="5F666A"/>
                <w:sz w:val="17"/>
              </w:rPr>
              <w:t>46%</w:t>
            </w:r>
          </w:p>
        </w:tc>
        <w:tc>
          <w:tcPr>
            <w:tcW w:type="dxa" w:w="2048"/>
          </w:tcPr>
          <w:p>
            <w:pPr>
              <w:spacing w:before="0" w:after="0" w:line="240" w:lineRule="auto"/>
              <w:ind w:firstLine="0"/>
              <w:jc w:val="right"/>
            </w:pPr>
            <w:r/>
            <w:r>
              <w:rPr>
                <w:rFonts w:ascii="Arial" w:hAnsi="Arial" w:eastAsia="微软雅黑" w:cs="Arial"/>
                <w:b w:val="0"/>
                <w:color w:val="5F666A"/>
                <w:sz w:val="17"/>
              </w:rPr>
              <w:t>84%</w:t>
            </w:r>
          </w:p>
        </w:tc>
        <w:tc>
          <w:tcPr>
            <w:tcW w:type="dxa" w:w="2048"/>
          </w:tcPr>
          <w:p>
            <w:pPr>
              <w:spacing w:before="0" w:after="0" w:line="240" w:lineRule="auto"/>
              <w:ind w:firstLine="0"/>
              <w:jc w:val="left"/>
            </w:pPr>
            <w:r/>
            <w:r>
              <w:rPr>
                <w:rFonts w:ascii="Arial" w:hAnsi="Arial" w:eastAsia="微软雅黑" w:cs="Arial"/>
                <w:b w:val="0"/>
                <w:color w:val="5F666A"/>
                <w:sz w:val="17"/>
              </w:rPr>
              <w:t>43 days</w:t>
            </w:r>
          </w:p>
        </w:tc>
      </w:tr>
      <w:tr>
        <w:tc>
          <w:tcPr>
            <w:tcW w:type="dxa" w:w="2048"/>
          </w:tcPr>
          <w:p>
            <w:pPr>
              <w:spacing w:before="0" w:after="0" w:line="240" w:lineRule="auto"/>
              <w:ind w:firstLine="0"/>
              <w:jc w:val="left"/>
            </w:pPr>
            <w:r/>
            <w:r>
              <w:rPr>
                <w:rFonts w:ascii="Arial" w:hAnsi="Arial" w:eastAsia="微软雅黑" w:cs="Arial"/>
                <w:b w:val="0"/>
                <w:color w:val="5F666A"/>
                <w:sz w:val="17"/>
              </w:rPr>
              <w:t>Retrofit and energy optimization</w:t>
            </w:r>
          </w:p>
        </w:tc>
        <w:tc>
          <w:tcPr>
            <w:tcW w:type="dxa" w:w="2048"/>
          </w:tcPr>
          <w:p>
            <w:pPr>
              <w:spacing w:before="0" w:after="0" w:line="240" w:lineRule="auto"/>
              <w:ind w:firstLine="0"/>
              <w:jc w:val="right"/>
            </w:pPr>
            <w:r/>
            <w:r>
              <w:rPr>
                <w:rFonts w:ascii="Arial" w:hAnsi="Arial" w:eastAsia="微软雅黑" w:cs="Arial"/>
                <w:b w:val="0"/>
                <w:color w:val="5F666A"/>
                <w:sz w:val="17"/>
              </w:rPr>
              <w:t>10%</w:t>
            </w:r>
          </w:p>
        </w:tc>
        <w:tc>
          <w:tcPr>
            <w:tcW w:type="dxa" w:w="2048"/>
          </w:tcPr>
          <w:p>
            <w:pPr>
              <w:spacing w:before="0" w:after="0" w:line="240" w:lineRule="auto"/>
              <w:ind w:firstLine="0"/>
              <w:jc w:val="right"/>
            </w:pPr>
            <w:r/>
            <w:r>
              <w:rPr>
                <w:rFonts w:ascii="Arial" w:hAnsi="Arial" w:eastAsia="微软雅黑" w:cs="Arial"/>
                <w:b w:val="0"/>
                <w:color w:val="5F666A"/>
                <w:sz w:val="17"/>
              </w:rPr>
              <w:t>27%</w:t>
            </w:r>
          </w:p>
        </w:tc>
        <w:tc>
          <w:tcPr>
            <w:tcW w:type="dxa" w:w="2048"/>
          </w:tcPr>
          <w:p>
            <w:pPr>
              <w:spacing w:before="0" w:after="0" w:line="240" w:lineRule="auto"/>
              <w:ind w:firstLine="0"/>
              <w:jc w:val="right"/>
            </w:pPr>
            <w:r/>
            <w:r>
              <w:rPr>
                <w:rFonts w:ascii="Arial" w:hAnsi="Arial" w:eastAsia="微软雅黑" w:cs="Arial"/>
                <w:b w:val="0"/>
                <w:color w:val="5F666A"/>
                <w:sz w:val="17"/>
              </w:rPr>
              <w:t>29%</w:t>
            </w:r>
          </w:p>
        </w:tc>
        <w:tc>
          <w:tcPr>
            <w:tcW w:type="dxa" w:w="2048"/>
          </w:tcPr>
          <w:p>
            <w:pPr>
              <w:spacing w:before="0" w:after="0" w:line="240" w:lineRule="auto"/>
              <w:ind w:firstLine="0"/>
              <w:jc w:val="left"/>
            </w:pPr>
            <w:r/>
            <w:r>
              <w:rPr>
                <w:rFonts w:ascii="Arial" w:hAnsi="Arial" w:eastAsia="微软雅黑" w:cs="Arial"/>
                <w:b w:val="0"/>
                <w:color w:val="5F666A"/>
                <w:sz w:val="17"/>
              </w:rPr>
              <w:t>79 days</w:t>
            </w:r>
          </w:p>
        </w:tc>
      </w:tr>
    </w:tbl>
    <w:p>
      <w:pPr>
        <w:pStyle w:val="TealTableCaption"/>
        <w:keepNext w:val="0"/>
        <w:spacing w:line="240" w:lineRule="auto" w:before="0" w:after="120"/>
        <w:ind w:firstLine="0"/>
        <w:jc w:val="left"/>
      </w:pPr>
      <w:r>
        <w:rPr>
          <w:rFonts w:ascii="Arial" w:hAnsi="Arial" w:eastAsia="微软雅黑" w:cs="Arial"/>
          <w:b w:val="0"/>
          <w:color w:val="6F777B"/>
          <w:sz w:val="14"/>
        </w:rPr>
        <w:t>Notes: All metrics are fictional case inputs designed to test table treatment under the refined preset workflow.</w:t>
      </w:r>
    </w:p>
    <w:p>
      <w:pPr>
        <w:sectPr>
          <w:type w:val="continuous"/>
          <w:pgSz w:w="11909" w:h="16834"/>
          <w:pgMar w:top="835" w:right="835" w:bottom="835" w:left="835" w:header="720" w:footer="720" w:gutter="0"/>
          <w:cols w:space="403" w:num="1"/>
          <w:docGrid w:linePitch="360"/>
        </w:sectPr>
      </w:pPr>
    </w:p>
    <w:p>
      <w:pPr>
        <w:pStyle w:val="TealBody"/>
        <w:keepNext w:val="0"/>
        <w:spacing w:line="259" w:lineRule="auto" w:before="0" w:after="120"/>
        <w:ind w:firstLine="0"/>
        <w:jc w:val="left"/>
      </w:pPr>
      <w:r>
        <w:rPr>
          <w:rFonts w:ascii="Arial" w:hAnsi="Arial" w:eastAsia="微软雅黑" w:cs="Arial"/>
          <w:b w:val="0"/>
          <w:color w:val="5F666A"/>
          <w:sz w:val="18"/>
        </w:rPr>
        <w:t>The branch review shows the same pattern. High-performing branches are not merely selling more. They are selling a more stable mix, planning labor against a cleaner demand base, and using remote triage to suppress unnecessary visits. Lower-performing branches often have reasonable market potential, but their discounting thresholds are loose, planner roles are administrative rather than economic, and service packages are too bespoke to scale efficiently.</w:t>
      </w:r>
    </w:p>
    <w:p>
      <w:pPr>
        <w:sectPr>
          <w:type w:val="continuous"/>
          <w:pgSz w:w="11909" w:h="16834"/>
          <w:pgMar w:top="835" w:right="835" w:bottom="835" w:left="835" w:header="720" w:footer="720" w:gutter="0"/>
          <w:cols w:space="403" w:num="2"/>
          <w:docGrid w:linePitch="360"/>
        </w:sectPr>
      </w:pPr>
    </w:p>
    <w:p>
      <w:pPr>
        <w:pStyle w:val="TealFigureTitle"/>
        <w:keepNext/>
        <w:spacing w:line="240" w:lineRule="auto" w:before="160" w:after="40"/>
        <w:ind w:firstLine="0"/>
        <w:jc w:val="left"/>
      </w:pPr>
      <w:r>
        <w:rPr>
          <w:rFonts w:ascii="Arial" w:hAnsi="Arial" w:eastAsia="微软雅黑" w:cs="Arial"/>
          <w:b/>
          <w:color w:val="30383D"/>
          <w:sz w:val="22"/>
        </w:rPr>
        <w:t>Exhibit 1  Subscription and remote service mix can expand margin without increasing field complexity</w:t>
      </w:r>
    </w:p>
    <w:p>
      <w:pPr>
        <w:pStyle w:val="TealFigureBody"/>
        <w:spacing w:before="0" w:after="0"/>
        <w:jc w:val="center"/>
      </w:pPr>
      <w:r>
        <w:drawing>
          <wp:inline xmlns:a="http://schemas.openxmlformats.org/drawingml/2006/main" xmlns:pic="http://schemas.openxmlformats.org/drawingml/2006/picture">
            <wp:extent cx="5806440" cy="3351443"/>
            <wp:docPr id="1" name="Picture 1"/>
            <wp:cNvGraphicFramePr>
              <a:graphicFrameLocks noChangeAspect="1"/>
            </wp:cNvGraphicFramePr>
            <a:graphic>
              <a:graphicData uri="http://schemas.openxmlformats.org/drawingml/2006/picture">
                <pic:pic>
                  <pic:nvPicPr>
                    <pic:cNvPr id="0" name="service_mix_margin_profile.png"/>
                    <pic:cNvPicPr/>
                  </pic:nvPicPr>
                  <pic:blipFill>
                    <a:blip r:embed="rId9"/>
                    <a:stretch>
                      <a:fillRect/>
                    </a:stretch>
                  </pic:blipFill>
                  <pic:spPr>
                    <a:xfrm>
                      <a:off x="0" y="0"/>
                      <a:ext cx="5806440" cy="3351443"/>
                    </a:xfrm>
                    <a:prstGeom prst="rect"/>
                  </pic:spPr>
                </pic:pic>
              </a:graphicData>
            </a:graphic>
          </wp:inline>
        </w:drawing>
      </w:r>
    </w:p>
    <w:p>
      <w:pPr>
        <w:pStyle w:val="TealFigureNote"/>
        <w:keepNext w:val="0"/>
        <w:spacing w:line="240" w:lineRule="auto" w:before="0" w:after="40"/>
        <w:ind w:firstLine="0"/>
        <w:jc w:val="left"/>
      </w:pPr>
      <w:r>
        <w:rPr>
          <w:rFonts w:ascii="Arial" w:hAnsi="Arial" w:eastAsia="微软雅黑" w:cs="Arial"/>
          <w:b w:val="0"/>
          <w:color w:val="6F777B"/>
          <w:sz w:val="14"/>
        </w:rPr>
        <w:t>Notes: Reactive work declines as recurring contracts and remote diagnostics scale, allowing margin expansion without a proportional increase in dispatch volatility.</w:t>
      </w:r>
    </w:p>
    <w:p>
      <w:pPr>
        <w:pStyle w:val="TealSourceNote"/>
        <w:keepNext w:val="0"/>
        <w:spacing w:line="240" w:lineRule="auto" w:before="0" w:after="120"/>
        <w:ind w:firstLine="0"/>
        <w:jc w:val="left"/>
      </w:pPr>
      <w:r>
        <w:rPr>
          <w:rFonts w:ascii="Arial" w:hAnsi="Arial" w:eastAsia="微软雅黑" w:cs="Arial"/>
          <w:b w:val="0"/>
          <w:color w:val="6F777B"/>
          <w:sz w:val="14"/>
        </w:rPr>
        <w:t>Source: Helios management interviews and team analysis based on fictional assumptions.</w:t>
      </w:r>
    </w:p>
    <w:p>
      <w:pPr>
        <w:sectPr>
          <w:type w:val="continuous"/>
          <w:pgSz w:w="11909" w:h="16834"/>
          <w:pgMar w:top="835" w:right="835" w:bottom="835" w:left="835" w:header="720" w:footer="720" w:gutter="0"/>
          <w:cols w:space="403" w:num="1"/>
          <w:docGrid w:linePitch="360"/>
        </w:sectPr>
      </w:pPr>
    </w:p>
    <w:p>
      <w:pPr>
        <w:pStyle w:val="TealBody"/>
        <w:keepNext w:val="0"/>
        <w:spacing w:line="259" w:lineRule="auto" w:before="0" w:after="120"/>
        <w:ind w:firstLine="0"/>
        <w:jc w:val="left"/>
      </w:pPr>
      <w:r>
        <w:rPr>
          <w:rFonts w:ascii="Arial" w:hAnsi="Arial" w:eastAsia="微软雅黑" w:cs="Arial"/>
          <w:b w:val="0"/>
          <w:color w:val="5F666A"/>
          <w:sz w:val="18"/>
        </w:rPr>
        <w:t>This is why the transformation should begin with economics, not with tooling. AI-enabled remote resolution matters because it changes the demand that reaches the field organization. A better planner cockpit matters because it helps the branch make daily trade-offs among response time, travel, technician skill, and contract value. The technology stack is part of the answer, but only when the commercial model and branch routines are redesigned around it.</w:t>
      </w:r>
    </w:p>
    <w:p>
      <w:pPr>
        <w:pStyle w:val="TealHeading1"/>
        <w:keepNext/>
        <w:spacing w:line="252" w:lineRule="auto" w:before="200" w:after="280"/>
        <w:ind w:firstLine="0"/>
        <w:jc w:val="left"/>
      </w:pPr>
      <w:r>
        <w:rPr>
          <w:rFonts w:ascii="Arial" w:hAnsi="Arial" w:eastAsia="微软雅黑" w:cs="Arial"/>
          <w:b/>
          <w:color w:val="16845F"/>
          <w:sz w:val="56"/>
        </w:rPr>
        <w:t>What the target operating model should look like</w:t>
      </w:r>
    </w:p>
    <w:p>
      <w:pPr>
        <w:pStyle w:val="TealBody"/>
        <w:keepNext w:val="0"/>
        <w:spacing w:line="259" w:lineRule="auto" w:before="0" w:after="120"/>
        <w:ind w:firstLine="0"/>
        <w:jc w:val="left"/>
      </w:pPr>
      <w:r>
        <w:rPr>
          <w:rFonts w:ascii="Arial" w:hAnsi="Arial" w:eastAsia="微软雅黑" w:cs="Arial"/>
          <w:b w:val="0"/>
          <w:color w:val="5F666A"/>
          <w:sz w:val="18"/>
        </w:rPr>
        <w:t>The next operating model for Helios should rest on three linked design choices. First, the company needs a cleaner commercial architecture built around a limited set of recurring service packages, each with explicit response standards, remote support rules, and spare-parts coverage boundaries. Second, the branch operating model needs an economic planner role with authority to sequence work against margin and SLA commitments rather than simply confirm technician availability. Third, the central team needs a small performance office that reviews branch attach rate, remote resolution, overtime, rework, and dispatch-to-quote conversion in one cadence.</w:t>
      </w:r>
    </w:p>
    <w:p>
      <w:pPr>
        <w:sectPr>
          <w:type w:val="continuous"/>
          <w:pgSz w:w="11909" w:h="16834"/>
          <w:pgMar w:top="835" w:right="835" w:bottom="835" w:left="835" w:header="720" w:footer="720" w:gutter="0"/>
          <w:cols w:space="403" w:num="2"/>
          <w:docGrid w:linePitch="360"/>
        </w:sectPr>
      </w:pPr>
    </w:p>
    <w:p>
      <w:pPr>
        <w:pStyle w:val="TealFigureTitle"/>
        <w:keepNext/>
        <w:spacing w:line="240" w:lineRule="auto" w:before="160" w:after="40"/>
        <w:ind w:firstLine="0"/>
        <w:jc w:val="left"/>
      </w:pPr>
      <w:r>
        <w:rPr>
          <w:rFonts w:ascii="Arial" w:hAnsi="Arial" w:eastAsia="微软雅黑" w:cs="Arial"/>
          <w:b/>
          <w:color w:val="30383D"/>
          <w:sz w:val="22"/>
        </w:rPr>
        <w:t>Exhibit 2  Branch archetypes show where to scale, fix, and reprice</w:t>
      </w:r>
    </w:p>
    <w:p>
      <w:pPr>
        <w:pStyle w:val="TealFigureBody"/>
        <w:spacing w:before="0" w:after="0"/>
        <w:jc w:val="center"/>
      </w:pPr>
      <w:r>
        <w:drawing>
          <wp:inline xmlns:a="http://schemas.openxmlformats.org/drawingml/2006/main" xmlns:pic="http://schemas.openxmlformats.org/drawingml/2006/picture">
            <wp:extent cx="5806440" cy="3351443"/>
            <wp:docPr id="2" name="Picture 2"/>
            <wp:cNvGraphicFramePr>
              <a:graphicFrameLocks noChangeAspect="1"/>
            </wp:cNvGraphicFramePr>
            <a:graphic>
              <a:graphicData uri="http://schemas.openxmlformats.org/drawingml/2006/picture">
                <pic:pic>
                  <pic:nvPicPr>
                    <pic:cNvPr id="0" name="branch_priority_matrix.png"/>
                    <pic:cNvPicPr/>
                  </pic:nvPicPr>
                  <pic:blipFill>
                    <a:blip r:embed="rId10"/>
                    <a:stretch>
                      <a:fillRect/>
                    </a:stretch>
                  </pic:blipFill>
                  <pic:spPr>
                    <a:xfrm>
                      <a:off x="0" y="0"/>
                      <a:ext cx="5806440" cy="3351443"/>
                    </a:xfrm>
                    <a:prstGeom prst="rect"/>
                  </pic:spPr>
                </pic:pic>
              </a:graphicData>
            </a:graphic>
          </wp:inline>
        </w:drawing>
      </w:r>
    </w:p>
    <w:p>
      <w:pPr>
        <w:pStyle w:val="TealFigureNote"/>
        <w:keepNext w:val="0"/>
        <w:spacing w:line="240" w:lineRule="auto" w:before="0" w:after="40"/>
        <w:ind w:firstLine="0"/>
        <w:jc w:val="left"/>
      </w:pPr>
      <w:r>
        <w:rPr>
          <w:rFonts w:ascii="Arial" w:hAnsi="Arial" w:eastAsia="微软雅黑" w:cs="Arial"/>
          <w:b w:val="0"/>
          <w:color w:val="6F777B"/>
          <w:sz w:val="14"/>
        </w:rPr>
        <w:t>Notes: The matrix distinguishes branches that are ready to scale from branches that need pricing, scheduling, or service-package repair before further growth.</w:t>
      </w:r>
    </w:p>
    <w:p>
      <w:pPr>
        <w:pStyle w:val="TealSourceNote"/>
        <w:keepNext w:val="0"/>
        <w:spacing w:line="240" w:lineRule="auto" w:before="0" w:after="120"/>
        <w:ind w:firstLine="0"/>
        <w:jc w:val="left"/>
      </w:pPr>
      <w:r>
        <w:rPr>
          <w:rFonts w:ascii="Arial" w:hAnsi="Arial" w:eastAsia="微软雅黑" w:cs="Arial"/>
          <w:b w:val="0"/>
          <w:color w:val="6F777B"/>
          <w:sz w:val="14"/>
        </w:rPr>
        <w:t>Source: Helios operating review based on six fictional branch archetypes.</w:t>
      </w:r>
    </w:p>
    <w:p>
      <w:pPr>
        <w:sectPr>
          <w:type w:val="continuous"/>
          <w:pgSz w:w="11909" w:h="16834"/>
          <w:pgMar w:top="835" w:right="835" w:bottom="835" w:left="835" w:header="720" w:footer="720" w:gutter="0"/>
          <w:cols w:space="403" w:num="1"/>
          <w:docGrid w:linePitch="360"/>
        </w:sectPr>
      </w:pPr>
    </w:p>
    <w:p>
      <w:pPr>
        <w:pStyle w:val="TealBody"/>
        <w:keepNext w:val="0"/>
        <w:spacing w:line="259" w:lineRule="auto" w:before="0" w:after="120"/>
        <w:ind w:firstLine="0"/>
        <w:jc w:val="left"/>
      </w:pPr>
      <w:r>
        <w:rPr>
          <w:rFonts w:ascii="Arial" w:hAnsi="Arial" w:eastAsia="微软雅黑" w:cs="Arial"/>
          <w:b w:val="0"/>
          <w:color w:val="5F666A"/>
          <w:sz w:val="18"/>
        </w:rPr>
        <w:t>The operating implication is that branches should not all be asked to do the same thing at the same time. A branch with strong attach rates and good technician productivity should scale recurring contracts aggressively. A branch with weak productivity but healthy demand should focus on planner discipline and route design before adding capacity. A branch with weak attach and weak productivity should not receive more lead flow until pricing, package design, and branch leadership are reset.</w:t>
      </w:r>
    </w:p>
    <w:p>
      <w:pPr>
        <w:sectPr>
          <w:type w:val="continuous"/>
          <w:pgSz w:w="11909" w:h="16834"/>
          <w:pgMar w:top="835" w:right="835" w:bottom="835" w:left="835" w:header="720" w:footer="720" w:gutter="0"/>
          <w:cols w:space="403" w:num="2"/>
          <w:docGrid w:linePitch="360"/>
        </w:sectPr>
      </w:pPr>
    </w:p>
    <w:p>
      <w:pPr>
        <w:pStyle w:val="TealTableTitle"/>
        <w:keepNext/>
        <w:spacing w:line="240" w:lineRule="auto" w:before="160" w:after="60"/>
        <w:ind w:firstLine="0"/>
        <w:jc w:val="left"/>
      </w:pPr>
      <w:r>
        <w:rPr>
          <w:rFonts w:ascii="Arial" w:hAnsi="Arial" w:eastAsia="微软雅黑" w:cs="Arial"/>
          <w:b/>
          <w:color w:val="30383D"/>
          <w:sz w:val="20"/>
        </w:rPr>
        <w:t>Table 2  Twelve-month transformation roadmap</w:t>
      </w:r>
    </w:p>
    <w:tbl>
      <w:tblPr>
        <w:tblStyle w:val="TableGrid"/>
        <w:tblW w:type="auto" w:w="0"/>
        <w:tblLayout w:type="autofit"/>
        <w:tblLook w:firstColumn="1" w:firstRow="1" w:lastColumn="0" w:lastRow="0" w:noHBand="0" w:noVBand="1" w:val="04A0"/>
        <w:tblBorders>
          <w:top w:val="single" w:sz="4" w:space="0" w:color="BFD6CE"/>
          <w:left w:val="single" w:sz="4" w:space="0" w:color="BFD6CE"/>
          <w:bottom w:val="single" w:sz="4" w:space="0" w:color="BFD6CE"/>
          <w:right w:val="single" w:sz="4" w:space="0" w:color="BFD6CE"/>
          <w:insideH w:val="single" w:sz="4" w:space="0" w:color="BFD6CE"/>
          <w:insideV w:val="single" w:sz="4" w:space="0" w:color="BFD6CE"/>
        </w:tblBorders>
      </w:tblPr>
      <w:tblGrid>
        <w:gridCol w:w="2048"/>
        <w:gridCol w:w="2048"/>
        <w:gridCol w:w="2048"/>
        <w:gridCol w:w="2048"/>
        <w:gridCol w:w="2048"/>
      </w:tblGrid>
      <w:tr>
        <w:tc>
          <w:tcPr>
            <w:tcW w:type="dxa" w:w="2048"/>
            <w:shd w:fill="EFF5F3"/>
          </w:tcPr>
          <w:p>
            <w:pPr>
              <w:spacing w:before="0" w:after="0" w:line="240" w:lineRule="auto"/>
              <w:ind w:firstLine="0"/>
              <w:jc w:val="center"/>
            </w:pPr>
            <w:r/>
            <w:r>
              <w:rPr>
                <w:rFonts w:ascii="Arial" w:hAnsi="Arial" w:eastAsia="微软雅黑" w:cs="Arial"/>
                <w:b/>
                <w:color w:val="30383D"/>
                <w:sz w:val="17"/>
              </w:rPr>
              <w:t>Wave</w:t>
            </w:r>
          </w:p>
        </w:tc>
        <w:tc>
          <w:tcPr>
            <w:tcW w:type="dxa" w:w="2048"/>
            <w:shd w:fill="EFF5F3"/>
          </w:tcPr>
          <w:p>
            <w:pPr>
              <w:spacing w:before="0" w:after="0" w:line="240" w:lineRule="auto"/>
              <w:ind w:firstLine="0"/>
              <w:jc w:val="center"/>
            </w:pPr>
            <w:r/>
            <w:r>
              <w:rPr>
                <w:rFonts w:ascii="Arial" w:hAnsi="Arial" w:eastAsia="微软雅黑" w:cs="Arial"/>
                <w:b/>
                <w:color w:val="30383D"/>
                <w:sz w:val="17"/>
              </w:rPr>
              <w:t>Timing</w:t>
            </w:r>
          </w:p>
        </w:tc>
        <w:tc>
          <w:tcPr>
            <w:tcW w:type="dxa" w:w="2048"/>
            <w:shd w:fill="EFF5F3"/>
          </w:tcPr>
          <w:p>
            <w:pPr>
              <w:spacing w:before="0" w:after="0" w:line="240" w:lineRule="auto"/>
              <w:ind w:firstLine="0"/>
              <w:jc w:val="center"/>
            </w:pPr>
            <w:r/>
            <w:r>
              <w:rPr>
                <w:rFonts w:ascii="Arial" w:hAnsi="Arial" w:eastAsia="微软雅黑" w:cs="Arial"/>
                <w:b/>
                <w:color w:val="30383D"/>
                <w:sz w:val="17"/>
              </w:rPr>
              <w:t>Core moves</w:t>
            </w:r>
          </w:p>
        </w:tc>
        <w:tc>
          <w:tcPr>
            <w:tcW w:type="dxa" w:w="2048"/>
            <w:shd w:fill="EFF5F3"/>
          </w:tcPr>
          <w:p>
            <w:pPr>
              <w:spacing w:before="0" w:after="0" w:line="240" w:lineRule="auto"/>
              <w:ind w:firstLine="0"/>
              <w:jc w:val="center"/>
            </w:pPr>
            <w:r/>
            <w:r>
              <w:rPr>
                <w:rFonts w:ascii="Arial" w:hAnsi="Arial" w:eastAsia="微软雅黑" w:cs="Arial"/>
                <w:b/>
                <w:color w:val="30383D"/>
                <w:sz w:val="17"/>
              </w:rPr>
              <w:t>Primary owner</w:t>
            </w:r>
          </w:p>
        </w:tc>
        <w:tc>
          <w:tcPr>
            <w:tcW w:type="dxa" w:w="2048"/>
            <w:shd w:fill="EFF5F3"/>
          </w:tcPr>
          <w:p>
            <w:pPr>
              <w:spacing w:before="0" w:after="0" w:line="240" w:lineRule="auto"/>
              <w:ind w:firstLine="0"/>
              <w:jc w:val="center"/>
            </w:pPr>
            <w:r/>
            <w:r>
              <w:rPr>
                <w:rFonts w:ascii="Arial" w:hAnsi="Arial" w:eastAsia="微软雅黑" w:cs="Arial"/>
                <w:b/>
                <w:color w:val="30383D"/>
                <w:sz w:val="17"/>
              </w:rPr>
              <w:t>Expected business effect</w:t>
            </w:r>
          </w:p>
        </w:tc>
      </w:tr>
      <w:tr>
        <w:tc>
          <w:tcPr>
            <w:tcW w:type="dxa" w:w="2048"/>
          </w:tcPr>
          <w:p>
            <w:pPr>
              <w:spacing w:before="0" w:after="0" w:line="240" w:lineRule="auto"/>
              <w:ind w:firstLine="0"/>
              <w:jc w:val="left"/>
            </w:pPr>
            <w:r/>
            <w:r>
              <w:rPr>
                <w:rFonts w:ascii="Arial" w:hAnsi="Arial" w:eastAsia="微软雅黑" w:cs="Arial"/>
                <w:b w:val="0"/>
                <w:color w:val="5F666A"/>
                <w:sz w:val="17"/>
              </w:rPr>
              <w:t>Wave 1</w:t>
            </w:r>
          </w:p>
        </w:tc>
        <w:tc>
          <w:tcPr>
            <w:tcW w:type="dxa" w:w="2048"/>
          </w:tcPr>
          <w:p>
            <w:pPr>
              <w:spacing w:before="0" w:after="0" w:line="240" w:lineRule="auto"/>
              <w:ind w:firstLine="0"/>
              <w:jc w:val="left"/>
            </w:pPr>
            <w:r/>
            <w:r>
              <w:rPr>
                <w:rFonts w:ascii="Arial" w:hAnsi="Arial" w:eastAsia="微软雅黑" w:cs="Arial"/>
                <w:b w:val="0"/>
                <w:color w:val="5F666A"/>
                <w:sz w:val="17"/>
              </w:rPr>
              <w:t>0-90 days</w:t>
            </w:r>
          </w:p>
        </w:tc>
        <w:tc>
          <w:tcPr>
            <w:tcW w:type="dxa" w:w="2048"/>
          </w:tcPr>
          <w:p>
            <w:pPr>
              <w:spacing w:before="0" w:after="0" w:line="240" w:lineRule="auto"/>
              <w:ind w:firstLine="0"/>
              <w:jc w:val="left"/>
            </w:pPr>
            <w:r/>
            <w:r>
              <w:rPr>
                <w:rFonts w:ascii="Arial" w:hAnsi="Arial" w:eastAsia="微软雅黑" w:cs="Arial"/>
                <w:b w:val="0"/>
                <w:color w:val="5F666A"/>
                <w:sz w:val="17"/>
              </w:rPr>
              <w:t>Tighten discount rules, launch remote triage gate, define planner scorecard</w:t>
            </w:r>
          </w:p>
        </w:tc>
        <w:tc>
          <w:tcPr>
            <w:tcW w:type="dxa" w:w="2048"/>
          </w:tcPr>
          <w:p>
            <w:pPr>
              <w:spacing w:before="0" w:after="0" w:line="240" w:lineRule="auto"/>
              <w:ind w:firstLine="0"/>
              <w:jc w:val="left"/>
            </w:pPr>
            <w:r/>
            <w:r>
              <w:rPr>
                <w:rFonts w:ascii="Arial" w:hAnsi="Arial" w:eastAsia="微软雅黑" w:cs="Arial"/>
                <w:b w:val="0"/>
                <w:color w:val="5F666A"/>
                <w:sz w:val="17"/>
              </w:rPr>
              <w:t>COO and chief commercial officer</w:t>
            </w:r>
          </w:p>
        </w:tc>
        <w:tc>
          <w:tcPr>
            <w:tcW w:type="dxa" w:w="2048"/>
          </w:tcPr>
          <w:p>
            <w:pPr>
              <w:spacing w:before="0" w:after="0" w:line="240" w:lineRule="auto"/>
              <w:ind w:firstLine="0"/>
              <w:jc w:val="left"/>
            </w:pPr>
            <w:r/>
            <w:r>
              <w:rPr>
                <w:rFonts w:ascii="Arial" w:hAnsi="Arial" w:eastAsia="微软雅黑" w:cs="Arial"/>
                <w:b w:val="0"/>
                <w:color w:val="5F666A"/>
                <w:sz w:val="17"/>
              </w:rPr>
              <w:t>Lower avoidable truck rolls and cleaner quote quality</w:t>
            </w:r>
          </w:p>
        </w:tc>
      </w:tr>
      <w:tr>
        <w:tc>
          <w:tcPr>
            <w:tcW w:type="dxa" w:w="2048"/>
          </w:tcPr>
          <w:p>
            <w:pPr>
              <w:spacing w:before="0" w:after="0" w:line="240" w:lineRule="auto"/>
              <w:ind w:firstLine="0"/>
              <w:jc w:val="left"/>
            </w:pPr>
            <w:r/>
            <w:r>
              <w:rPr>
                <w:rFonts w:ascii="Arial" w:hAnsi="Arial" w:eastAsia="微软雅黑" w:cs="Arial"/>
                <w:b w:val="0"/>
                <w:color w:val="5F666A"/>
                <w:sz w:val="17"/>
              </w:rPr>
              <w:t>Wave 2</w:t>
            </w:r>
          </w:p>
        </w:tc>
        <w:tc>
          <w:tcPr>
            <w:tcW w:type="dxa" w:w="2048"/>
          </w:tcPr>
          <w:p>
            <w:pPr>
              <w:spacing w:before="0" w:after="0" w:line="240" w:lineRule="auto"/>
              <w:ind w:firstLine="0"/>
              <w:jc w:val="left"/>
            </w:pPr>
            <w:r/>
            <w:r>
              <w:rPr>
                <w:rFonts w:ascii="Arial" w:hAnsi="Arial" w:eastAsia="微软雅黑" w:cs="Arial"/>
                <w:b w:val="0"/>
                <w:color w:val="5F666A"/>
                <w:sz w:val="17"/>
              </w:rPr>
              <w:t>90-180 days</w:t>
            </w:r>
          </w:p>
        </w:tc>
        <w:tc>
          <w:tcPr>
            <w:tcW w:type="dxa" w:w="2048"/>
          </w:tcPr>
          <w:p>
            <w:pPr>
              <w:spacing w:before="0" w:after="0" w:line="240" w:lineRule="auto"/>
              <w:ind w:firstLine="0"/>
              <w:jc w:val="left"/>
            </w:pPr>
            <w:r/>
            <w:r>
              <w:rPr>
                <w:rFonts w:ascii="Arial" w:hAnsi="Arial" w:eastAsia="微软雅黑" w:cs="Arial"/>
                <w:b w:val="0"/>
                <w:color w:val="5F666A"/>
                <w:sz w:val="17"/>
              </w:rPr>
              <w:t>Simplify service packages, redesign branch planning cadence, reset branch incentives</w:t>
            </w:r>
          </w:p>
        </w:tc>
        <w:tc>
          <w:tcPr>
            <w:tcW w:type="dxa" w:w="2048"/>
          </w:tcPr>
          <w:p>
            <w:pPr>
              <w:spacing w:before="0" w:after="0" w:line="240" w:lineRule="auto"/>
              <w:ind w:firstLine="0"/>
              <w:jc w:val="left"/>
            </w:pPr>
            <w:r/>
            <w:r>
              <w:rPr>
                <w:rFonts w:ascii="Arial" w:hAnsi="Arial" w:eastAsia="微软雅黑" w:cs="Arial"/>
                <w:b w:val="0"/>
                <w:color w:val="5F666A"/>
                <w:sz w:val="17"/>
              </w:rPr>
              <w:t>Service line leader and regional VPs</w:t>
            </w:r>
          </w:p>
        </w:tc>
        <w:tc>
          <w:tcPr>
            <w:tcW w:type="dxa" w:w="2048"/>
          </w:tcPr>
          <w:p>
            <w:pPr>
              <w:spacing w:before="0" w:after="0" w:line="240" w:lineRule="auto"/>
              <w:ind w:firstLine="0"/>
              <w:jc w:val="left"/>
            </w:pPr>
            <w:r/>
            <w:r>
              <w:rPr>
                <w:rFonts w:ascii="Arial" w:hAnsi="Arial" w:eastAsia="微软雅黑" w:cs="Arial"/>
                <w:b w:val="0"/>
                <w:color w:val="5F666A"/>
                <w:sz w:val="17"/>
              </w:rPr>
              <w:t>Higher recurring attach rate and better labor yield</w:t>
            </w:r>
          </w:p>
        </w:tc>
      </w:tr>
      <w:tr>
        <w:tc>
          <w:tcPr>
            <w:tcW w:type="dxa" w:w="2048"/>
          </w:tcPr>
          <w:p>
            <w:pPr>
              <w:spacing w:before="0" w:after="0" w:line="240" w:lineRule="auto"/>
              <w:ind w:firstLine="0"/>
              <w:jc w:val="left"/>
            </w:pPr>
            <w:r/>
            <w:r>
              <w:rPr>
                <w:rFonts w:ascii="Arial" w:hAnsi="Arial" w:eastAsia="微软雅黑" w:cs="Arial"/>
                <w:b w:val="0"/>
                <w:color w:val="5F666A"/>
                <w:sz w:val="17"/>
              </w:rPr>
              <w:t>Wave 3</w:t>
            </w:r>
          </w:p>
        </w:tc>
        <w:tc>
          <w:tcPr>
            <w:tcW w:type="dxa" w:w="2048"/>
          </w:tcPr>
          <w:p>
            <w:pPr>
              <w:spacing w:before="0" w:after="0" w:line="240" w:lineRule="auto"/>
              <w:ind w:firstLine="0"/>
              <w:jc w:val="left"/>
            </w:pPr>
            <w:r/>
            <w:r>
              <w:rPr>
                <w:rFonts w:ascii="Arial" w:hAnsi="Arial" w:eastAsia="微软雅黑" w:cs="Arial"/>
                <w:b w:val="0"/>
                <w:color w:val="5F666A"/>
                <w:sz w:val="17"/>
              </w:rPr>
              <w:t>180-365 days</w:t>
            </w:r>
          </w:p>
        </w:tc>
        <w:tc>
          <w:tcPr>
            <w:tcW w:type="dxa" w:w="2048"/>
          </w:tcPr>
          <w:p>
            <w:pPr>
              <w:spacing w:before="0" w:after="0" w:line="240" w:lineRule="auto"/>
              <w:ind w:firstLine="0"/>
              <w:jc w:val="left"/>
            </w:pPr>
            <w:r/>
            <w:r>
              <w:rPr>
                <w:rFonts w:ascii="Arial" w:hAnsi="Arial" w:eastAsia="微软雅黑" w:cs="Arial"/>
                <w:b w:val="0"/>
                <w:color w:val="5F666A"/>
                <w:sz w:val="17"/>
              </w:rPr>
              <w:t>Scale AI workbench, unify parts logic, expand renewal playbooks</w:t>
            </w:r>
          </w:p>
        </w:tc>
        <w:tc>
          <w:tcPr>
            <w:tcW w:type="dxa" w:w="2048"/>
          </w:tcPr>
          <w:p>
            <w:pPr>
              <w:spacing w:before="0" w:after="0" w:line="240" w:lineRule="auto"/>
              <w:ind w:firstLine="0"/>
              <w:jc w:val="left"/>
            </w:pPr>
            <w:r/>
            <w:r>
              <w:rPr>
                <w:rFonts w:ascii="Arial" w:hAnsi="Arial" w:eastAsia="微软雅黑" w:cs="Arial"/>
                <w:b w:val="0"/>
                <w:color w:val="5F666A"/>
                <w:sz w:val="17"/>
              </w:rPr>
              <w:t>CEO, CTO, and supply chain lead</w:t>
            </w:r>
          </w:p>
        </w:tc>
        <w:tc>
          <w:tcPr>
            <w:tcW w:type="dxa" w:w="2048"/>
          </w:tcPr>
          <w:p>
            <w:pPr>
              <w:spacing w:before="0" w:after="0" w:line="240" w:lineRule="auto"/>
              <w:ind w:firstLine="0"/>
              <w:jc w:val="left"/>
            </w:pPr>
            <w:r/>
            <w:r>
              <w:rPr>
                <w:rFonts w:ascii="Arial" w:hAnsi="Arial" w:eastAsia="微软雅黑" w:cs="Arial"/>
                <w:b w:val="0"/>
                <w:color w:val="5F666A"/>
                <w:sz w:val="17"/>
              </w:rPr>
              <w:t>Better margin, renewal performance, and cash discipline</w:t>
            </w:r>
          </w:p>
        </w:tc>
      </w:tr>
    </w:tbl>
    <w:p>
      <w:pPr>
        <w:pStyle w:val="TealTableCaption"/>
        <w:keepNext w:val="0"/>
        <w:spacing w:line="240" w:lineRule="auto" w:before="0" w:after="120"/>
        <w:ind w:firstLine="0"/>
        <w:jc w:val="left"/>
      </w:pPr>
      <w:r>
        <w:rPr>
          <w:rFonts w:ascii="Arial" w:hAnsi="Arial" w:eastAsia="微软雅黑" w:cs="Arial"/>
          <w:b w:val="0"/>
          <w:color w:val="6F777B"/>
          <w:sz w:val="14"/>
        </w:rPr>
        <w:t>Notes: The roadmap favors economic repair before growth acceleration so that later scale lands on a more stable operating base.</w:t>
      </w:r>
    </w:p>
    <w:p>
      <w:pPr>
        <w:sectPr>
          <w:type w:val="continuous"/>
          <w:pgSz w:w="11909" w:h="16834"/>
          <w:pgMar w:top="835" w:right="835" w:bottom="835" w:left="835" w:header="720" w:footer="720" w:gutter="0"/>
          <w:cols w:space="403" w:num="1"/>
          <w:docGrid w:linePitch="360"/>
        </w:sectPr>
      </w:pPr>
    </w:p>
    <w:p>
      <w:pPr>
        <w:pStyle w:val="TealHeading1"/>
        <w:keepNext/>
        <w:spacing w:line="252" w:lineRule="auto" w:before="200" w:after="280"/>
        <w:ind w:firstLine="0"/>
        <w:jc w:val="left"/>
      </w:pPr>
      <w:r>
        <w:rPr>
          <w:rFonts w:ascii="Arial" w:hAnsi="Arial" w:eastAsia="微软雅黑" w:cs="Arial"/>
          <w:b/>
          <w:color w:val="16845F"/>
          <w:sz w:val="56"/>
        </w:rPr>
        <w:t>How much value is at stake</w:t>
      </w:r>
    </w:p>
    <w:p>
      <w:pPr>
        <w:pStyle w:val="TealBody"/>
        <w:keepNext w:val="0"/>
        <w:spacing w:line="259" w:lineRule="auto" w:before="0" w:after="120"/>
        <w:ind w:firstLine="0"/>
        <w:jc w:val="left"/>
      </w:pPr>
      <w:r>
        <w:rPr>
          <w:rFonts w:ascii="Arial" w:hAnsi="Arial" w:eastAsia="微软雅黑" w:cs="Arial"/>
          <w:b w:val="0"/>
          <w:color w:val="5F666A"/>
          <w:sz w:val="18"/>
        </w:rPr>
        <w:t>Under the base case, the largest single value lever is not labor cost reduction. It is the mix shift toward higher-quality recurring work. Once the customer base moves into clearer service packages, remote diagnostics can absorb a larger share of fault detection, planners can reduce unnecessary travel, and branches can increase first-time fix rates without adding the same volume of premium labor hours. The combined effect is an economic model that is simpler to manage and more attractive to scale.</w:t>
      </w:r>
    </w:p>
    <w:p>
      <w:pPr>
        <w:sectPr>
          <w:type w:val="continuous"/>
          <w:pgSz w:w="11909" w:h="16834"/>
          <w:pgMar w:top="835" w:right="835" w:bottom="835" w:left="835" w:header="720" w:footer="720" w:gutter="0"/>
          <w:cols w:space="403" w:num="2"/>
          <w:docGrid w:linePitch="360"/>
        </w:sectPr>
      </w:pPr>
    </w:p>
    <w:p>
      <w:pPr>
        <w:pStyle w:val="TealFigureTitle"/>
        <w:keepNext/>
        <w:spacing w:line="240" w:lineRule="auto" w:before="160" w:after="40"/>
        <w:ind w:firstLine="0"/>
        <w:jc w:val="left"/>
      </w:pPr>
      <w:r>
        <w:rPr>
          <w:rFonts w:ascii="Arial" w:hAnsi="Arial" w:eastAsia="微软雅黑" w:cs="Arial"/>
          <w:b/>
          <w:color w:val="30383D"/>
          <w:sz w:val="22"/>
        </w:rPr>
        <w:t>Exhibit 3  Margin bridge from today’s baseline to the next steady state</w:t>
      </w:r>
    </w:p>
    <w:p>
      <w:pPr>
        <w:pStyle w:val="TealFigureBody"/>
        <w:spacing w:before="0" w:after="0"/>
        <w:jc w:val="center"/>
      </w:pPr>
      <w:r>
        <w:drawing>
          <wp:inline xmlns:a="http://schemas.openxmlformats.org/drawingml/2006/main" xmlns:pic="http://schemas.openxmlformats.org/drawingml/2006/picture">
            <wp:extent cx="5806440" cy="3257535"/>
            <wp:docPr id="3" name="Picture 3"/>
            <wp:cNvGraphicFramePr>
              <a:graphicFrameLocks noChangeAspect="1"/>
            </wp:cNvGraphicFramePr>
            <a:graphic>
              <a:graphicData uri="http://schemas.openxmlformats.org/drawingml/2006/picture">
                <pic:pic>
                  <pic:nvPicPr>
                    <pic:cNvPr id="0" name="margin_bridge.png"/>
                    <pic:cNvPicPr/>
                  </pic:nvPicPr>
                  <pic:blipFill>
                    <a:blip r:embed="rId11"/>
                    <a:stretch>
                      <a:fillRect/>
                    </a:stretch>
                  </pic:blipFill>
                  <pic:spPr>
                    <a:xfrm>
                      <a:off x="0" y="0"/>
                      <a:ext cx="5806440" cy="3257535"/>
                    </a:xfrm>
                    <a:prstGeom prst="rect"/>
                  </pic:spPr>
                </pic:pic>
              </a:graphicData>
            </a:graphic>
          </wp:inline>
        </w:drawing>
      </w:r>
    </w:p>
    <w:p>
      <w:pPr>
        <w:pStyle w:val="TealFigureNote"/>
        <w:keepNext w:val="0"/>
        <w:spacing w:line="240" w:lineRule="auto" w:before="0" w:after="40"/>
        <w:ind w:firstLine="0"/>
        <w:jc w:val="left"/>
      </w:pPr>
      <w:r>
        <w:rPr>
          <w:rFonts w:ascii="Arial" w:hAnsi="Arial" w:eastAsia="微软雅黑" w:cs="Arial"/>
          <w:b w:val="0"/>
          <w:color w:val="6F777B"/>
          <w:sz w:val="14"/>
        </w:rPr>
        <w:t>Notes: The bridge isolates the margin effect of price architecture, remote resolution, planner productivity, and spare-parts discipline.</w:t>
      </w:r>
    </w:p>
    <w:p>
      <w:pPr>
        <w:pStyle w:val="TealSourceNote"/>
        <w:keepNext w:val="0"/>
        <w:spacing w:line="240" w:lineRule="auto" w:before="0" w:after="120"/>
        <w:ind w:firstLine="0"/>
        <w:jc w:val="left"/>
      </w:pPr>
      <w:r>
        <w:rPr>
          <w:rFonts w:ascii="Arial" w:hAnsi="Arial" w:eastAsia="微软雅黑" w:cs="Arial"/>
          <w:b w:val="0"/>
          <w:color w:val="6F777B"/>
          <w:sz w:val="14"/>
        </w:rPr>
        <w:t>Source: Transformation office estimate based on fictional management assumptions.</w:t>
      </w:r>
    </w:p>
    <w:p>
      <w:pPr>
        <w:pStyle w:val="TealTableTitle"/>
        <w:keepNext/>
        <w:spacing w:line="240" w:lineRule="auto" w:before="160" w:after="60"/>
        <w:ind w:firstLine="0"/>
        <w:jc w:val="left"/>
      </w:pPr>
      <w:r>
        <w:rPr>
          <w:rFonts w:ascii="Arial" w:hAnsi="Arial" w:eastAsia="微软雅黑" w:cs="Arial"/>
          <w:b/>
          <w:color w:val="30383D"/>
          <w:sz w:val="20"/>
        </w:rPr>
        <w:t>Table 3  Target-state value capture summary</w:t>
      </w:r>
    </w:p>
    <w:tbl>
      <w:tblPr>
        <w:tblStyle w:val="TableGrid"/>
        <w:tblW w:type="auto" w:w="0"/>
        <w:tblLayout w:type="autofit"/>
        <w:tblLook w:firstColumn="1" w:firstRow="1" w:lastColumn="0" w:lastRow="0" w:noHBand="0" w:noVBand="1" w:val="04A0"/>
        <w:tblBorders>
          <w:top w:val="single" w:sz="4" w:space="0" w:color="BFD6CE"/>
          <w:left w:val="single" w:sz="4" w:space="0" w:color="BFD6CE"/>
          <w:bottom w:val="single" w:sz="4" w:space="0" w:color="BFD6CE"/>
          <w:right w:val="single" w:sz="4" w:space="0" w:color="BFD6CE"/>
          <w:insideH w:val="single" w:sz="4" w:space="0" w:color="BFD6CE"/>
          <w:insideV w:val="single" w:sz="4" w:space="0" w:color="BFD6CE"/>
        </w:tblBorders>
      </w:tblPr>
      <w:tblGrid>
        <w:gridCol w:w="2560"/>
        <w:gridCol w:w="2560"/>
        <w:gridCol w:w="2560"/>
        <w:gridCol w:w="2560"/>
      </w:tblGrid>
      <w:tr>
        <w:tc>
          <w:tcPr>
            <w:tcW w:type="dxa" w:w="2560"/>
            <w:shd w:fill="EFF5F3"/>
          </w:tcPr>
          <w:p>
            <w:pPr>
              <w:spacing w:before="0" w:after="0" w:line="240" w:lineRule="auto"/>
              <w:ind w:firstLine="0"/>
              <w:jc w:val="center"/>
            </w:pPr>
            <w:r/>
            <w:r>
              <w:rPr>
                <w:rFonts w:ascii="Arial" w:hAnsi="Arial" w:eastAsia="微软雅黑" w:cs="Arial"/>
                <w:b/>
                <w:color w:val="30383D"/>
                <w:sz w:val="17"/>
              </w:rPr>
              <w:t>Metric</w:t>
            </w:r>
          </w:p>
        </w:tc>
        <w:tc>
          <w:tcPr>
            <w:tcW w:type="dxa" w:w="2560"/>
            <w:shd w:fill="EFF5F3"/>
          </w:tcPr>
          <w:p>
            <w:pPr>
              <w:spacing w:before="0" w:after="0" w:line="240" w:lineRule="auto"/>
              <w:ind w:firstLine="0"/>
              <w:jc w:val="center"/>
            </w:pPr>
            <w:r/>
            <w:r>
              <w:rPr>
                <w:rFonts w:ascii="Arial" w:hAnsi="Arial" w:eastAsia="微软雅黑" w:cs="Arial"/>
                <w:b/>
                <w:color w:val="30383D"/>
                <w:sz w:val="17"/>
              </w:rPr>
              <w:t>Current state</w:t>
            </w:r>
          </w:p>
        </w:tc>
        <w:tc>
          <w:tcPr>
            <w:tcW w:type="dxa" w:w="2560"/>
            <w:shd w:fill="EFF5F3"/>
          </w:tcPr>
          <w:p>
            <w:pPr>
              <w:spacing w:before="0" w:after="0" w:line="240" w:lineRule="auto"/>
              <w:ind w:firstLine="0"/>
              <w:jc w:val="center"/>
            </w:pPr>
            <w:r/>
            <w:r>
              <w:rPr>
                <w:rFonts w:ascii="Arial" w:hAnsi="Arial" w:eastAsia="微软雅黑" w:cs="Arial"/>
                <w:b/>
                <w:color w:val="30383D"/>
                <w:sz w:val="17"/>
              </w:rPr>
              <w:t>12-month target</w:t>
            </w:r>
          </w:p>
        </w:tc>
        <w:tc>
          <w:tcPr>
            <w:tcW w:type="dxa" w:w="2560"/>
            <w:shd w:fill="EFF5F3"/>
          </w:tcPr>
          <w:p>
            <w:pPr>
              <w:spacing w:before="0" w:after="0" w:line="240" w:lineRule="auto"/>
              <w:ind w:firstLine="0"/>
              <w:jc w:val="center"/>
            </w:pPr>
            <w:r/>
            <w:r>
              <w:rPr>
                <w:rFonts w:ascii="Arial" w:hAnsi="Arial" w:eastAsia="微软雅黑" w:cs="Arial"/>
                <w:b/>
                <w:color w:val="30383D"/>
                <w:sz w:val="17"/>
              </w:rPr>
              <w:t>Change</w:t>
            </w:r>
          </w:p>
        </w:tc>
      </w:tr>
      <w:tr>
        <w:tc>
          <w:tcPr>
            <w:tcW w:type="dxa" w:w="2560"/>
          </w:tcPr>
          <w:p>
            <w:pPr>
              <w:spacing w:before="0" w:after="0" w:line="240" w:lineRule="auto"/>
              <w:ind w:firstLine="0"/>
              <w:jc w:val="left"/>
            </w:pPr>
            <w:r/>
            <w:r>
              <w:rPr>
                <w:rFonts w:ascii="Arial" w:hAnsi="Arial" w:eastAsia="微软雅黑" w:cs="Arial"/>
                <w:b w:val="0"/>
                <w:color w:val="5F666A"/>
                <w:sz w:val="17"/>
              </w:rPr>
              <w:t>Recurring revenue mix</w:t>
            </w:r>
          </w:p>
        </w:tc>
        <w:tc>
          <w:tcPr>
            <w:tcW w:type="dxa" w:w="2560"/>
          </w:tcPr>
          <w:p>
            <w:pPr>
              <w:spacing w:before="0" w:after="0" w:line="240" w:lineRule="auto"/>
              <w:ind w:firstLine="0"/>
              <w:jc w:val="left"/>
            </w:pPr>
            <w:r/>
            <w:r>
              <w:rPr>
                <w:rFonts w:ascii="Arial" w:hAnsi="Arial" w:eastAsia="微软雅黑" w:cs="Arial"/>
                <w:b w:val="0"/>
                <w:color w:val="5F666A"/>
                <w:sz w:val="17"/>
              </w:rPr>
              <w:t>38%</w:t>
            </w:r>
          </w:p>
        </w:tc>
        <w:tc>
          <w:tcPr>
            <w:tcW w:type="dxa" w:w="2560"/>
          </w:tcPr>
          <w:p>
            <w:pPr>
              <w:spacing w:before="0" w:after="0" w:line="240" w:lineRule="auto"/>
              <w:ind w:firstLine="0"/>
              <w:jc w:val="left"/>
            </w:pPr>
            <w:r/>
            <w:r>
              <w:rPr>
                <w:rFonts w:ascii="Arial" w:hAnsi="Arial" w:eastAsia="微软雅黑" w:cs="Arial"/>
                <w:b w:val="0"/>
                <w:color w:val="5F666A"/>
                <w:sz w:val="17"/>
              </w:rPr>
              <w:t>54%</w:t>
            </w:r>
          </w:p>
        </w:tc>
        <w:tc>
          <w:tcPr>
            <w:tcW w:type="dxa" w:w="2560"/>
          </w:tcPr>
          <w:p>
            <w:pPr>
              <w:spacing w:before="0" w:after="0" w:line="240" w:lineRule="auto"/>
              <w:ind w:firstLine="0"/>
              <w:jc w:val="left"/>
            </w:pPr>
            <w:r/>
            <w:r>
              <w:rPr>
                <w:rFonts w:ascii="Arial" w:hAnsi="Arial" w:eastAsia="微软雅黑" w:cs="Arial"/>
                <w:b w:val="0"/>
                <w:color w:val="5F666A"/>
                <w:sz w:val="17"/>
              </w:rPr>
              <w:t>+16 ppt</w:t>
            </w:r>
          </w:p>
        </w:tc>
      </w:tr>
      <w:tr>
        <w:tc>
          <w:tcPr>
            <w:tcW w:type="dxa" w:w="2560"/>
          </w:tcPr>
          <w:p>
            <w:pPr>
              <w:spacing w:before="0" w:after="0" w:line="240" w:lineRule="auto"/>
              <w:ind w:firstLine="0"/>
              <w:jc w:val="left"/>
            </w:pPr>
            <w:r/>
            <w:r>
              <w:rPr>
                <w:rFonts w:ascii="Arial" w:hAnsi="Arial" w:eastAsia="微软雅黑" w:cs="Arial"/>
                <w:b w:val="0"/>
                <w:color w:val="5F666A"/>
                <w:sz w:val="17"/>
              </w:rPr>
              <w:t>Remote resolution rate</w:t>
            </w:r>
          </w:p>
        </w:tc>
        <w:tc>
          <w:tcPr>
            <w:tcW w:type="dxa" w:w="2560"/>
          </w:tcPr>
          <w:p>
            <w:pPr>
              <w:spacing w:before="0" w:after="0" w:line="240" w:lineRule="auto"/>
              <w:ind w:firstLine="0"/>
              <w:jc w:val="left"/>
            </w:pPr>
            <w:r/>
            <w:r>
              <w:rPr>
                <w:rFonts w:ascii="Arial" w:hAnsi="Arial" w:eastAsia="微软雅黑" w:cs="Arial"/>
                <w:b w:val="0"/>
                <w:color w:val="5F666A"/>
                <w:sz w:val="17"/>
              </w:rPr>
              <w:t>9%</w:t>
            </w:r>
          </w:p>
        </w:tc>
        <w:tc>
          <w:tcPr>
            <w:tcW w:type="dxa" w:w="2560"/>
          </w:tcPr>
          <w:p>
            <w:pPr>
              <w:spacing w:before="0" w:after="0" w:line="240" w:lineRule="auto"/>
              <w:ind w:firstLine="0"/>
              <w:jc w:val="left"/>
            </w:pPr>
            <w:r/>
            <w:r>
              <w:rPr>
                <w:rFonts w:ascii="Arial" w:hAnsi="Arial" w:eastAsia="微软雅黑" w:cs="Arial"/>
                <w:b w:val="0"/>
                <w:color w:val="5F666A"/>
                <w:sz w:val="17"/>
              </w:rPr>
              <w:t>27%</w:t>
            </w:r>
          </w:p>
        </w:tc>
        <w:tc>
          <w:tcPr>
            <w:tcW w:type="dxa" w:w="2560"/>
          </w:tcPr>
          <w:p>
            <w:pPr>
              <w:spacing w:before="0" w:after="0" w:line="240" w:lineRule="auto"/>
              <w:ind w:firstLine="0"/>
              <w:jc w:val="left"/>
            </w:pPr>
            <w:r/>
            <w:r>
              <w:rPr>
                <w:rFonts w:ascii="Arial" w:hAnsi="Arial" w:eastAsia="微软雅黑" w:cs="Arial"/>
                <w:b w:val="0"/>
                <w:color w:val="5F666A"/>
                <w:sz w:val="17"/>
              </w:rPr>
              <w:t>+18 ppt</w:t>
            </w:r>
          </w:p>
        </w:tc>
      </w:tr>
      <w:tr>
        <w:tc>
          <w:tcPr>
            <w:tcW w:type="dxa" w:w="2560"/>
          </w:tcPr>
          <w:p>
            <w:pPr>
              <w:spacing w:before="0" w:after="0" w:line="240" w:lineRule="auto"/>
              <w:ind w:firstLine="0"/>
              <w:jc w:val="left"/>
            </w:pPr>
            <w:r/>
            <w:r>
              <w:rPr>
                <w:rFonts w:ascii="Arial" w:hAnsi="Arial" w:eastAsia="微软雅黑" w:cs="Arial"/>
                <w:b w:val="0"/>
                <w:color w:val="5F666A"/>
                <w:sz w:val="17"/>
              </w:rPr>
              <w:t>Technician productivity index</w:t>
            </w:r>
          </w:p>
        </w:tc>
        <w:tc>
          <w:tcPr>
            <w:tcW w:type="dxa" w:w="2560"/>
          </w:tcPr>
          <w:p>
            <w:pPr>
              <w:spacing w:before="0" w:after="0" w:line="240" w:lineRule="auto"/>
              <w:ind w:firstLine="0"/>
              <w:jc w:val="left"/>
            </w:pPr>
            <w:r/>
            <w:r>
              <w:rPr>
                <w:rFonts w:ascii="Arial" w:hAnsi="Arial" w:eastAsia="微软雅黑" w:cs="Arial"/>
                <w:b w:val="0"/>
                <w:color w:val="5F666A"/>
                <w:sz w:val="17"/>
              </w:rPr>
              <w:t>100</w:t>
            </w:r>
          </w:p>
        </w:tc>
        <w:tc>
          <w:tcPr>
            <w:tcW w:type="dxa" w:w="2560"/>
          </w:tcPr>
          <w:p>
            <w:pPr>
              <w:spacing w:before="0" w:after="0" w:line="240" w:lineRule="auto"/>
              <w:ind w:firstLine="0"/>
              <w:jc w:val="left"/>
            </w:pPr>
            <w:r/>
            <w:r>
              <w:rPr>
                <w:rFonts w:ascii="Arial" w:hAnsi="Arial" w:eastAsia="微软雅黑" w:cs="Arial"/>
                <w:b w:val="0"/>
                <w:color w:val="5F666A"/>
                <w:sz w:val="17"/>
              </w:rPr>
              <w:t>111</w:t>
            </w:r>
          </w:p>
        </w:tc>
        <w:tc>
          <w:tcPr>
            <w:tcW w:type="dxa" w:w="2560"/>
          </w:tcPr>
          <w:p>
            <w:pPr>
              <w:spacing w:before="0" w:after="0" w:line="240" w:lineRule="auto"/>
              <w:ind w:firstLine="0"/>
              <w:jc w:val="left"/>
            </w:pPr>
            <w:r/>
            <w:r>
              <w:rPr>
                <w:rFonts w:ascii="Arial" w:hAnsi="Arial" w:eastAsia="微软雅黑" w:cs="Arial"/>
                <w:b w:val="0"/>
                <w:color w:val="5F666A"/>
                <w:sz w:val="17"/>
              </w:rPr>
              <w:t>+11%</w:t>
            </w:r>
          </w:p>
        </w:tc>
      </w:tr>
      <w:tr>
        <w:tc>
          <w:tcPr>
            <w:tcW w:type="dxa" w:w="2560"/>
          </w:tcPr>
          <w:p>
            <w:pPr>
              <w:spacing w:before="0" w:after="0" w:line="240" w:lineRule="auto"/>
              <w:ind w:firstLine="0"/>
              <w:jc w:val="left"/>
            </w:pPr>
            <w:r/>
            <w:r>
              <w:rPr>
                <w:rFonts w:ascii="Arial" w:hAnsi="Arial" w:eastAsia="微软雅黑" w:cs="Arial"/>
                <w:b w:val="0"/>
                <w:color w:val="5F666A"/>
                <w:sz w:val="17"/>
              </w:rPr>
              <w:t>Adjusted EBITDA margin</w:t>
            </w:r>
          </w:p>
        </w:tc>
        <w:tc>
          <w:tcPr>
            <w:tcW w:type="dxa" w:w="2560"/>
          </w:tcPr>
          <w:p>
            <w:pPr>
              <w:spacing w:before="0" w:after="0" w:line="240" w:lineRule="auto"/>
              <w:ind w:firstLine="0"/>
              <w:jc w:val="left"/>
            </w:pPr>
            <w:r/>
            <w:r>
              <w:rPr>
                <w:rFonts w:ascii="Arial" w:hAnsi="Arial" w:eastAsia="微软雅黑" w:cs="Arial"/>
                <w:b w:val="0"/>
                <w:color w:val="5F666A"/>
                <w:sz w:val="17"/>
              </w:rPr>
              <w:t>12.4%</w:t>
            </w:r>
          </w:p>
        </w:tc>
        <w:tc>
          <w:tcPr>
            <w:tcW w:type="dxa" w:w="2560"/>
          </w:tcPr>
          <w:p>
            <w:pPr>
              <w:spacing w:before="0" w:after="0" w:line="240" w:lineRule="auto"/>
              <w:ind w:firstLine="0"/>
              <w:jc w:val="left"/>
            </w:pPr>
            <w:r/>
            <w:r>
              <w:rPr>
                <w:rFonts w:ascii="Arial" w:hAnsi="Arial" w:eastAsia="微软雅黑" w:cs="Arial"/>
                <w:b w:val="0"/>
                <w:color w:val="5F666A"/>
                <w:sz w:val="17"/>
              </w:rPr>
              <w:t>17.3%</w:t>
            </w:r>
          </w:p>
        </w:tc>
        <w:tc>
          <w:tcPr>
            <w:tcW w:type="dxa" w:w="2560"/>
          </w:tcPr>
          <w:p>
            <w:pPr>
              <w:spacing w:before="0" w:after="0" w:line="240" w:lineRule="auto"/>
              <w:ind w:firstLine="0"/>
              <w:jc w:val="left"/>
            </w:pPr>
            <w:r/>
            <w:r>
              <w:rPr>
                <w:rFonts w:ascii="Arial" w:hAnsi="Arial" w:eastAsia="微软雅黑" w:cs="Arial"/>
                <w:b w:val="0"/>
                <w:color w:val="5F666A"/>
                <w:sz w:val="17"/>
              </w:rPr>
              <w:t>+4.9 ppt</w:t>
            </w:r>
          </w:p>
        </w:tc>
      </w:tr>
      <w:tr>
        <w:tc>
          <w:tcPr>
            <w:tcW w:type="dxa" w:w="2560"/>
          </w:tcPr>
          <w:p>
            <w:pPr>
              <w:spacing w:before="0" w:after="0" w:line="240" w:lineRule="auto"/>
              <w:ind w:firstLine="0"/>
              <w:jc w:val="left"/>
            </w:pPr>
            <w:r/>
            <w:r>
              <w:rPr>
                <w:rFonts w:ascii="Arial" w:hAnsi="Arial" w:eastAsia="微软雅黑" w:cs="Arial"/>
                <w:b w:val="0"/>
                <w:color w:val="5F666A"/>
                <w:sz w:val="17"/>
              </w:rPr>
              <w:t>Cash conversion cycle</w:t>
            </w:r>
          </w:p>
        </w:tc>
        <w:tc>
          <w:tcPr>
            <w:tcW w:type="dxa" w:w="2560"/>
          </w:tcPr>
          <w:p>
            <w:pPr>
              <w:spacing w:before="0" w:after="0" w:line="240" w:lineRule="auto"/>
              <w:ind w:firstLine="0"/>
              <w:jc w:val="left"/>
            </w:pPr>
            <w:r/>
            <w:r>
              <w:rPr>
                <w:rFonts w:ascii="Arial" w:hAnsi="Arial" w:eastAsia="微软雅黑" w:cs="Arial"/>
                <w:b w:val="0"/>
                <w:color w:val="5F666A"/>
                <w:sz w:val="17"/>
              </w:rPr>
              <w:t>71 days</w:t>
            </w:r>
          </w:p>
        </w:tc>
        <w:tc>
          <w:tcPr>
            <w:tcW w:type="dxa" w:w="2560"/>
          </w:tcPr>
          <w:p>
            <w:pPr>
              <w:spacing w:before="0" w:after="0" w:line="240" w:lineRule="auto"/>
              <w:ind w:firstLine="0"/>
              <w:jc w:val="left"/>
            </w:pPr>
            <w:r/>
            <w:r>
              <w:rPr>
                <w:rFonts w:ascii="Arial" w:hAnsi="Arial" w:eastAsia="微软雅黑" w:cs="Arial"/>
                <w:b w:val="0"/>
                <w:color w:val="5F666A"/>
                <w:sz w:val="17"/>
              </w:rPr>
              <w:t>56 days</w:t>
            </w:r>
          </w:p>
        </w:tc>
        <w:tc>
          <w:tcPr>
            <w:tcW w:type="dxa" w:w="2560"/>
          </w:tcPr>
          <w:p>
            <w:pPr>
              <w:spacing w:before="0" w:after="0" w:line="240" w:lineRule="auto"/>
              <w:ind w:firstLine="0"/>
              <w:jc w:val="left"/>
            </w:pPr>
            <w:r/>
            <w:r>
              <w:rPr>
                <w:rFonts w:ascii="Arial" w:hAnsi="Arial" w:eastAsia="微软雅黑" w:cs="Arial"/>
                <w:b w:val="0"/>
                <w:color w:val="5F666A"/>
                <w:sz w:val="17"/>
              </w:rPr>
              <w:t>-15 days</w:t>
            </w:r>
          </w:p>
        </w:tc>
      </w:tr>
    </w:tbl>
    <w:p>
      <w:pPr>
        <w:pStyle w:val="TealTableCaption"/>
        <w:keepNext w:val="0"/>
        <w:spacing w:line="240" w:lineRule="auto" w:before="0" w:after="120"/>
        <w:ind w:firstLine="0"/>
        <w:jc w:val="left"/>
      </w:pPr>
      <w:r>
        <w:rPr>
          <w:rFonts w:ascii="Arial" w:hAnsi="Arial" w:eastAsia="微软雅黑" w:cs="Arial"/>
          <w:b w:val="0"/>
          <w:color w:val="6F777B"/>
          <w:sz w:val="14"/>
        </w:rPr>
        <w:t>Notes: The target state is a fictional planning scenario used only to validate refined-mode styling, asset routing, and QA evidence.</w:t>
      </w:r>
    </w:p>
    <w:p>
      <w:pPr>
        <w:sectPr>
          <w:type w:val="continuous"/>
          <w:pgSz w:w="11909" w:h="16834"/>
          <w:pgMar w:top="835" w:right="835" w:bottom="835" w:left="835" w:header="720" w:footer="720" w:gutter="0"/>
          <w:cols w:space="403" w:num="1"/>
          <w:docGrid w:linePitch="360"/>
        </w:sectPr>
      </w:pPr>
    </w:p>
    <w:p>
      <w:pPr>
        <w:pStyle w:val="TealBody"/>
        <w:keepNext w:val="0"/>
        <w:spacing w:line="259" w:lineRule="auto" w:before="0" w:after="120"/>
        <w:ind w:firstLine="0"/>
        <w:jc w:val="left"/>
      </w:pPr>
      <w:r>
        <w:rPr>
          <w:rFonts w:ascii="Arial" w:hAnsi="Arial" w:eastAsia="微软雅黑" w:cs="Arial"/>
          <w:b w:val="0"/>
          <w:color w:val="5F666A"/>
          <w:sz w:val="18"/>
        </w:rPr>
        <w:t>Even in the base case, the economics improve only if governance stays tight. The company should therefore avoid launching a broad “AI transformation” narrative that creates activity without discipline. Instead, every initiative should map back to a small number of branch and contract metrics that determine whether scale is becoming more valuable or merely more complex.</w:t>
      </w:r>
    </w:p>
    <w:p>
      <w:pPr>
        <w:pStyle w:val="TealHeading1"/>
        <w:keepNext/>
        <w:spacing w:line="252" w:lineRule="auto" w:before="200" w:after="280"/>
        <w:ind w:firstLine="0"/>
        <w:jc w:val="left"/>
      </w:pPr>
      <w:r>
        <w:rPr>
          <w:rFonts w:ascii="Arial" w:hAnsi="Arial" w:eastAsia="微软雅黑" w:cs="Arial"/>
          <w:b/>
          <w:color w:val="16845F"/>
          <w:sz w:val="56"/>
        </w:rPr>
        <w:t>What the CEO should govern over the next four quarters</w:t>
      </w:r>
    </w:p>
    <w:p>
      <w:pPr>
        <w:pStyle w:val="TealList"/>
        <w:keepNext w:val="0"/>
        <w:spacing w:line="259" w:lineRule="auto" w:before="0" w:after="100"/>
        <w:ind w:firstLine="0"/>
        <w:jc w:val="left"/>
      </w:pPr>
      <w:r>
        <w:rPr>
          <w:rFonts w:ascii="Arial" w:hAnsi="Arial" w:eastAsia="微软雅黑" w:cs="Arial"/>
          <w:b w:val="0"/>
          <w:color w:val="5F666A"/>
          <w:sz w:val="18"/>
        </w:rPr>
        <w:t>• Set one recurring revenue ambition and make it visible in every branch review.</w:t>
      </w:r>
    </w:p>
    <w:p>
      <w:pPr>
        <w:pStyle w:val="TealList"/>
        <w:keepNext w:val="0"/>
        <w:spacing w:line="259" w:lineRule="auto" w:before="0" w:after="100"/>
        <w:ind w:firstLine="0"/>
        <w:jc w:val="left"/>
      </w:pPr>
      <w:r>
        <w:rPr>
          <w:rFonts w:ascii="Arial" w:hAnsi="Arial" w:eastAsia="微软雅黑" w:cs="Arial"/>
          <w:b w:val="0"/>
          <w:color w:val="5F666A"/>
          <w:sz w:val="18"/>
        </w:rPr>
        <w:t>• Require every onsite dispatch above a defined threshold to pass through a remote-triage decision rule.</w:t>
      </w:r>
    </w:p>
    <w:p>
      <w:pPr>
        <w:pStyle w:val="TealList"/>
        <w:keepNext w:val="0"/>
        <w:spacing w:line="259" w:lineRule="auto" w:before="0" w:after="100"/>
        <w:ind w:firstLine="0"/>
        <w:jc w:val="left"/>
      </w:pPr>
      <w:r>
        <w:rPr>
          <w:rFonts w:ascii="Arial" w:hAnsi="Arial" w:eastAsia="微软雅黑" w:cs="Arial"/>
          <w:b w:val="0"/>
          <w:color w:val="5F666A"/>
          <w:sz w:val="18"/>
        </w:rPr>
        <w:t>• Review planner productivity, overtime, and first-time fix as economic measures, not administrative measures.</w:t>
      </w:r>
    </w:p>
    <w:p>
      <w:pPr>
        <w:pStyle w:val="TealList"/>
        <w:keepNext w:val="0"/>
        <w:spacing w:line="259" w:lineRule="auto" w:before="0" w:after="100"/>
        <w:ind w:firstLine="0"/>
        <w:jc w:val="left"/>
      </w:pPr>
      <w:r>
        <w:rPr>
          <w:rFonts w:ascii="Arial" w:hAnsi="Arial" w:eastAsia="微软雅黑" w:cs="Arial"/>
          <w:b w:val="0"/>
          <w:color w:val="5F666A"/>
          <w:sz w:val="18"/>
        </w:rPr>
        <w:t>• Protect package standardization against custom deal pressure from large customers.</w:t>
      </w:r>
    </w:p>
    <w:p>
      <w:pPr>
        <w:pStyle w:val="TealList"/>
        <w:keepNext w:val="0"/>
        <w:spacing w:line="259" w:lineRule="auto" w:before="0" w:after="100"/>
        <w:ind w:firstLine="0"/>
        <w:jc w:val="left"/>
      </w:pPr>
      <w:r>
        <w:rPr>
          <w:rFonts w:ascii="Arial" w:hAnsi="Arial" w:eastAsia="微软雅黑" w:cs="Arial"/>
          <w:b w:val="0"/>
          <w:color w:val="5F666A"/>
          <w:sz w:val="18"/>
        </w:rPr>
        <w:t>• Keep the transformation office small and analytical so that it acts as a control tower rather than a parallel operating organization.</w:t>
      </w:r>
    </w:p>
    <w:p>
      <w:pPr>
        <w:pStyle w:val="TealBody"/>
        <w:keepNext w:val="0"/>
        <w:spacing w:line="259" w:lineRule="auto" w:before="0" w:after="120"/>
        <w:ind w:firstLine="0"/>
        <w:jc w:val="left"/>
      </w:pPr>
      <w:r>
        <w:rPr>
          <w:rFonts w:ascii="Arial" w:hAnsi="Arial" w:eastAsia="微软雅黑" w:cs="Arial"/>
          <w:b w:val="0"/>
          <w:color w:val="5F666A"/>
          <w:sz w:val="18"/>
        </w:rPr>
        <w:t>This report is entirely fictional and exists only to test the refined English preset path and the `teal_consulting_report` layout of `word-polished-doc-collab`. It does not represent real advice, a real company, or any investment recommendation.</w:t>
      </w:r>
    </w:p>
    <w:sectPr w:rsidR="00FC693F" w:rsidRPr="0006063C" w:rsidSect="00034616">
      <w:type w:val="continuous"/>
      <w:pgSz w:w="11909" w:h="16834"/>
      <w:pgMar w:top="835" w:right="835" w:bottom="835" w:left="835" w:header="720" w:footer="720" w:gutter="0"/>
      <w:cols w:space="40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alDocTitle">
    <w:name w:val="TealDocTitle"/>
    <w:pPr>
      <w:keepNext/>
      <w:spacing w:line="240" w:lineRule="auto" w:before="0" w:after="240"/>
      <w:ind w:firstLine="0"/>
    </w:pPr>
    <w:rPr>
      <w:rFonts w:ascii="Arial" w:hAnsi="Arial" w:eastAsia="微软雅黑" w:cs="Arial"/>
      <w:b/>
      <w:color w:val="16845F"/>
      <w:sz w:val="52"/>
    </w:rPr>
  </w:style>
  <w:style w:type="paragraph" w:customStyle="1" w:styleId="TealSubtitle">
    <w:name w:val="TealSubtitle"/>
    <w:pPr>
      <w:keepNext/>
      <w:spacing w:line="264" w:lineRule="auto" w:before="0" w:after="200"/>
      <w:ind w:firstLine="0"/>
    </w:pPr>
    <w:rPr>
      <w:rFonts w:ascii="Arial" w:hAnsi="Arial" w:eastAsia="微软雅黑" w:cs="Arial"/>
      <w:b w:val="0"/>
      <w:color w:val="4D5559"/>
      <w:sz w:val="22"/>
    </w:rPr>
  </w:style>
  <w:style w:type="paragraph" w:customStyle="1" w:styleId="TealHeading1">
    <w:name w:val="TealHeading1"/>
    <w:pPr>
      <w:keepNext/>
      <w:spacing w:line="252" w:lineRule="auto" w:before="200" w:after="280"/>
      <w:ind w:firstLine="0"/>
    </w:pPr>
    <w:rPr>
      <w:rFonts w:ascii="Arial" w:hAnsi="Arial" w:eastAsia="微软雅黑" w:cs="Arial"/>
      <w:b/>
      <w:color w:val="16845F"/>
      <w:sz w:val="56"/>
    </w:rPr>
  </w:style>
  <w:style w:type="paragraph" w:customStyle="1" w:styleId="TealHeading2">
    <w:name w:val="TealHeading2"/>
    <w:pPr>
      <w:keepNext/>
      <w:spacing w:line="252" w:lineRule="auto" w:before="200" w:after="100"/>
      <w:ind w:firstLine="0"/>
    </w:pPr>
    <w:rPr>
      <w:rFonts w:ascii="Arial" w:hAnsi="Arial" w:eastAsia="微软雅黑" w:cs="Arial"/>
      <w:b/>
      <w:color w:val="30383D"/>
      <w:sz w:val="28"/>
    </w:rPr>
  </w:style>
  <w:style w:type="paragraph" w:customStyle="1" w:styleId="TealHeading3">
    <w:name w:val="TealHeading3"/>
    <w:pPr>
      <w:keepNext/>
      <w:spacing w:line="252" w:lineRule="auto" w:before="120" w:after="40"/>
      <w:ind w:firstLine="0"/>
    </w:pPr>
    <w:rPr>
      <w:rFonts w:ascii="Arial" w:hAnsi="Arial" w:eastAsia="微软雅黑" w:cs="Arial"/>
      <w:b/>
      <w:color w:val="30383D"/>
      <w:sz w:val="20"/>
    </w:rPr>
  </w:style>
  <w:style w:type="paragraph" w:customStyle="1" w:styleId="TealHeading4">
    <w:name w:val="TealHeading4"/>
    <w:pPr>
      <w:keepNext/>
      <w:spacing w:line="252" w:lineRule="auto" w:before="100" w:after="40"/>
      <w:ind w:firstLine="0"/>
    </w:pPr>
    <w:rPr>
      <w:rFonts w:ascii="Arial" w:hAnsi="Arial" w:eastAsia="微软雅黑" w:cs="Arial"/>
      <w:b/>
      <w:color w:val="30383D"/>
      <w:sz w:val="18"/>
    </w:rPr>
  </w:style>
  <w:style w:type="paragraph" w:customStyle="1" w:styleId="TealLead">
    <w:name w:val="TealLead"/>
    <w:pPr>
      <w:keepNext w:val="0"/>
      <w:spacing w:line="269" w:lineRule="auto" w:before="0" w:after="160"/>
      <w:ind w:firstLine="0"/>
    </w:pPr>
    <w:rPr>
      <w:rFonts w:ascii="Arial" w:hAnsi="Arial" w:eastAsia="微软雅黑" w:cs="Arial"/>
      <w:b w:val="0"/>
      <w:color w:val="4D5559"/>
      <w:sz w:val="20"/>
    </w:rPr>
  </w:style>
  <w:style w:type="paragraph" w:customStyle="1" w:styleId="TealBody">
    <w:name w:val="TealBody"/>
    <w:pPr>
      <w:keepNext w:val="0"/>
      <w:spacing w:line="259" w:lineRule="auto" w:before="0" w:after="120"/>
      <w:ind w:firstLine="0"/>
    </w:pPr>
    <w:rPr>
      <w:rFonts w:ascii="Arial" w:hAnsi="Arial" w:eastAsia="微软雅黑" w:cs="Arial"/>
      <w:b w:val="0"/>
      <w:color w:val="5F666A"/>
      <w:sz w:val="18"/>
    </w:rPr>
  </w:style>
  <w:style w:type="paragraph" w:customStyle="1" w:styleId="TealList">
    <w:name w:val="TealList"/>
    <w:pPr>
      <w:keepNext w:val="0"/>
      <w:spacing w:line="259" w:lineRule="auto" w:before="0" w:after="100"/>
      <w:ind w:firstLine="0"/>
    </w:pPr>
    <w:rPr>
      <w:rFonts w:ascii="Arial" w:hAnsi="Arial" w:eastAsia="微软雅黑" w:cs="Arial"/>
      <w:b w:val="0"/>
      <w:color w:val="5F666A"/>
      <w:sz w:val="18"/>
    </w:rPr>
  </w:style>
  <w:style w:type="paragraph" w:customStyle="1" w:styleId="TealTableTitle">
    <w:name w:val="TealTableTitle"/>
    <w:pPr>
      <w:keepNext/>
      <w:spacing w:line="240" w:lineRule="auto" w:before="160" w:after="60"/>
      <w:ind w:firstLine="0"/>
    </w:pPr>
    <w:rPr>
      <w:rFonts w:ascii="Arial" w:hAnsi="Arial" w:eastAsia="微软雅黑" w:cs="Arial"/>
      <w:b/>
      <w:color w:val="30383D"/>
      <w:sz w:val="20"/>
    </w:rPr>
  </w:style>
  <w:style w:type="paragraph" w:customStyle="1" w:styleId="TealTableCaption">
    <w:name w:val="TealTableCaption"/>
    <w:pPr>
      <w:keepNext w:val="0"/>
      <w:spacing w:line="240" w:lineRule="auto" w:before="0" w:after="120"/>
      <w:ind w:firstLine="0"/>
    </w:pPr>
    <w:rPr>
      <w:rFonts w:ascii="Arial" w:hAnsi="Arial" w:eastAsia="微软雅黑" w:cs="Arial"/>
      <w:b w:val="0"/>
      <w:color w:val="6F777B"/>
      <w:sz w:val="14"/>
    </w:rPr>
  </w:style>
  <w:style w:type="paragraph" w:customStyle="1" w:styleId="TealFigureTitle">
    <w:name w:val="TealFigureTitle"/>
    <w:pPr>
      <w:keepNext/>
      <w:spacing w:line="240" w:lineRule="auto" w:before="160" w:after="40"/>
      <w:ind w:firstLine="0"/>
    </w:pPr>
    <w:rPr>
      <w:rFonts w:ascii="Arial" w:hAnsi="Arial" w:eastAsia="微软雅黑" w:cs="Arial"/>
      <w:b/>
      <w:color w:val="30383D"/>
      <w:sz w:val="22"/>
    </w:rPr>
  </w:style>
  <w:style w:type="paragraph" w:customStyle="1" w:styleId="TealFigureNote">
    <w:name w:val="TealFigureNote"/>
    <w:pPr>
      <w:keepNext w:val="0"/>
      <w:spacing w:line="240" w:lineRule="auto" w:before="0" w:after="40"/>
      <w:ind w:firstLine="0"/>
    </w:pPr>
    <w:rPr>
      <w:rFonts w:ascii="Arial" w:hAnsi="Arial" w:eastAsia="微软雅黑" w:cs="Arial"/>
      <w:b w:val="0"/>
      <w:color w:val="6F777B"/>
      <w:sz w:val="14"/>
    </w:rPr>
  </w:style>
  <w:style w:type="paragraph" w:customStyle="1" w:styleId="TealSourceNote">
    <w:name w:val="TealSourceNote"/>
    <w:pPr>
      <w:keepNext w:val="0"/>
      <w:spacing w:line="240" w:lineRule="auto" w:before="0" w:after="120"/>
      <w:ind w:firstLine="0"/>
    </w:pPr>
    <w:rPr>
      <w:rFonts w:ascii="Arial" w:hAnsi="Arial" w:eastAsia="微软雅黑" w:cs="Arial"/>
      <w:b w:val="0"/>
      <w:color w:val="6F777B"/>
      <w:sz w:val="14"/>
    </w:rPr>
  </w:style>
  <w:style w:type="paragraph" w:customStyle="1" w:styleId="TealFigureBody">
    <w:name w:val="TealFigureBody"/>
    <w:pPr>
      <w:keepNext w:val="0"/>
      <w:spacing w:line="240" w:lineRule="auto" w:before="0" w:after="0"/>
      <w:ind w:firstLine="0"/>
    </w:pPr>
    <w:rPr>
      <w:rFonts w:ascii="Arial" w:hAnsi="Arial" w:eastAsia="微软雅黑" w:cs="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