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 w:eastAsia="Microsoft YaHei"/>
          <w:b/>
          <w:color w:val="1F4E78"/>
          <w:sz w:val="46"/>
        </w:rPr>
        <w:t>部署服务器配置及技术栈建议</w:t>
      </w:r>
    </w:p>
    <w:p>
      <w:pPr>
        <w:spacing w:after="240"/>
      </w:pPr>
      <w:r>
        <w:rPr>
          <w:rFonts w:ascii="Arial" w:hAnsi="Arial" w:eastAsia="Microsoft YaHei"/>
          <w:b w:val="0"/>
          <w:color w:val="666666"/>
          <w:sz w:val="25"/>
        </w:rPr>
        <w:t>康复医院欠费管理、预出院管理及系统管理平台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文档用途</w:t>
            </w:r>
          </w:p>
        </w:tc>
        <w:tc>
          <w:tcPr>
            <w:tcW w:type="dxa" w:w="30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业务规模</w:t>
            </w:r>
          </w:p>
        </w:tc>
        <w:tc>
          <w:tcPr>
            <w:tcW w:type="dxa" w:w="35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基础环境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与医院信息科确认部署条件及技术路线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单院内网；日导入约600～1000条；低至中并发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虚拟机；宿主机无RAID；普通SAS机械盘</w:t>
            </w:r>
          </w:p>
        </w:tc>
      </w:tr>
    </w:tbl>
    <w:p>
      <w:pPr>
        <w:spacing w:after="40"/>
      </w:pPr>
    </w:p>
    <w:p>
      <w:pPr>
        <w:pStyle w:val="Heading1"/>
      </w:pPr>
      <w:r>
        <w:t>一、结论摘要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1F4E78"/>
                <w:sz w:val="21"/>
              </w:rPr>
              <w:t xml:space="preserve">建议结论 </w:t>
            </w:r>
            <w:r>
              <w:rPr>
                <w:rFonts w:ascii="Arial" w:hAnsi="Arial" w:eastAsia="Microsoft YaHei"/>
                <w:b w:val="0"/>
                <w:color w:val="222222"/>
                <w:sz w:val="21"/>
              </w:rPr>
              <w:t>采用“前后端分离 + Java模块化单体 + PostgreSQL主备”的技术路线。推荐4台生产虚拟机、1台测试虚拟机和1套独立备份存储。</w:t>
            </w:r>
          </w:p>
        </w:tc>
      </w:tr>
    </w:tbl>
    <w:p>
      <w:pPr>
        <w:spacing w:after="20"/>
      </w:pP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当前数据量不大，SAS机械盘在索引合理、报表预汇总的情况下可以满足基本性能。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宿主机无RAID带来的首要问题是单盘故障和恢复风险，其次才是性能波动。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主库与备库必须位于不同宿主机、不同物理SAS盘；否则多台虚拟机不具备实质容灾价值。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数据库备份必须保存到第三套独立物理存储，虚拟机快照不能代替数据库备份。</w:t>
      </w:r>
    </w:p>
    <w:p>
      <w:pPr>
        <w:pStyle w:val="Heading1"/>
      </w:pPr>
      <w:r>
        <w:t>二、业务与容量假设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5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当前假设</w:t>
            </w:r>
          </w:p>
        </w:tc>
        <w:tc>
          <w:tcPr>
            <w:tcW w:type="dxa" w:w="41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架构影响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业务模块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欠费管理、预出院管理、系统管理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适合模块化单体，不需要微服务</w:t>
            </w:r>
          </w:p>
        </w:tc>
      </w:tr>
      <w:tr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数据导入</w:t>
            </w:r>
          </w:p>
        </w:tc>
        <w:tc>
          <w:tcPr>
            <w:tcW w:type="dxa" w:w="3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每日约600～1000条，可能多次导入</w:t>
            </w:r>
          </w:p>
        </w:tc>
        <w:tc>
          <w:tcPr>
            <w:tcW w:type="dxa" w:w="41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后台分批导入；保留导入批次和原始文件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用户并发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预计20～100人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普通Web应用和关系型数据库足够</w:t>
            </w:r>
          </w:p>
        </w:tc>
      </w:tr>
      <w:tr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报表</w:t>
            </w:r>
          </w:p>
        </w:tc>
        <w:tc>
          <w:tcPr>
            <w:tcW w:type="dxa" w:w="35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排名、Top 3、趋势图、统计列表</w:t>
            </w:r>
          </w:p>
        </w:tc>
        <w:tc>
          <w:tcPr>
            <w:tcW w:type="dxa" w:w="41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建立索引并采用定时汇总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外部通信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定时向企业微信推送并支持重发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可靠任务表、幂等和失败重试</w:t>
            </w:r>
          </w:p>
        </w:tc>
      </w:tr>
    </w:tbl>
    <w:p>
      <w:pPr>
        <w:spacing w:after="40"/>
      </w:pPr>
    </w:p>
    <w:p>
      <w:pPr>
        <w:pStyle w:val="Heading1"/>
      </w:pPr>
      <w:r>
        <w:t>三、推荐部署方案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850"/>
        <w:gridCol w:w="3050"/>
        <w:gridCol w:w="3660"/>
      </w:tblGrid>
      <w:tr>
        <w:trPr>
          <w:tblHeader w:val="true"/>
        </w:trPr>
        <w:tc>
          <w:tcPr>
            <w:tcW w:type="dxa" w:w="18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8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0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单台建议配置</w:t>
            </w:r>
          </w:p>
        </w:tc>
        <w:tc>
          <w:tcPr>
            <w:tcW w:type="dxa" w:w="36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应用服务器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2台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 vCPU / 8～16GB / 150GB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Vue静态资源、Java应用、定时与消息任务</w:t>
            </w:r>
          </w:p>
        </w:tc>
      </w:tr>
      <w:tr>
        <w:tc>
          <w:tcPr>
            <w:tcW w:type="dxa" w:w="1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数据库主库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1台</w:t>
            </w:r>
          </w:p>
        </w:tc>
        <w:tc>
          <w:tcPr>
            <w:tcW w:type="dxa" w:w="30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8 vCPU / 32GB / 300～500GB</w:t>
            </w:r>
          </w:p>
        </w:tc>
        <w:tc>
          <w:tcPr>
            <w:tcW w:type="dxa" w:w="36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PostgreSQL生产主库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数据库备库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1台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8 vCPU / 32GB / 300～500GB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PostgreSQL流复制热备</w:t>
            </w:r>
          </w:p>
        </w:tc>
      </w:tr>
      <w:tr>
        <w:tc>
          <w:tcPr>
            <w:tcW w:type="dxa" w:w="1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测试服务器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1台</w:t>
            </w:r>
          </w:p>
        </w:tc>
        <w:tc>
          <w:tcPr>
            <w:tcW w:type="dxa" w:w="30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4 vCPU / 8～16GB / 150GB</w:t>
            </w:r>
          </w:p>
        </w:tc>
        <w:tc>
          <w:tcPr>
            <w:tcW w:type="dxa" w:w="36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测试、升级与恢复验证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独立备份存储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1套</w:t>
            </w:r>
          </w:p>
        </w:tc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500GB～1TB，可扩容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数据库备份、WAL归档、原始导入文件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Arial" w:hAnsi="Arial" w:eastAsia="Microsoft YaHei"/>
          <w:b/>
          <w:color w:val="222222"/>
          <w:sz w:val="21"/>
        </w:rPr>
        <w:t>生产虚拟机合计：</w:t>
      </w:r>
      <w:r>
        <w:rPr>
          <w:rFonts w:ascii="Arial" w:hAnsi="Arial" w:eastAsia="Microsoft YaHei"/>
          <w:b w:val="0"/>
          <w:color w:val="222222"/>
          <w:sz w:val="21"/>
        </w:rPr>
        <w:t>4台；测试虚拟机：1台；另需1套不依赖生产宿主机磁盘的备份存储。</w:t>
      </w:r>
    </w:p>
    <w:p>
      <w:pPr>
        <w:pStyle w:val="Heading1"/>
      </w:pPr>
      <w:r>
        <w:t>四、虚拟机放置与容灾前提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50"/>
        <w:gridCol w:w="4010"/>
      </w:tblGrid>
      <w:tr>
        <w:trPr>
          <w:tblHeader w:val="true"/>
        </w:trPr>
        <w:tc>
          <w:tcPr>
            <w:tcW w:type="dxa" w:w="19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物理位置</w:t>
            </w:r>
          </w:p>
        </w:tc>
        <w:tc>
          <w:tcPr>
            <w:tcW w:type="dxa" w:w="34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建议放置</w:t>
            </w:r>
          </w:p>
        </w:tc>
        <w:tc>
          <w:tcPr>
            <w:tcW w:type="dxa" w:w="401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必须满足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宿主机A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应用服务器1 + PostgreSQL主库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主库所在SAS盘不承载高I/O的其他系统</w:t>
            </w:r>
          </w:p>
        </w:tc>
      </w:tr>
      <w:t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宿主机B</w:t>
            </w:r>
          </w:p>
        </w:tc>
        <w:tc>
          <w:tcPr>
            <w:tcW w:type="dxa" w:w="34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应用服务器2 + PostgreSQL备库</w:t>
            </w:r>
          </w:p>
        </w:tc>
        <w:tc>
          <w:tcPr>
            <w:tcW w:type="dxa" w:w="40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与主库不同宿主机、不同物理SAS盘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独立存储/第三设备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全量备份、WAL归档、导入原文件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不能与主备库共用同一物理故障域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 xml:space="preserve">关键风险 </w:t>
            </w:r>
            <w:r>
              <w:rPr>
                <w:rFonts w:ascii="Arial" w:hAnsi="Arial" w:eastAsia="Microsoft YaHei"/>
                <w:b w:val="0"/>
                <w:color w:val="222222"/>
                <w:sz w:val="21"/>
              </w:rPr>
              <w:t>如果所有虚拟机最终位于同一宿主机或同一块物理SAS盘，4台虚拟机仍然是单点系统。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五、资源不足时的最低方案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服务器</w:t>
            </w:r>
          </w:p>
        </w:tc>
        <w:tc>
          <w:tcPr>
            <w:tcW w:type="dxa" w:w="30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建议配置</w:t>
            </w:r>
          </w:p>
        </w:tc>
        <w:tc>
          <w:tcPr>
            <w:tcW w:type="dxa" w:w="41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部署内容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生产虚拟机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8 vCPU / 32GB / 500GB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应用 + PostgreSQL主库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备用虚拟机</w:t>
            </w:r>
          </w:p>
        </w:tc>
        <w:tc>
          <w:tcPr>
            <w:tcW w:type="dxa" w:w="30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8 vCPU / 32GB / 500GB</w:t>
            </w:r>
          </w:p>
        </w:tc>
        <w:tc>
          <w:tcPr>
            <w:tcW w:type="dxa" w:w="41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PostgreSQL备库；故障时人工启动应用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color w:val="222222"/>
          <w:sz w:val="21"/>
        </w:rPr>
        <w:t>前提：两台虚拟机位于不同宿主机及不同物理盘，备份再复制到第三套独立设备。该方案能满足当前业务，但升级、维护和故障切换均不如推荐方案。</w:t>
      </w:r>
    </w:p>
    <w:p>
      <w:pPr>
        <w:pStyle w:val="Heading1"/>
      </w:pPr>
      <w:r>
        <w:t>六、SAS机械盘的预期影响与控制措施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700"/>
        <w:gridCol w:w="4010"/>
      </w:tblGrid>
      <w:tr>
        <w:trPr>
          <w:tblHeader w:val="true"/>
        </w:trPr>
        <w:tc>
          <w:tcPr>
            <w:tcW w:type="dxa" w:w="16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7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401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性能波动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导入、报表、备份并发时页面可能明显变慢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错峰备份；后台导入；报表定时汇总</w:t>
            </w:r>
          </w:p>
        </w:tc>
      </w:tr>
      <w:tr>
        <w:tc>
          <w:tcPr>
            <w:tcW w:type="dxa" w:w="16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共享存储干扰</w:t>
            </w:r>
          </w:p>
        </w:tc>
        <w:tc>
          <w:tcPr>
            <w:tcW w:type="dxa" w:w="3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其他虚拟机大量I/O时，本系统会突发卡顿</w:t>
            </w:r>
          </w:p>
        </w:tc>
        <w:tc>
          <w:tcPr>
            <w:tcW w:type="dxa" w:w="40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数据库虚拟机尽量独占物理盘I/O资源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单盘故障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虚拟机不可用，主库可能整体丢失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跨宿主机主备 + 第三方独立备份</w:t>
            </w:r>
          </w:p>
        </w:tc>
      </w:tr>
      <w:tr>
        <w:tc>
          <w:tcPr>
            <w:tcW w:type="dxa" w:w="16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恢复时间</w:t>
            </w:r>
          </w:p>
        </w:tc>
        <w:tc>
          <w:tcPr>
            <w:tcW w:type="dxa" w:w="3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需重建虚拟机、切换或恢复数据库</w:t>
            </w:r>
          </w:p>
        </w:tc>
        <w:tc>
          <w:tcPr>
            <w:tcW w:type="dxa" w:w="401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制定切换手册并定期恢复演练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Arial" w:hAnsi="Arial" w:eastAsia="Microsoft YaHei"/>
          <w:b/>
          <w:color w:val="222222"/>
          <w:sz w:val="21"/>
        </w:rPr>
        <w:t>建议验收线：</w:t>
      </w:r>
      <w:r>
        <w:rPr>
          <w:rFonts w:ascii="Arial" w:hAnsi="Arial" w:eastAsia="Microsoft YaHei"/>
          <w:b w:val="0"/>
          <w:color w:val="222222"/>
          <w:sz w:val="21"/>
        </w:rPr>
        <w:t>普通页面P95≤3秒；复杂报表P95≤8秒；1000条导入≤60秒；错误率＜1%；磁盘不应长期100%繁忙。</w:t>
      </w:r>
    </w:p>
    <w:p>
      <w:pPr>
        <w:pStyle w:val="Heading1"/>
      </w:pPr>
      <w:r>
        <w:t>七、网络与安全要求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建议要求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院内访问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统一通过HTTPS 443访问；用户终端不允许直连数据库</w:t>
            </w:r>
          </w:p>
        </w:tc>
      </w:tr>
      <w:tr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服务器网络</w:t>
            </w:r>
          </w:p>
        </w:tc>
        <w:tc>
          <w:tcPr>
            <w:tcW w:type="dxa" w:w="7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至少千兆内网；应用与数据库、主库与备库延迟尽量低于2ms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企业微信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应用服务器允许出站HTTPS 443、DNS和NTP；建议固定公网出口IP</w:t>
            </w:r>
          </w:p>
        </w:tc>
      </w:tr>
      <w:tr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企微回调</w:t>
            </w:r>
          </w:p>
        </w:tc>
        <w:tc>
          <w:tcPr>
            <w:tcW w:type="dxa" w:w="70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如需接收回调，应通过DMZ区HTTPS网关转发，不直接暴露内网应用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访问控制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数据库端口仅向应用服务器和备库开放；运维通过指定IP或堡垒机</w:t>
            </w:r>
          </w:p>
        </w:tc>
      </w:tr>
    </w:tbl>
    <w:p>
      <w:pPr>
        <w:spacing w:after="40"/>
      </w:pPr>
    </w:p>
    <w:p>
      <w:pPr>
        <w:pStyle w:val="Heading1"/>
      </w:pPr>
      <w:r>
        <w:t>八、推荐技术栈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350"/>
        <w:gridCol w:w="4460"/>
      </w:tblGrid>
      <w:tr>
        <w:trPr>
          <w:tblHeader w:val="true"/>
        </w:trPr>
        <w:tc>
          <w:tcPr>
            <w:tcW w:type="dxa" w:w="15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35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推荐选型</w:t>
            </w:r>
          </w:p>
        </w:tc>
        <w:tc>
          <w:tcPr>
            <w:tcW w:type="dxa" w:w="44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总体架构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前后端分离、模块化单体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适配当前规模，降低部署和运维复杂度</w:t>
            </w:r>
          </w:p>
        </w:tc>
      </w:tr>
      <w:tr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前端</w:t>
            </w:r>
          </w:p>
        </w:tc>
        <w:tc>
          <w:tcPr>
            <w:tcW w:type="dxa" w:w="33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Vue 3 + TypeScript + Vite</w:t>
            </w:r>
          </w:p>
        </w:tc>
        <w:tc>
          <w:tcPr>
            <w:tcW w:type="dxa" w:w="4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后台表格、表单及权限页面开发效率高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UI与图表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Element Plus + ECharts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管理端组件及统计看板</w:t>
            </w:r>
          </w:p>
        </w:tc>
      </w:tr>
      <w:tr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后端</w:t>
            </w:r>
          </w:p>
        </w:tc>
        <w:tc>
          <w:tcPr>
            <w:tcW w:type="dxa" w:w="33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Java 21 + Spring Boot 3.5</w:t>
            </w:r>
          </w:p>
        </w:tc>
        <w:tc>
          <w:tcPr>
            <w:tcW w:type="dxa" w:w="4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成熟稳定，适合医院长期维护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权限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Spring Security + RBAC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菜单、按钮、数据范围及操作权限</w:t>
            </w:r>
          </w:p>
        </w:tc>
      </w:tr>
      <w:tr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数据访问</w:t>
            </w:r>
          </w:p>
        </w:tc>
        <w:tc>
          <w:tcPr>
            <w:tcW w:type="dxa" w:w="33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MyBatis / MyBatis-Plus</w:t>
            </w:r>
          </w:p>
        </w:tc>
        <w:tc>
          <w:tcPr>
            <w:tcW w:type="dxa" w:w="4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便于复杂列表和统计SQL维护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数据库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PostgreSQL 17或医院支持版本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事务、复杂统计和可靠性能力完整</w:t>
            </w:r>
          </w:p>
        </w:tc>
      </w:tr>
      <w:tr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定时任务</w:t>
            </w:r>
          </w:p>
        </w:tc>
        <w:tc>
          <w:tcPr>
            <w:tcW w:type="dxa" w:w="33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Spring Scheduler或Quartz</w:t>
            </w:r>
          </w:p>
        </w:tc>
        <w:tc>
          <w:tcPr>
            <w:tcW w:type="dxa" w:w="4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定时汇总、企微推送及失败重试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Excel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EasyExcel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分批导入、错误明细和批次追踪</w:t>
            </w:r>
          </w:p>
        </w:tc>
      </w:tr>
      <w:tr>
        <w:tc>
          <w:tcPr>
            <w:tcW w:type="dxa" w:w="15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代理部署</w:t>
            </w:r>
          </w:p>
        </w:tc>
        <w:tc>
          <w:tcPr>
            <w:tcW w:type="dxa" w:w="33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Nginx + Linux + Docker Compose/systemd</w:t>
            </w:r>
          </w:p>
        </w:tc>
        <w:tc>
          <w:tcPr>
            <w:tcW w:type="dxa" w:w="44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无需Kubernetes</w:t>
            </w:r>
          </w:p>
        </w:tc>
      </w:tr>
      <w:t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缓存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Redis（按需）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登录状态和短期缓存；当前不是强制组件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 xml:space="preserve">暂不建议 </w:t>
            </w:r>
            <w:r>
              <w:rPr>
                <w:rFonts w:ascii="Arial" w:hAnsi="Arial" w:eastAsia="Microsoft YaHei"/>
                <w:b w:val="0"/>
                <w:color w:val="222222"/>
                <w:sz w:val="21"/>
              </w:rPr>
              <w:t>一期不引入微服务、Kubernetes、Kafka或Elasticsearch，避免在机械盘与小规模业务下增加不必要的资源和运维负担。</w:t>
            </w:r>
          </w:p>
        </w:tc>
      </w:tr>
    </w:tbl>
    <w:p>
      <w:pPr>
        <w:spacing w:after="20"/>
      </w:pPr>
    </w:p>
    <w:p>
      <w:pPr>
        <w:pStyle w:val="Heading1"/>
      </w:pPr>
      <w:r>
        <w:t>九、关键实现约束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73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必须落实的设计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重复导入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以院区 + 患者ID + 住院号/就诊号 + 住院次数作为业务唯一键；来源字段覆盖，人工标注字段保留</w:t>
            </w:r>
          </w:p>
        </w:tc>
      </w:tr>
      <w:tr>
        <w:tc>
          <w:tcPr>
            <w:tcW w:type="dxa" w:w="20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导入审计</w:t>
            </w:r>
          </w:p>
        </w:tc>
        <w:tc>
          <w:tcPr>
            <w:tcW w:type="dxa" w:w="73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保留导入批次、原始文件、导入人、时间、新增/更新/失败数量及错误明细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并发编辑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采用事务与乐观锁，避免多人处理时互相覆盖</w:t>
            </w:r>
          </w:p>
        </w:tc>
      </w:tr>
      <w:tr>
        <w:tc>
          <w:tcPr>
            <w:tcW w:type="dxa" w:w="20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企微推送</w:t>
            </w:r>
          </w:p>
        </w:tc>
        <w:tc>
          <w:tcPr>
            <w:tcW w:type="dxa" w:w="73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任务唯一编号、内容快照、状态、返回码、失败原因、发送次数、批量重发及幂等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双应用实例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定时任务采用数据库锁或Quartz集群，避免两台应用重复执行</w:t>
            </w:r>
          </w:p>
        </w:tc>
      </w:tr>
      <w:tr>
        <w:tc>
          <w:tcPr>
            <w:tcW w:type="dxa" w:w="20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备份</w:t>
            </w:r>
          </w:p>
        </w:tc>
        <w:tc>
          <w:tcPr>
            <w:tcW w:type="dxa" w:w="73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222222"/>
                <w:sz w:val="18"/>
              </w:rPr>
              <w:t>每日全量备份 + WAL持续归档；备份保留30～90天；定期恢复演练</w:t>
            </w:r>
          </w:p>
        </w:tc>
      </w:tr>
    </w:tbl>
    <w:p>
      <w:pPr>
        <w:spacing w:after="40"/>
      </w:pPr>
    </w:p>
    <w:p>
      <w:pPr>
        <w:pStyle w:val="Heading1"/>
      </w:pPr>
      <w:r>
        <w:t>十、会议需信息科确认的事项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是否能够提供至少两台不同宿主机，并确认主库、备库落在不同物理SAS盘？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宿主机SAS盘的数量、转速、剩余容量，以及是否与其他高I/O系统共享？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是否有独立NAS、备份服务器或其他第三方存储可保存数据库备份？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是否允许Linux、Docker Compose、Nginx、PostgreSQL和Redis等软件？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医院是否指定Java版本、数据库、中间件或存在信创适配要求？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应用服务器能否访问企业微信公网接口，是否提供固定公网出口IP？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是否需要接收企业微信回调；如需要，DMZ区和HTTPS证书如何提供？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医院可接受的RPO、RTO分别是多少，是否要求自动切换？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是否有等保等级、审计日志留存期限、数据备份期限等安全要求？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Microsoft YaHei"/>
          <w:b w:val="0"/>
          <w:color w:val="222222"/>
          <w:sz w:val="21"/>
        </w:rPr>
        <w:t>测试环境、生产发布时间窗口、监控告警和日常运维责任由谁承担？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1F4E78"/>
                <w:sz w:val="21"/>
              </w:rPr>
              <w:t xml:space="preserve">建议会议决策 </w:t>
            </w:r>
            <w:r>
              <w:rPr>
                <w:rFonts w:ascii="Arial" w:hAnsi="Arial" w:eastAsia="Microsoft YaHei"/>
                <w:b w:val="0"/>
                <w:color w:val="222222"/>
                <w:sz w:val="21"/>
              </w:rPr>
              <w:t>优先敲定物理故障域、备份位置和企微网络出口，再确认虚拟机规格。若这三项不明确，仅确认CPU、内存和虚拟机台数不足以形成可靠部署方案。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6666"/>
        <w:sz w:val="16"/>
      </w:rPr>
      <w:t>内部讨论材料｜2026年8月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7"/>
      </w:rPr>
      <w:t>康复医院系统｜信息科会议确认稿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康复医院系统部署服务器配置及技术栈建议</dc:title>
  <dc:subject>信息科会议确认稿</dc:subject>
  <dc:creator>项目组</dc:creator>
  <cp:keywords>康复医院, 部署, 技术栈, PostgreSQL, 虚拟机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