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康复医院运营管理系统用户手册</w:t>
      </w:r>
    </w:p>
    <w:p>
      <w:pPr>
        <w:jc w:val="center"/>
      </w:pPr>
      <w:r>
        <w:t>版本 V1.1.0  |  适用对象：业务人员、科室负责人、系统管理员</w:t>
      </w:r>
    </w:p>
    <w:p>
      <w:r>
        <w:t>本手册覆盖当前系统的完整使用流程。系统按账号角色、科室数据范围和字段权限展示菜单、数据和操作按钮；未显示的功能通常代表当前账号没有相应权限。</w:t>
      </w:r>
    </w:p>
    <w:p>
      <w:pPr>
        <w:pStyle w:val="Heading1"/>
      </w:pPr>
      <w: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章节</w:t>
            </w:r>
          </w:p>
        </w:tc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816"/>
            <w:vAlign w:val="center"/>
          </w:tcPr>
          <w:p>
            <w:r>
              <w:t>一</w:t>
            </w:r>
          </w:p>
        </w:tc>
        <w:tc>
          <w:tcPr>
            <w:tcW w:type="dxa" w:w="4816"/>
            <w:vAlign w:val="center"/>
          </w:tcPr>
          <w:p>
            <w:r>
              <w:t>登录 账户与安全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二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工作台与通用界面</w:t>
            </w:r>
          </w:p>
        </w:tc>
      </w:tr>
      <w:tr>
        <w:tc>
          <w:tcPr>
            <w:tcW w:type="dxa" w:w="4816"/>
            <w:vAlign w:val="center"/>
          </w:tcPr>
          <w:p>
            <w:r>
              <w:t>三</w:t>
            </w:r>
          </w:p>
        </w:tc>
        <w:tc>
          <w:tcPr>
            <w:tcW w:type="dxa" w:w="4816"/>
            <w:vAlign w:val="center"/>
          </w:tcPr>
          <w:p>
            <w:r>
              <w:t>欠费管理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四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预计出院管理</w:t>
            </w:r>
          </w:p>
        </w:tc>
      </w:tr>
      <w:tr>
        <w:tc>
          <w:tcPr>
            <w:tcW w:type="dxa" w:w="4816"/>
            <w:vAlign w:val="center"/>
          </w:tcPr>
          <w:p>
            <w:r>
              <w:t>五</w:t>
            </w:r>
          </w:p>
        </w:tc>
        <w:tc>
          <w:tcPr>
            <w:tcW w:type="dxa" w:w="4816"/>
            <w:vAlign w:val="center"/>
          </w:tcPr>
          <w:p>
            <w:r>
              <w:t>系统管理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六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导入 导出与文件要求</w:t>
            </w:r>
          </w:p>
        </w:tc>
      </w:tr>
      <w:tr>
        <w:tc>
          <w:tcPr>
            <w:tcW w:type="dxa" w:w="4816"/>
            <w:vAlign w:val="center"/>
          </w:tcPr>
          <w:p>
            <w:r>
              <w:t>七</w:t>
            </w:r>
          </w:p>
        </w:tc>
        <w:tc>
          <w:tcPr>
            <w:tcW w:type="dxa" w:w="4816"/>
            <w:vAlign w:val="center"/>
          </w:tcPr>
          <w:p>
            <w:r>
              <w:t>移动端使用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八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常见问题</w:t>
            </w:r>
          </w:p>
        </w:tc>
      </w:tr>
      <w:tr>
        <w:tc>
          <w:tcPr>
            <w:tcW w:type="dxa" w:w="4816"/>
            <w:vAlign w:val="center"/>
          </w:tcPr>
          <w:p>
            <w:r>
              <w:t>九</w:t>
            </w:r>
          </w:p>
        </w:tc>
        <w:tc>
          <w:tcPr>
            <w:tcW w:type="dxa" w:w="4816"/>
            <w:vAlign w:val="center"/>
          </w:tcPr>
          <w:p>
            <w:r>
              <w:t>修改记录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一 登录 账户与安全</w:t>
      </w:r>
    </w:p>
    <w:p>
      <w:pPr>
        <w:pStyle w:val="Heading2"/>
      </w:pPr>
      <w:r>
        <w:t>1. 登录系统</w:t>
      </w:r>
    </w:p>
    <w:p>
      <w:r>
        <w:t>打开系统地址，输入管理员分配的登录名和密码，点击“登录”。在个人受控电脑或手机上可勾选“记住密码”；该功能仅调用浏览器或设备的密码管理器，系统不会保存明文密码。登录成功后，电脑端和手机端均进入工作台。</w:t>
      </w:r>
    </w:p>
    <w:p>
      <w:pPr>
        <w:pStyle w:val="Heading2"/>
      </w:pPr>
      <w:r>
        <w:t>2. 首次登录和密码修改</w:t>
      </w:r>
    </w:p>
    <w:p>
      <w:r>
        <w:t>管理员新建用户或重置密码后，用户应通过右上角“修改密码”设置个人密码。填写旧密码和新密码后保存；新密码至少8位，且必须同时包含字母和数字。</w:t>
      </w:r>
    </w:p>
    <w:p>
      <w:pPr>
        <w:pStyle w:val="Heading2"/>
      </w:pPr>
      <w:r>
        <w:t>3. 会话和退出</w:t>
      </w:r>
    </w:p>
    <w:p>
      <w:pPr>
        <w:pStyle w:val="ListBullet"/>
      </w:pPr>
      <w:r>
        <w:t>长时间无操作后系统会自动退出，重新登录后可继续访问。</w:t>
      </w:r>
    </w:p>
    <w:p>
      <w:pPr>
        <w:pStyle w:val="ListBullet"/>
      </w:pPr>
      <w:r>
        <w:t>在共用电脑、平板或结束工作时，请点击右上角“退出”。</w:t>
      </w:r>
    </w:p>
    <w:p>
      <w:pPr>
        <w:pStyle w:val="ListBullet"/>
      </w:pPr>
      <w:r>
        <w:t>连续输入错误密码可能导致临时锁定，请联系系统管理员解锁或重置密码。</w:t>
      </w:r>
    </w:p>
    <w:p>
      <w:pPr>
        <w:pStyle w:val="Heading2"/>
      </w:pPr>
      <w:r>
        <w:t>4. 权限和数据范围</w:t>
      </w:r>
    </w:p>
    <w:p>
      <w:r>
        <w:t>系统遵循最小权限原则。没有菜单、按钮、字段编辑权或出现“无权限”提示时，请联系管理员核对角色、科室数据范围和字段权限，不要使用其他人的账号。</w:t>
      </w:r>
    </w:p>
    <w:p>
      <w:r>
        <w:br w:type="page"/>
      </w:r>
    </w:p>
    <w:p>
      <w:pPr>
        <w:pStyle w:val="Heading1"/>
      </w:pPr>
      <w:r>
        <w:t>二 工作台与通用界面</w:t>
      </w:r>
    </w:p>
    <w:p>
      <w:pPr>
        <w:pStyle w:val="Heading2"/>
      </w:pPr>
      <w:r>
        <w:t>1. 工作台</w:t>
      </w:r>
    </w:p>
    <w:p>
      <w:r>
        <w:t>工作台是登录后的首页，展示欠费管理、预计出院管理和系统管理入口。电脑端可通过左侧菜单进入功能；手机端点击左上角菜单打开导航。</w:t>
      </w:r>
    </w:p>
    <w:p>
      <w:pPr>
        <w:pStyle w:val="Heading2"/>
      </w:pPr>
      <w:r>
        <w:t>2. 通用操作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界面元素</w:t>
            </w:r>
          </w:p>
        </w:tc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使用方法</w:t>
            </w:r>
          </w:p>
        </w:tc>
      </w:tr>
      <w:tr>
        <w:tc>
          <w:tcPr>
            <w:tcW w:type="dxa" w:w="4816"/>
            <w:vAlign w:val="center"/>
          </w:tcPr>
          <w:p>
            <w:r>
              <w:t>筛选</w:t>
            </w:r>
          </w:p>
        </w:tc>
        <w:tc>
          <w:tcPr>
            <w:tcW w:type="dxa" w:w="4816"/>
            <w:vAlign w:val="center"/>
          </w:tcPr>
          <w:p>
            <w:r>
              <w:t>输入关键词，选择日期、科室、状态等条件后点击查询；条件变更后应重新查询。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表格和卡片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电脑端以表格显示，手机端以卡片显示关键信息；点击记录或操作按钮进入详情。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状态提示</w:t>
            </w:r>
          </w:p>
        </w:tc>
        <w:tc>
          <w:tcPr>
            <w:tcW w:type="dxa" w:w="4816"/>
            <w:vAlign w:val="center"/>
          </w:tcPr>
          <w:p>
            <w:r>
              <w:t>绿色一般表示启用或完成，灰色一般表示停用或未生效，其他颜色用于待处理或风险提醒。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网络提示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出现网络断开提示时不要重复保存或上传；恢复网络后刷新并核对结果。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右上角</w:t>
            </w:r>
          </w:p>
        </w:tc>
        <w:tc>
          <w:tcPr>
            <w:tcW w:type="dxa" w:w="4816"/>
            <w:vAlign w:val="center"/>
          </w:tcPr>
          <w:p>
            <w:r>
              <w:t>显示版本号，并提供帮助手册下载、修改密码和退出入口。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三 欠费管理</w:t>
      </w:r>
    </w:p>
    <w:p>
      <w:pPr>
        <w:pStyle w:val="Heading2"/>
      </w:pPr>
      <w:r>
        <w:t>1. 欠费明细</w:t>
      </w:r>
    </w:p>
    <w:p>
      <w:r>
        <w:t>进入“欠费管理 - 欠费明细”查询患者欠费记录。可使用住院号、患者姓名、病区、费别、欠费类型、追缴进度和日期等条件定位数据。拥有编辑权限的人员可维护追缴进度、欠费原因等业务信息。</w:t>
      </w:r>
    </w:p>
    <w:p>
      <w:pPr>
        <w:pStyle w:val="ListBullet"/>
      </w:pPr>
      <w:r>
        <w:t>修改前核对患者身份、住院次数和数据更新时间，避免对同名患者误操作。</w:t>
      </w:r>
    </w:p>
    <w:p>
      <w:pPr>
        <w:pStyle w:val="ListBullet"/>
      </w:pPr>
      <w:r>
        <w:t>保存时如提示记录已被其他人员更新，请刷新后核对最新数据再继续。</w:t>
      </w:r>
    </w:p>
    <w:p>
      <w:pPr>
        <w:pStyle w:val="ListBullet"/>
      </w:pPr>
      <w:r>
        <w:t>线下催缴完成后及时维护系统追缴进度和备注，保证通报数据准确。</w:t>
      </w:r>
    </w:p>
    <w:p>
      <w:pPr>
        <w:pStyle w:val="Heading2"/>
      </w:pPr>
      <w:r>
        <w:t>2. 欠费导入</w:t>
      </w:r>
    </w:p>
    <w:p>
      <w:r>
        <w:t>使用规定的 xlsx 模板导入欠费数据。文件通常包含住院号、住院次数、姓名、病区、费别、费用和预交金等信息。上传后系统校验格式、必填项、科室和费别匹配关系；失败时按提示修正源文件后重新导入。</w:t>
      </w:r>
    </w:p>
    <w:p>
      <w:pPr>
        <w:pStyle w:val="Heading2"/>
      </w:pPr>
      <w:r>
        <w:t>3. 通报报表</w:t>
      </w:r>
    </w:p>
    <w:p>
      <w:r>
        <w:t>进入“欠费管理 - 通报报表”，按统计周期和筛选范围查看汇总指标、科室排名及患者 Top 列表。确认筛选条件后可导出报表，用于业务分析和管理通报。</w:t>
      </w:r>
    </w:p>
    <w:p>
      <w:pPr>
        <w:pStyle w:val="Heading2"/>
      </w:pPr>
      <w:r>
        <w:t>4. 推送记录</w:t>
      </w:r>
    </w:p>
    <w:p>
      <w:r>
        <w:t>进入“欠费管理 - 推送记录”查看通知内容、发送状态、失败原因及重试情况。仅有推送权限的人员可以重试；重试前应核对接收人、通知内容、网络与企业微信配置。</w:t>
      </w:r>
    </w:p>
    <w:p>
      <w:r>
        <w:br w:type="page"/>
      </w:r>
    </w:p>
    <w:p>
      <w:pPr>
        <w:pStyle w:val="Heading1"/>
      </w:pPr>
      <w:r>
        <w:t>四 预计出院管理</w:t>
      </w:r>
    </w:p>
    <w:p>
      <w:pPr>
        <w:pStyle w:val="Heading2"/>
      </w:pPr>
      <w:r>
        <w:t>1. 预计出院患者工作台</w:t>
      </w:r>
    </w:p>
    <w:p>
      <w:r>
        <w:t>进入“预出院管理 - 预计出院管理”查看患者工作台。可按患者姓名、住院号、科室、主管医生、预计出院日期和异常状态筛选。打开患者详情后，按岗位权限维护相关信息。</w:t>
      </w:r>
    </w:p>
    <w:p>
      <w:pPr>
        <w:pStyle w:val="Heading2"/>
      </w:pPr>
      <w:r>
        <w:t>2. 患者详情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区域</w:t>
            </w:r>
          </w:p>
        </w:tc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816"/>
            <w:vAlign w:val="center"/>
          </w:tcPr>
          <w:p>
            <w:r>
              <w:t>基本信息</w:t>
            </w:r>
          </w:p>
        </w:tc>
        <w:tc>
          <w:tcPr>
            <w:tcW w:type="dxa" w:w="4816"/>
            <w:vAlign w:val="center"/>
          </w:tcPr>
          <w:p>
            <w:r>
              <w:t>核对患者身份、住院信息、所属科室、主管医生和预计出院日期。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出院计划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维护预计出院时间、异常原因、处理状态和待跟进事项。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会诊预约</w:t>
            </w:r>
          </w:p>
        </w:tc>
        <w:tc>
          <w:tcPr>
            <w:tcW w:type="dxa" w:w="4816"/>
            <w:vAlign w:val="center"/>
          </w:tcPr>
          <w:p>
            <w:r>
              <w:t>记录会诊相关内容、时间和执行情况；仅有权限的岗位可编辑。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出院随访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登记随访安排、结果、居家康复或其他后续服务信息。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操作历史</w:t>
            </w:r>
          </w:p>
        </w:tc>
        <w:tc>
          <w:tcPr>
            <w:tcW w:type="dxa" w:w="4816"/>
            <w:vAlign w:val="center"/>
          </w:tcPr>
          <w:p>
            <w:r>
              <w:t>查看变更时间、操作人和关键字段变化，用于追溯。</w:t>
            </w:r>
          </w:p>
        </w:tc>
      </w:tr>
    </w:tbl>
    <w:p>
      <w:r/>
    </w:p>
    <w:p>
      <w:pPr>
        <w:pStyle w:val="Heading2"/>
      </w:pPr>
      <w:r>
        <w:t>3. 统计分析</w:t>
      </w:r>
    </w:p>
    <w:p>
      <w:r>
        <w:t>进入“预出院管理 - 统计分析”按时间、科室和分类维度查看趋势、分布和明细，并可导出统计结果。统计页面用于分析，不用于直接修改原始患者记录。</w:t>
      </w:r>
    </w:p>
    <w:p>
      <w:pPr>
        <w:pStyle w:val="Heading2"/>
      </w:pPr>
      <w:r>
        <w:t>4. 导入记录和推送记录</w:t>
      </w:r>
    </w:p>
    <w:p>
      <w:r>
        <w:t>导入记录用于查看批次、处理结果和失败原因；推送记录用于核对出院提醒等通知的发送结果。导入失败按批次提示修正文件，推送失败由有权限人员分析后重试。</w:t>
      </w:r>
    </w:p>
    <w:p>
      <w:r>
        <w:br w:type="page"/>
      </w:r>
    </w:p>
    <w:p>
      <w:pPr>
        <w:pStyle w:val="Heading1"/>
      </w:pPr>
      <w:r>
        <w:t>五 系统管理</w:t>
      </w:r>
    </w:p>
    <w:p>
      <w:pPr>
        <w:pStyle w:val="Heading2"/>
      </w:pPr>
      <w:r>
        <w:t>1. 用户与科室管理</w:t>
      </w:r>
    </w:p>
    <w:p>
      <w:r>
        <w:t>进入“系统管理 - 用户管理”。用户只能归属一个科室；创建或导入用户后，由管理员分配角色。停用用户会阻止其继续登录；重置密码后用户需要在下次登录时修改密码。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操作要点</w:t>
            </w:r>
          </w:p>
        </w:tc>
      </w:tr>
      <w:tr>
        <w:tc>
          <w:tcPr>
            <w:tcW w:type="dxa" w:w="4816"/>
            <w:vAlign w:val="center"/>
          </w:tcPr>
          <w:p>
            <w:r>
              <w:t>新增用户</w:t>
            </w:r>
          </w:p>
        </w:tc>
        <w:tc>
          <w:tcPr>
            <w:tcW w:type="dxa" w:w="4816"/>
            <w:vAlign w:val="center"/>
          </w:tcPr>
          <w:p>
            <w:r>
              <w:t>填写姓名、工号、企微ID和所属科室；系统自动生成登录名。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用户模板导出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下载模板并填写姓名、工号、企微ID、所属科室编码。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用户导出</w:t>
            </w:r>
          </w:p>
        </w:tc>
        <w:tc>
          <w:tcPr>
            <w:tcW w:type="dxa" w:w="4816"/>
            <w:vAlign w:val="center"/>
          </w:tcPr>
          <w:p>
            <w:r>
              <w:t>导出用户基础资料，不包含密码。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用户导入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仅支持 xlsx；科室编码必须已存在且启用，工号不得重复。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新增科室</w:t>
            </w:r>
          </w:p>
        </w:tc>
        <w:tc>
          <w:tcPr>
            <w:tcW w:type="dxa" w:w="4816"/>
            <w:vAlign w:val="center"/>
          </w:tcPr>
          <w:p>
            <w:r>
              <w:t>填写唯一的科室编码和名称。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科室模板导出 导出 导入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用于批量维护科室；重复编码会被拒绝。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分配角色</w:t>
            </w:r>
          </w:p>
        </w:tc>
        <w:tc>
          <w:tcPr>
            <w:tcW w:type="dxa" w:w="4816"/>
            <w:vAlign w:val="center"/>
          </w:tcPr>
          <w:p>
            <w:r>
              <w:t>按照岗位分配角色；权限变更后请用户重新登录。</w:t>
            </w:r>
          </w:p>
        </w:tc>
      </w:tr>
    </w:tbl>
    <w:p>
      <w:r/>
    </w:p>
    <w:p>
      <w:pPr>
        <w:pStyle w:val="Heading2"/>
      </w:pPr>
      <w:r>
        <w:t>2. 权限管理</w:t>
      </w:r>
    </w:p>
    <w:p>
      <w:r>
        <w:t>进入“系统管理 - 权限管理”维护角色、菜单权限、接口权限、字段权限和数据范围。应只授予工作所需权限；调整角色前确认影响范围，调整后使用对应测试账号验证。</w:t>
      </w:r>
    </w:p>
    <w:p>
      <w:pPr>
        <w:pStyle w:val="Heading2"/>
      </w:pPr>
      <w:r>
        <w:t>3. 费用系数配置</w:t>
      </w:r>
    </w:p>
    <w:p>
      <w:r>
        <w:t>进入“系统管理 - 费别系数配置”维护费别和系数版本。调整前应确认生效日期、适用范围和业务口径；该配置会影响欠费计算，非授权人员不得修改。</w:t>
      </w:r>
    </w:p>
    <w:p>
      <w:pPr>
        <w:pStyle w:val="Heading2"/>
      </w:pPr>
      <w:r>
        <w:t>4. 审计日志</w:t>
      </w:r>
    </w:p>
    <w:p>
      <w:r>
        <w:t>进入“系统管理 - 审计日志”，按时间、操作人、模块、对象和操作类型查询关键操作。日志可追溯创建、修改、启用、停用、导入和重置密码等动作；发现异常时记录时间和对象编号后联系管理员。</w:t>
      </w:r>
    </w:p>
    <w:p>
      <w:r>
        <w:br w:type="page"/>
      </w:r>
    </w:p>
    <w:p>
      <w:pPr>
        <w:pStyle w:val="Heading1"/>
      </w:pPr>
      <w:r>
        <w:t>六 导入 导出与文件要求</w:t>
      </w:r>
    </w:p>
    <w:p>
      <w:pPr>
        <w:pStyle w:val="Heading2"/>
      </w:pPr>
      <w:r>
        <w:t>1. 导入前检查</w:t>
      </w:r>
    </w:p>
    <w:p>
      <w:pPr>
        <w:pStyle w:val="ListBullet"/>
      </w:pPr>
      <w:r>
        <w:t>始终使用系统下载的最新模板，不修改表头、列顺序或工作表结构。</w:t>
      </w:r>
    </w:p>
    <w:p>
      <w:pPr>
        <w:pStyle w:val="ListBullet"/>
      </w:pPr>
      <w:r>
        <w:t>仅上传 xlsx 文件，删除空白行、合并单元格和无关说明。</w:t>
      </w:r>
    </w:p>
    <w:p>
      <w:pPr>
        <w:pStyle w:val="ListBullet"/>
      </w:pPr>
      <w:r>
        <w:t>确认必填项完整、编码唯一、引用的科室已启用。</w:t>
      </w:r>
    </w:p>
    <w:p>
      <w:pPr>
        <w:pStyle w:val="ListBullet"/>
      </w:pPr>
      <w:r>
        <w:t>导入前保留源文件副本，导入后核对成功数量和关键数据。</w:t>
      </w:r>
    </w:p>
    <w:p>
      <w:pPr>
        <w:pStyle w:val="Heading2"/>
      </w:pPr>
      <w:r>
        <w:t>2. 导入失败处理</w:t>
      </w:r>
    </w:p>
    <w:p>
      <w:r>
        <w:t>阅读失败提示中的行号、字段名和原因，在源文件中修正后重新上传。若提示重复、科室无效或无权限，应先处理基础资料或联系管理员。不要在未知结果时反复上传相同文件。</w:t>
      </w:r>
    </w:p>
    <w:p>
      <w:pPr>
        <w:pStyle w:val="Heading2"/>
      </w:pPr>
      <w:r>
        <w:t>3. 导出数据保护</w:t>
      </w:r>
    </w:p>
    <w:p>
      <w:r>
        <w:t>导出文件仅限工作用途，必须按医院数据分级管理要求保存、传输和销毁。禁止通过个人邮箱、个人网盘或非受控即时通信工具发送患者和业务数据。</w:t>
      </w:r>
    </w:p>
    <w:p>
      <w:r>
        <w:br w:type="page"/>
      </w:r>
    </w:p>
    <w:p>
      <w:pPr>
        <w:pStyle w:val="Heading1"/>
      </w:pPr>
      <w:r>
        <w:t>七 移动端使用</w:t>
      </w:r>
    </w:p>
    <w:p>
      <w:r>
        <w:t>系统提供响应式手机页面。手机端登录后进入工作台，使用左上角菜单切换模块；表格会转换为卡片，较长表单通常以全屏对话框显示。</w:t>
      </w:r>
    </w:p>
    <w:p>
      <w:pPr>
        <w:pStyle w:val="ListBullet"/>
      </w:pPr>
      <w:r>
        <w:t>建议竖屏使用；进行大量筛选、批量导入或导出时建议使用电脑端。</w:t>
      </w:r>
    </w:p>
    <w:p>
      <w:pPr>
        <w:pStyle w:val="ListBullet"/>
      </w:pPr>
      <w:r>
        <w:t>网络不稳定时不要连续点击保存、导入或重试，等待结果提示。</w:t>
      </w:r>
    </w:p>
    <w:p>
      <w:pPr>
        <w:pStyle w:val="ListBullet"/>
      </w:pPr>
      <w:r>
        <w:t>共用手机不要勾选记住密码，使用结束后主动退出。</w:t>
      </w:r>
    </w:p>
    <w:p>
      <w:pPr>
        <w:pStyle w:val="Heading1"/>
      </w:pPr>
      <w:r>
        <w:t>八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4816"/>
            <w:vAlign w:val="center"/>
            <w:shd w:fill="1F4E78"/>
          </w:tcPr>
          <w:p>
            <w:r>
              <w:rPr>
                <w:b/>
                <w:color w:val="FFFFFF"/>
              </w:rPr>
              <w:t>处理建议</w:t>
            </w:r>
          </w:p>
        </w:tc>
      </w:tr>
      <w:tr>
        <w:tc>
          <w:tcPr>
            <w:tcW w:type="dxa" w:w="4816"/>
            <w:vAlign w:val="center"/>
          </w:tcPr>
          <w:p>
            <w:r>
              <w:t>登录失败或会话失效</w:t>
            </w:r>
          </w:p>
        </w:tc>
        <w:tc>
          <w:tcPr>
            <w:tcW w:type="dxa" w:w="4816"/>
            <w:vAlign w:val="center"/>
          </w:tcPr>
          <w:p>
            <w:r>
              <w:t>核对账号、密码和网络；会话超时后重新登录；连续失败请联系管理员。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看不到菜单或按钮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当前账号可能缺少权限或数据范围不匹配，请联系管理员。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保存提示冲突</w:t>
            </w:r>
          </w:p>
        </w:tc>
        <w:tc>
          <w:tcPr>
            <w:tcW w:type="dxa" w:w="4816"/>
            <w:vAlign w:val="center"/>
          </w:tcPr>
          <w:p>
            <w:r>
              <w:t>说明记录已被更新，刷新后核对最新内容再保存。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导入失败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使用最新 xlsx 模板，按提示行号修正必填项、编码或重复数据。</w:t>
            </w:r>
          </w:p>
        </w:tc>
      </w:tr>
      <w:tr>
        <w:tc>
          <w:tcPr>
            <w:tcW w:type="dxa" w:w="4816"/>
            <w:vAlign w:val="center"/>
          </w:tcPr>
          <w:p>
            <w:r>
              <w:t>下载失败</w:t>
            </w:r>
          </w:p>
        </w:tc>
        <w:tc>
          <w:tcPr>
            <w:tcW w:type="dxa" w:w="4816"/>
            <w:vAlign w:val="center"/>
          </w:tcPr>
          <w:p>
            <w:r>
              <w:t>检查浏览器下载权限、院内网络和弹窗拦截设置，必要时改用电脑端。</w:t>
            </w:r>
          </w:p>
        </w:tc>
      </w:tr>
      <w:tr>
        <w:tc>
          <w:tcPr>
            <w:tcW w:type="dxa" w:w="4816"/>
            <w:vAlign w:val="center"/>
            <w:shd w:fill="F3F7FB"/>
          </w:tcPr>
          <w:p>
            <w:r>
              <w:t>推送失败</w:t>
            </w:r>
          </w:p>
        </w:tc>
        <w:tc>
          <w:tcPr>
            <w:tcW w:type="dxa" w:w="4816"/>
            <w:vAlign w:val="center"/>
            <w:shd w:fill="F3F7FB"/>
          </w:tcPr>
          <w:p>
            <w:r>
              <w:t>查看推送记录中的失败原因，由具有权限的人员检查后重试。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九 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8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3211"/>
            <w:vAlign w:val="center"/>
            <w:shd w:fill="1F4E78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3211"/>
            <w:vAlign w:val="center"/>
            <w:shd w:fill="1F4E78"/>
          </w:tcPr>
          <w:p>
            <w:r>
              <w:rPr>
                <w:b/>
                <w:color w:val="FFFFFF"/>
              </w:rPr>
              <w:t>变更内容</w:t>
            </w:r>
          </w:p>
        </w:tc>
      </w:tr>
      <w:tr>
        <w:tc>
          <w:tcPr>
            <w:tcW w:type="dxa" w:w="3211"/>
            <w:vAlign w:val="center"/>
          </w:tcPr>
          <w:p>
            <w:r>
              <w:t>V1.1.0</w:t>
            </w:r>
          </w:p>
        </w:tc>
        <w:tc>
          <w:tcPr>
            <w:tcW w:type="dxa" w:w="3211"/>
            <w:vAlign w:val="center"/>
          </w:tcPr>
          <w:p>
            <w:r>
              <w:t>2026年9月5日</w:t>
            </w:r>
          </w:p>
        </w:tc>
        <w:tc>
          <w:tcPr>
            <w:tcW w:type="dxa" w:w="3211"/>
            <w:vAlign w:val="center"/>
          </w:tcPr>
          <w:p>
            <w:r>
              <w:t>扩写为全系统用户手册，覆盖登录、工作台、欠费、预计出院、系统管理、导入导出、移动端和常见问题。</w:t>
            </w:r>
          </w:p>
        </w:tc>
      </w:tr>
      <w:tr>
        <w:tc>
          <w:tcPr>
            <w:tcW w:type="dxa" w:w="3211"/>
            <w:vAlign w:val="center"/>
            <w:shd w:fill="F3F7FB"/>
          </w:tcPr>
          <w:p>
            <w:r>
              <w:t>V1.0.0</w:t>
            </w:r>
          </w:p>
        </w:tc>
        <w:tc>
          <w:tcPr>
            <w:tcW w:type="dxa" w:w="3211"/>
            <w:vAlign w:val="center"/>
            <w:shd w:fill="F3F7FB"/>
          </w:tcPr>
          <w:p>
            <w:r>
              <w:t>2026年9月5日</w:t>
            </w:r>
          </w:p>
        </w:tc>
        <w:tc>
          <w:tcPr>
            <w:tcW w:type="dxa" w:w="3211"/>
            <w:vAlign w:val="center"/>
            <w:shd w:fill="F3F7FB"/>
          </w:tcPr>
          <w:p>
            <w:r>
              <w:t>初始版本，覆盖欠费管理、预计出院管理、系统管理、权限审计及移动端基础适配。</w:t>
            </w:r>
          </w:p>
        </w:tc>
      </w:tr>
    </w:tbl>
    <w:p>
      <w:r/>
    </w:p>
    <w:p>
      <w:r>
        <w:t>维护要求：每次功能、权限、流程或版本变更时，必须同步更新相关章节和本修改记录，并将下载文件更新为对应版本号。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