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📘</w:t>
      </w:r>
      <w:r w:rsidRPr="00734FA8">
        <w:rPr>
          <w:rFonts w:ascii="微軟正黑體 Light" w:eastAsia="微軟正黑體 Light" w:hAnsi="微軟正黑體 Light"/>
          <w:b/>
          <w:bCs/>
        </w:rPr>
        <w:t xml:space="preserve"> 第九章：權利與救濟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0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Ⅰ. 權利分類與特性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2856"/>
        <w:gridCol w:w="4536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權利類型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例子 / 特點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基本權利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憲法保障人民不可剝奪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人身自由、言論自由、宗教自由、財產權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公民權利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參與政治與監督政府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投票、參選、罷免、創制、</w:t>
            </w:r>
            <w:proofErr w:type="gramStart"/>
            <w:r w:rsidRPr="00734FA8">
              <w:rPr>
                <w:rFonts w:ascii="微軟正黑體 Light" w:eastAsia="微軟正黑體 Light" w:hAnsi="微軟正黑體 Light"/>
              </w:rPr>
              <w:t>複</w:t>
            </w:r>
            <w:proofErr w:type="gramEnd"/>
            <w:r w:rsidRPr="00734FA8">
              <w:rPr>
                <w:rFonts w:ascii="微軟正黑體 Light" w:eastAsia="微軟正黑體 Light" w:hAnsi="微軟正黑體 Light"/>
              </w:rPr>
              <w:t>決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社會權利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國家保障生活與勞動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教育權、健康權、社會福利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經濟權利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個人財產與經濟活動自由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財產所有權、契約自由、營業自由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  <w:b/>
          <w:bCs/>
        </w:rPr>
        <w:t>特性</w:t>
      </w:r>
      <w:r w:rsidRPr="00734FA8">
        <w:rPr>
          <w:rFonts w:ascii="微軟正黑體 Light" w:eastAsia="微軟正黑體 Light" w:hAnsi="微軟正黑體 Light"/>
        </w:rPr>
        <w:t>：不可剝奪、平等、相對、可救濟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1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Ⅱ. 權利救濟方式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2"/>
        <w:gridCol w:w="3336"/>
        <w:gridCol w:w="4021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救濟途徑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例子 / 特點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訴訟外和解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當事人自行協議解決紛爭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無需法院介入，快速、靈活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訴訟內和解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訴訟過程中達成和解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法院認可後結案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調解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第三方協助協商解決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不具強制力，促進雙方自願解決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民事訴訟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法院正式處理民事糾紛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裁定責任與賠償，保障合法權益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刑事訴訟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國家追訴犯罪、維護社會秩序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公訴、自訴、偵查、審理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行政救濟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對行政處分或行政行為不服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申請 → 訴願 → 行政訴訟 → 判決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lastRenderedPageBreak/>
              <w:t xml:space="preserve">創制 / </w:t>
            </w:r>
            <w:proofErr w:type="gramStart"/>
            <w:r w:rsidRPr="00734FA8">
              <w:rPr>
                <w:rFonts w:ascii="微軟正黑體 Light" w:eastAsia="微軟正黑體 Light" w:hAnsi="微軟正黑體 Light"/>
              </w:rPr>
              <w:t>複</w:t>
            </w:r>
            <w:proofErr w:type="gramEnd"/>
            <w:r w:rsidRPr="00734FA8">
              <w:rPr>
                <w:rFonts w:ascii="微軟正黑體 Light" w:eastAsia="微軟正黑體 Light" w:hAnsi="微軟正黑體 Light"/>
              </w:rPr>
              <w:t>決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公民直接提出或表決法案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政策或立法不滿時使用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罷免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民選公職人員行為不當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公民投票決定是否罷免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2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Ⅲ. 調解與調解委員會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03"/>
        <w:gridCol w:w="5062"/>
        <w:gridCol w:w="3191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類型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作用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適用範圍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法院調解委員會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協助法院進行訴訟內或訴訟前調解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民事案件（契約、財產、婚姻）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行政/社區調解委員會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協助行政機關或社區解決爭議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鄰里糾紛、消費糾紛、社會事件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特點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中立第三方協助、促進自願和解、減少司法程序負擔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民事與行政救濟的非訴訟途徑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  <w:b/>
          <w:bCs/>
        </w:rPr>
        <w:t>調解流程</w:t>
      </w:r>
      <w:r w:rsidRPr="00734FA8">
        <w:rPr>
          <w:rFonts w:ascii="微軟正黑體 Light" w:eastAsia="微軟正黑體 Light" w:hAnsi="微軟正黑體 Light"/>
        </w:rPr>
        <w:t>：申請 → 召集會議 → 協商解決方案 → 雙方簽署協議 → 協議成功或進入訴訟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3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Ⅳ. 民事訴訟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6"/>
        <w:gridCol w:w="4969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目的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解決民事糾紛，保障合法權益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依據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民事訴訟法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原則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公平、公正、公開、迅速、誠實信用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lastRenderedPageBreak/>
              <w:t>相關人員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原告、被告、律師、法官、書記官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流程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起訴 → 審理 → 判決 → 上訴 → 強制執行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4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Ⅴ. 刑事訴訟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刑事訴訟意義</w:t>
      </w:r>
    </w:p>
    <w:p w:rsidR="00734FA8" w:rsidRPr="00734FA8" w:rsidRDefault="00734FA8" w:rsidP="00734FA8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國家追訴犯罪、維護社會秩序、保障人民權利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依據</w:t>
      </w:r>
    </w:p>
    <w:p w:rsidR="00734FA8" w:rsidRPr="00734FA8" w:rsidRDefault="00734FA8" w:rsidP="00734FA8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刑事訴訟法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重要原則</w:t>
      </w:r>
    </w:p>
    <w:p w:rsidR="00734FA8" w:rsidRPr="00734FA8" w:rsidRDefault="00734FA8" w:rsidP="00734FA8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罪刑法定、無罪推定、比例原則、公平審判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相關人員</w:t>
      </w:r>
    </w:p>
    <w:p w:rsidR="00734FA8" w:rsidRPr="00734FA8" w:rsidRDefault="00734FA8" w:rsidP="00734FA8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被告、檢察官、辯護人、法官、公訴人、被害人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刑事案件來源與程序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7416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告訴乃論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被害人需提出告訴，檢察官才能起訴（如輕傷害、妨害名譽）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非告訴乃論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法律規定檢察官即使無被害人告訴，也可主動追訴（如殺人、搶劫）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告訴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被害人主動向檢察官控告（告訴乃論案件）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告發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第三人向檢察官報告犯罪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自首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犯罪者主動投案，可減輕刑責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自訴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被害人直接提起刑事訴訟（部分輕微犯罪）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公訴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檢察官代表國家提起刑事訴訟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不起訴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檢察官認為證據不足或不符起訴要件，不起訴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Segoe UI Emoji" w:eastAsia="微軟正黑體 Light" w:hAnsi="Segoe UI Emoji" w:cs="Segoe UI Emoji"/>
          <w:b/>
          <w:bCs/>
        </w:rPr>
        <w:t>🔹</w:t>
      </w:r>
      <w:r w:rsidRPr="00734FA8">
        <w:rPr>
          <w:rFonts w:ascii="微軟正黑體 Light" w:eastAsia="微軟正黑體 Light" w:hAnsi="微軟正黑體 Light"/>
          <w:b/>
          <w:bCs/>
        </w:rPr>
        <w:t xml:space="preserve"> 刑事案件流程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偵查（警察/檢察官）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起訴（檢察官向法院）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審理（法院開庭）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判決（有罪/無罪）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上訴/再審</w:t>
      </w:r>
    </w:p>
    <w:p w:rsidR="00734FA8" w:rsidRPr="00734FA8" w:rsidRDefault="00734FA8" w:rsidP="00734FA8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執行刑罰（主刑與從刑）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5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>Ⅵ. 行政救濟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2"/>
        <w:gridCol w:w="6216"/>
      </w:tblGrid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流程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734FA8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申請 / 受理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對行政處分不服，先向原行政機關申請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訴願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上級行政機關審查，作出決定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lastRenderedPageBreak/>
              <w:t>行政訴訟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訴願不服，可向法院提起行政訴訟</w:t>
            </w:r>
          </w:p>
        </w:tc>
      </w:tr>
      <w:tr w:rsidR="00734FA8" w:rsidRPr="00734FA8" w:rsidTr="00734FA8"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判決 / 執行</w:t>
            </w:r>
          </w:p>
        </w:tc>
        <w:tc>
          <w:tcPr>
            <w:tcW w:w="0" w:type="auto"/>
            <w:hideMark/>
          </w:tcPr>
          <w:p w:rsidR="00734FA8" w:rsidRPr="00734FA8" w:rsidRDefault="00734FA8" w:rsidP="00734FA8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734FA8">
              <w:rPr>
                <w:rFonts w:ascii="微軟正黑體 Light" w:eastAsia="微軟正黑體 Light" w:hAnsi="微軟正黑體 Light"/>
              </w:rPr>
              <w:t>法院判決行政行為是否合法，必要時撤銷或變更行政處分</w:t>
            </w:r>
          </w:p>
        </w:tc>
      </w:tr>
    </w:tbl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  <w:b/>
          <w:bCs/>
        </w:rPr>
        <w:t>原則補充</w:t>
      </w:r>
      <w:r w:rsidRPr="00734FA8">
        <w:rPr>
          <w:rFonts w:ascii="微軟正黑體 Light" w:eastAsia="微軟正黑體 Light" w:hAnsi="微軟正黑體 Light"/>
        </w:rPr>
        <w:t>：依法行政、及時、比例、公平</w: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pict>
          <v:rect id="_x0000_i1086" style="width:0;height:1.5pt" o:hralign="center" o:hrstd="t" o:hr="t" fillcolor="#a0a0a0" stroked="f"/>
        </w:pict>
      </w:r>
    </w:p>
    <w:p w:rsidR="00734FA8" w:rsidRPr="00734FA8" w:rsidRDefault="00734FA8" w:rsidP="00734FA8">
      <w:pPr>
        <w:rPr>
          <w:rFonts w:ascii="微軟正黑體 Light" w:eastAsia="微軟正黑體 Light" w:hAnsi="微軟正黑體 Light"/>
          <w:b/>
          <w:bCs/>
        </w:rPr>
      </w:pPr>
      <w:r w:rsidRPr="00734FA8">
        <w:rPr>
          <w:rFonts w:ascii="微軟正黑體 Light" w:eastAsia="微軟正黑體 Light" w:hAnsi="微軟正黑體 Light"/>
          <w:b/>
          <w:bCs/>
        </w:rPr>
        <w:t xml:space="preserve">Ⅶ. </w:t>
      </w:r>
      <w:proofErr w:type="gramStart"/>
      <w:r w:rsidRPr="00734FA8">
        <w:rPr>
          <w:rFonts w:ascii="微軟正黑體 Light" w:eastAsia="微軟正黑體 Light" w:hAnsi="微軟正黑體 Light"/>
          <w:b/>
          <w:bCs/>
        </w:rPr>
        <w:t>高頻考點整理</w:t>
      </w:r>
      <w:proofErr w:type="gramEnd"/>
    </w:p>
    <w:p w:rsidR="00734FA8" w:rsidRPr="00734FA8" w:rsidRDefault="00734FA8" w:rsidP="00734FA8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權利特性：不可剝奪、平等、相對、可救濟</w:t>
      </w:r>
    </w:p>
    <w:p w:rsidR="00734FA8" w:rsidRPr="00734FA8" w:rsidRDefault="00734FA8" w:rsidP="00734FA8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救濟方式：訴訟外和解、訴訟內和解、調解（含調解委員會）、民事訴訟、刑事訴訟（告訴乃論/非告訴乃論、自首、自訴、公訴、不起訴）、行政救濟、創制、</w:t>
      </w:r>
      <w:proofErr w:type="gramStart"/>
      <w:r w:rsidRPr="00734FA8">
        <w:rPr>
          <w:rFonts w:ascii="微軟正黑體 Light" w:eastAsia="微軟正黑體 Light" w:hAnsi="微軟正黑體 Light"/>
        </w:rPr>
        <w:t>複</w:t>
      </w:r>
      <w:proofErr w:type="gramEnd"/>
      <w:r w:rsidRPr="00734FA8">
        <w:rPr>
          <w:rFonts w:ascii="微軟正黑體 Light" w:eastAsia="微軟正黑體 Light" w:hAnsi="微軟正黑體 Light"/>
        </w:rPr>
        <w:t>決、罷免</w:t>
      </w:r>
    </w:p>
    <w:p w:rsidR="00734FA8" w:rsidRPr="00734FA8" w:rsidRDefault="00734FA8" w:rsidP="00734FA8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民事訴訟：目的、依據、原則、流程、相關人員</w:t>
      </w:r>
    </w:p>
    <w:p w:rsidR="00734FA8" w:rsidRPr="00734FA8" w:rsidRDefault="00734FA8" w:rsidP="00734FA8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刑事訴訟：意義、依據、原則、流程、相關人員、案件來源</w:t>
      </w:r>
    </w:p>
    <w:p w:rsidR="00734FA8" w:rsidRPr="00734FA8" w:rsidRDefault="00734FA8" w:rsidP="00734FA8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734FA8">
        <w:rPr>
          <w:rFonts w:ascii="微軟正黑體 Light" w:eastAsia="微軟正黑體 Light" w:hAnsi="微軟正黑體 Light"/>
        </w:rPr>
        <w:t>行政救濟：流程與原則</w:t>
      </w:r>
    </w:p>
    <w:p w:rsidR="00734FA8" w:rsidRPr="00734FA8" w:rsidRDefault="00734FA8">
      <w:pPr>
        <w:rPr>
          <w:rFonts w:ascii="微軟正黑體 Light" w:eastAsia="微軟正黑體 Light" w:hAnsi="微軟正黑體 Light"/>
        </w:rPr>
      </w:pPr>
    </w:p>
    <w:sectPr w:rsidR="00734FA8" w:rsidRPr="00734FA8" w:rsidSect="00734FA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8DD"/>
    <w:multiLevelType w:val="multilevel"/>
    <w:tmpl w:val="44E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658"/>
    <w:multiLevelType w:val="multilevel"/>
    <w:tmpl w:val="BBE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D6B"/>
    <w:multiLevelType w:val="multilevel"/>
    <w:tmpl w:val="5EA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67358"/>
    <w:multiLevelType w:val="multilevel"/>
    <w:tmpl w:val="A12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C5AFF"/>
    <w:multiLevelType w:val="multilevel"/>
    <w:tmpl w:val="739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66239"/>
    <w:multiLevelType w:val="multilevel"/>
    <w:tmpl w:val="D224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17179">
    <w:abstractNumId w:val="2"/>
  </w:num>
  <w:num w:numId="2" w16cid:durableId="965310992">
    <w:abstractNumId w:val="0"/>
  </w:num>
  <w:num w:numId="3" w16cid:durableId="1908226313">
    <w:abstractNumId w:val="1"/>
  </w:num>
  <w:num w:numId="4" w16cid:durableId="1975137727">
    <w:abstractNumId w:val="3"/>
  </w:num>
  <w:num w:numId="5" w16cid:durableId="712845923">
    <w:abstractNumId w:val="4"/>
  </w:num>
  <w:num w:numId="6" w16cid:durableId="147869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A8"/>
    <w:rsid w:val="000C7ADC"/>
    <w:rsid w:val="0073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F652"/>
  <w15:chartTrackingRefBased/>
  <w15:docId w15:val="{477B2E0F-11DD-4480-8DE3-152DFC0D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F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FA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FA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F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F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F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F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4F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4FA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4FA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4F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4F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4F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4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F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F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4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4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F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F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4F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4FA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34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2025-11-15T15:04:00Z</dcterms:created>
  <dcterms:modified xsi:type="dcterms:W3CDTF">2025-11-15T15:05:00Z</dcterms:modified>
</cp:coreProperties>
</file>