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📘</w:t>
      </w:r>
      <w:r w:rsidRPr="002B0560">
        <w:rPr>
          <w:rFonts w:ascii="微軟正黑體 Light" w:eastAsia="微軟正黑體 Light" w:hAnsi="微軟正黑體 Light"/>
          <w:b/>
          <w:bCs/>
        </w:rPr>
        <w:t xml:space="preserve"> 第八章：民法、刑法與行政法</w: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pict>
          <v:rect id="_x0000_i1074" style="width:0;height:1.5pt" o:hralign="center" o:hrstd="t" o:hr="t" fillcolor="#a0a0a0" stroked="f"/>
        </w:pic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微軟正黑體 Light" w:eastAsia="微軟正黑體 Light" w:hAnsi="微軟正黑體 Light"/>
          <w:b/>
          <w:bCs/>
        </w:rPr>
        <w:t>Ⅰ. 法律分類與功能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4776"/>
        <w:gridCol w:w="4296"/>
      </w:tblGrid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法律種類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例子 / 特點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民法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調整個人與個人、個人與</w:t>
            </w:r>
            <w:proofErr w:type="gramStart"/>
            <w:r w:rsidRPr="002B0560">
              <w:rPr>
                <w:rFonts w:ascii="微軟正黑體 Light" w:eastAsia="微軟正黑體 Light" w:hAnsi="微軟正黑體 Light"/>
              </w:rPr>
              <w:t>團體間的權利</w:t>
            </w:r>
            <w:proofErr w:type="gramEnd"/>
            <w:r w:rsidRPr="002B0560">
              <w:rPr>
                <w:rFonts w:ascii="微軟正黑體 Light" w:eastAsia="微軟正黑體 Light" w:hAnsi="微軟正黑體 Light"/>
              </w:rPr>
              <w:t>義務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財產、婚姻、契約、繼承等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刑法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調整國家對犯罪行為的處罰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杀人、竊盜、詐欺、妨害公眾罪等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行政法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規範行政機關與人民的行為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稅務、社會福利、建築許可、行政處分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pict>
          <v:rect id="_x0000_i1075" style="width:0;height:1.5pt" o:hralign="center" o:hrstd="t" o:hr="t" fillcolor="#a0a0a0" stroked="f"/>
        </w:pic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微軟正黑體 Light" w:eastAsia="微軟正黑體 Light" w:hAnsi="微軟正黑體 Light"/>
          <w:b/>
          <w:bCs/>
        </w:rPr>
        <w:t>Ⅱ. 民法（Civil Law）</w: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法律能力與責任能力年齡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10"/>
        <w:gridCol w:w="2853"/>
        <w:gridCol w:w="6593"/>
      </w:tblGrid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能力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年齡 / 說明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行為能力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締結契約或承擔義務的法律資格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20歲以上</w:t>
            </w:r>
            <w:r w:rsidRPr="002B0560">
              <w:rPr>
                <w:rFonts w:ascii="微軟正黑體 Light" w:eastAsia="微軟正黑體 Light" w:hAnsi="微軟正黑體 Light"/>
              </w:rPr>
              <w:t>：完全行為能力人；</w:t>
            </w: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未滿20歲</w:t>
            </w:r>
            <w:r w:rsidRPr="002B0560">
              <w:rPr>
                <w:rFonts w:ascii="微軟正黑體 Light" w:eastAsia="微軟正黑體 Light" w:hAnsi="微軟正黑體 Light"/>
              </w:rPr>
              <w:t>：限制行為能力人（需監護人同意）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契約原則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6"/>
        <w:gridCol w:w="5736"/>
      </w:tblGrid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原則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誠實信用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契約履行應真誠、公平，不得欺瞞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契約自由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雙方可自由協議契約內容與締約對象，但不得違法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權力禁止濫用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不得濫用權利傷害他人或社會公共利益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lastRenderedPageBreak/>
              <w:t>消滅時效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權利要求須在法律規定期間內行使，逾期喪失救濟權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債務相關</w:t>
      </w:r>
    </w:p>
    <w:p w:rsidR="002B0560" w:rsidRPr="002B0560" w:rsidRDefault="002B0560" w:rsidP="002B0560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侵權行為</w:t>
      </w:r>
      <w:r w:rsidRPr="002B0560">
        <w:rPr>
          <w:rFonts w:ascii="微軟正黑體 Light" w:eastAsia="微軟正黑體 Light" w:hAnsi="微軟正黑體 Light"/>
        </w:rPr>
        <w:t>：違法造成他人損害，須負損害賠償責任</w:t>
      </w:r>
    </w:p>
    <w:p w:rsidR="002B0560" w:rsidRPr="002B0560" w:rsidRDefault="002B0560" w:rsidP="002B0560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債務不履行</w:t>
      </w:r>
      <w:r w:rsidRPr="002B0560">
        <w:rPr>
          <w:rFonts w:ascii="微軟正黑體 Light" w:eastAsia="微軟正黑體 Light" w:hAnsi="微軟正黑體 Light"/>
        </w:rPr>
        <w:t>：未依契約履行義務，需承擔違約責任</w: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pict>
          <v:rect id="_x0000_i1076" style="width:0;height:1.5pt" o:hralign="center" o:hrstd="t" o:hr="t" fillcolor="#a0a0a0" stroked="f"/>
        </w:pict>
      </w:r>
    </w:p>
    <w:p w:rsid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微軟正黑體 Light" w:eastAsia="微軟正黑體 Light" w:hAnsi="微軟正黑體 Light"/>
          <w:b/>
          <w:bCs/>
        </w:rPr>
        <w:t>Ⅲ. 刑法（Criminal Law）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6"/>
        <w:gridCol w:w="3977"/>
        <w:gridCol w:w="5553"/>
      </w:tblGrid>
      <w:tr w:rsidR="002B0560" w:rsidRPr="002B0560" w:rsidTr="00500DD7">
        <w:tc>
          <w:tcPr>
            <w:tcW w:w="0" w:type="auto"/>
            <w:hideMark/>
          </w:tcPr>
          <w:p w:rsidR="002B0560" w:rsidRPr="002B0560" w:rsidRDefault="002B0560" w:rsidP="00500DD7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能力</w:t>
            </w:r>
          </w:p>
        </w:tc>
        <w:tc>
          <w:tcPr>
            <w:tcW w:w="0" w:type="auto"/>
            <w:hideMark/>
          </w:tcPr>
          <w:p w:rsidR="002B0560" w:rsidRPr="002B0560" w:rsidRDefault="002B0560" w:rsidP="00500DD7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:rsidR="002B0560" w:rsidRPr="002B0560" w:rsidRDefault="002B0560" w:rsidP="00500DD7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年齡 / 說明</w:t>
            </w:r>
          </w:p>
        </w:tc>
      </w:tr>
      <w:tr w:rsidR="002B0560" w:rsidRPr="002B0560" w:rsidTr="00500DD7">
        <w:tc>
          <w:tcPr>
            <w:tcW w:w="0" w:type="auto"/>
            <w:hideMark/>
          </w:tcPr>
          <w:p w:rsidR="002B0560" w:rsidRPr="002B0560" w:rsidRDefault="002B0560" w:rsidP="00500DD7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責任能力</w:t>
            </w:r>
          </w:p>
        </w:tc>
        <w:tc>
          <w:tcPr>
            <w:tcW w:w="0" w:type="auto"/>
            <w:hideMark/>
          </w:tcPr>
          <w:p w:rsidR="002B0560" w:rsidRPr="002B0560" w:rsidRDefault="002B0560" w:rsidP="00500DD7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承擔法律責任能力（如侵權、契約違約、刑事責任）</w:t>
            </w:r>
          </w:p>
        </w:tc>
        <w:tc>
          <w:tcPr>
            <w:tcW w:w="0" w:type="auto"/>
            <w:hideMark/>
          </w:tcPr>
          <w:p w:rsidR="002B0560" w:rsidRPr="002B0560" w:rsidRDefault="002B0560" w:rsidP="00500DD7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14歲以下</w:t>
            </w:r>
            <w:r w:rsidRPr="002B0560">
              <w:rPr>
                <w:rFonts w:ascii="微軟正黑體 Light" w:eastAsia="微軟正黑體 Light" w:hAnsi="微軟正黑體 Light"/>
              </w:rPr>
              <w:t>：無刑事責任</w:t>
            </w: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14~17歲</w:t>
            </w:r>
            <w:r w:rsidRPr="002B0560">
              <w:rPr>
                <w:rFonts w:ascii="微軟正黑體 Light" w:eastAsia="微軟正黑體 Light" w:hAnsi="微軟正黑體 Light"/>
              </w:rPr>
              <w:t>：限制刑事責任</w:t>
            </w: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18歲以上</w:t>
            </w:r>
            <w:r w:rsidRPr="002B0560">
              <w:rPr>
                <w:rFonts w:ascii="微軟正黑體 Light" w:eastAsia="微軟正黑體 Light" w:hAnsi="微軟正黑體 Light"/>
              </w:rPr>
              <w:t>：完全責任能力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 w:hint="eastAsia"/>
          <w:b/>
          <w:bCs/>
        </w:rPr>
      </w:pP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刑法原則與刑罰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6"/>
        <w:gridCol w:w="5016"/>
      </w:tblGrid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原則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罪刑法定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無法律規定不得處罰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無罪推定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被告在判決</w:t>
            </w:r>
            <w:proofErr w:type="gramStart"/>
            <w:r w:rsidRPr="002B0560">
              <w:rPr>
                <w:rFonts w:ascii="微軟正黑體 Light" w:eastAsia="微軟正黑體 Light" w:hAnsi="微軟正黑體 Light"/>
              </w:rPr>
              <w:t>有罪前應</w:t>
            </w:r>
            <w:proofErr w:type="gramEnd"/>
            <w:r w:rsidRPr="002B0560">
              <w:rPr>
                <w:rFonts w:ascii="微軟正黑體 Light" w:eastAsia="微軟正黑體 Light" w:hAnsi="微軟正黑體 Light"/>
              </w:rPr>
              <w:t>視為無罪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主刑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主要刑罰，如有期徒刑、罰金、死刑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從刑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附加刑，用於加重刑責，如</w:t>
            </w:r>
            <w:proofErr w:type="gramStart"/>
            <w:r w:rsidRPr="002B0560">
              <w:rPr>
                <w:rFonts w:ascii="微軟正黑體 Light" w:eastAsia="微軟正黑體 Light" w:hAnsi="微軟正黑體 Light"/>
              </w:rPr>
              <w:t>併</w:t>
            </w:r>
            <w:proofErr w:type="gramEnd"/>
            <w:r w:rsidRPr="002B0560">
              <w:rPr>
                <w:rFonts w:ascii="微軟正黑體 Light" w:eastAsia="微軟正黑體 Light" w:hAnsi="微軟正黑體 Light"/>
              </w:rPr>
              <w:t>科罰金、複合刑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刑罰種類</w:t>
      </w:r>
    </w:p>
    <w:p w:rsidR="002B0560" w:rsidRPr="002B0560" w:rsidRDefault="002B0560" w:rsidP="002B0560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t>罰金、拘役、有期徒刑、無期徒刑、死刑</w: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lastRenderedPageBreak/>
        <w:pict>
          <v:rect id="_x0000_i1077" style="width:0;height:1.5pt" o:hralign="center" o:hrstd="t" o:hr="t" fillcolor="#a0a0a0" stroked="f"/>
        </w:pic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微軟正黑體 Light" w:eastAsia="微軟正黑體 Light" w:hAnsi="微軟正黑體 Light"/>
          <w:b/>
          <w:bCs/>
        </w:rPr>
        <w:t>Ⅳ. 行政法（Administrative Law）</w: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主要原則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6"/>
        <w:gridCol w:w="5976"/>
      </w:tblGrid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原則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依法行政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行政機關必須依法律規定行事，違法行政可撤銷或救濟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公法原則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強調政府行為合法性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人民權益保障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行政不當時可救濟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Segoe UI Emoji" w:eastAsia="微軟正黑體 Light" w:hAnsi="Segoe UI Emoji" w:cs="Segoe UI Emoji"/>
          <w:b/>
          <w:bCs/>
        </w:rPr>
        <w:t>🔹</w:t>
      </w:r>
      <w:r w:rsidRPr="002B0560">
        <w:rPr>
          <w:rFonts w:ascii="微軟正黑體 Light" w:eastAsia="微軟正黑體 Light" w:hAnsi="微軟正黑體 Light"/>
          <w:b/>
          <w:bCs/>
        </w:rPr>
        <w:t xml:space="preserve"> 主要內容</w:t>
      </w:r>
    </w:p>
    <w:p w:rsidR="002B0560" w:rsidRPr="002B0560" w:rsidRDefault="002B0560" w:rsidP="002B0560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t>行政處分（許可、罰鍰、命令）</w:t>
      </w:r>
    </w:p>
    <w:p w:rsidR="002B0560" w:rsidRPr="002B0560" w:rsidRDefault="002B0560" w:rsidP="002B0560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t>行政程序（決策、聽證、公聽會）</w:t>
      </w:r>
    </w:p>
    <w:p w:rsidR="002B0560" w:rsidRPr="002B0560" w:rsidRDefault="002B0560" w:rsidP="002B0560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t>行政救濟（訴願、行政訴訟）</w:t>
      </w:r>
    </w:p>
    <w:p w:rsidR="002B0560" w:rsidRPr="002B0560" w:rsidRDefault="002B0560" w:rsidP="002B0560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t>行政監督（監察院彈劾、審計）</w: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pict>
          <v:rect id="_x0000_i1078" style="width:0;height:1.5pt" o:hralign="center" o:hrstd="t" o:hr="t" fillcolor="#a0a0a0" stroked="f"/>
        </w:pic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微軟正黑體 Light" w:eastAsia="微軟正黑體 Light" w:hAnsi="微軟正黑體 Light"/>
          <w:b/>
          <w:bCs/>
        </w:rPr>
        <w:t xml:space="preserve">Ⅴ. </w:t>
      </w:r>
      <w:proofErr w:type="gramStart"/>
      <w:r w:rsidRPr="002B0560">
        <w:rPr>
          <w:rFonts w:ascii="微軟正黑體 Light" w:eastAsia="微軟正黑體 Light" w:hAnsi="微軟正黑體 Light"/>
          <w:b/>
          <w:bCs/>
        </w:rPr>
        <w:t>法律間的位階</w:t>
      </w:r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2"/>
        <w:gridCol w:w="3816"/>
      </w:tblGrid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層級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2B0560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憲法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國家最高法，其他法律不得違反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法律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民法、刑法、行政法</w:t>
            </w:r>
          </w:p>
        </w:tc>
      </w:tr>
      <w:tr w:rsidR="002B0560" w:rsidRPr="002B0560" w:rsidTr="002B0560"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命令 / 規則</w:t>
            </w:r>
          </w:p>
        </w:tc>
        <w:tc>
          <w:tcPr>
            <w:tcW w:w="0" w:type="auto"/>
            <w:hideMark/>
          </w:tcPr>
          <w:p w:rsidR="002B0560" w:rsidRPr="002B0560" w:rsidRDefault="002B0560" w:rsidP="002B0560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2B0560">
              <w:rPr>
                <w:rFonts w:ascii="微軟正黑體 Light" w:eastAsia="微軟正黑體 Light" w:hAnsi="微軟正黑體 Light"/>
              </w:rPr>
              <w:t>行政機關制定，需符合法律與憲法</w:t>
            </w:r>
          </w:p>
        </w:tc>
      </w:tr>
    </w:tbl>
    <w:p w:rsidR="002B0560" w:rsidRPr="002B0560" w:rsidRDefault="002B0560" w:rsidP="002B0560">
      <w:p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</w:rPr>
        <w:lastRenderedPageBreak/>
        <w:pict>
          <v:rect id="_x0000_i1079" style="width:0;height:1.5pt" o:hralign="center" o:hrstd="t" o:hr="t" fillcolor="#a0a0a0" stroked="f"/>
        </w:pict>
      </w:r>
    </w:p>
    <w:p w:rsidR="002B0560" w:rsidRPr="002B0560" w:rsidRDefault="002B0560" w:rsidP="002B0560">
      <w:pPr>
        <w:rPr>
          <w:rFonts w:ascii="微軟正黑體 Light" w:eastAsia="微軟正黑體 Light" w:hAnsi="微軟正黑體 Light"/>
          <w:b/>
          <w:bCs/>
        </w:rPr>
      </w:pPr>
      <w:r w:rsidRPr="002B0560">
        <w:rPr>
          <w:rFonts w:ascii="微軟正黑體 Light" w:eastAsia="微軟正黑體 Light" w:hAnsi="微軟正黑體 Light"/>
          <w:b/>
          <w:bCs/>
        </w:rPr>
        <w:t>Ⅵ. 本章考試重點</w:t>
      </w:r>
    </w:p>
    <w:p w:rsidR="002B0560" w:rsidRPr="002B0560" w:rsidRDefault="002B0560" w:rsidP="002B0560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民法</w:t>
      </w:r>
      <w:r w:rsidRPr="002B0560">
        <w:rPr>
          <w:rFonts w:ascii="微軟正黑體 Light" w:eastAsia="微軟正黑體 Light" w:hAnsi="微軟正黑體 Light"/>
        </w:rPr>
        <w:t>：行為能力（20歲）、責任能力（14~18歲分段）、契約原則、債務、侵權</w:t>
      </w:r>
    </w:p>
    <w:p w:rsidR="002B0560" w:rsidRPr="002B0560" w:rsidRDefault="002B0560" w:rsidP="002B0560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刑法</w:t>
      </w:r>
      <w:r w:rsidRPr="002B0560">
        <w:rPr>
          <w:rFonts w:ascii="微軟正黑體 Light" w:eastAsia="微軟正黑體 Light" w:hAnsi="微軟正黑體 Light"/>
        </w:rPr>
        <w:t>：主刑、從刑、罪刑法定、無罪推定、刑罰種類</w:t>
      </w:r>
    </w:p>
    <w:p w:rsidR="002B0560" w:rsidRPr="002B0560" w:rsidRDefault="002B0560" w:rsidP="002B0560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行政法</w:t>
      </w:r>
      <w:r w:rsidRPr="002B0560">
        <w:rPr>
          <w:rFonts w:ascii="微軟正黑體 Light" w:eastAsia="微軟正黑體 Light" w:hAnsi="微軟正黑體 Light"/>
        </w:rPr>
        <w:t>：依法行政、行政處分、行政程序、救濟</w:t>
      </w:r>
    </w:p>
    <w:p w:rsidR="002B0560" w:rsidRPr="002B0560" w:rsidRDefault="002B0560" w:rsidP="002B0560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選舉與投票</w:t>
      </w:r>
      <w:r w:rsidRPr="002B0560">
        <w:rPr>
          <w:rFonts w:ascii="微軟正黑體 Light" w:eastAsia="微軟正黑體 Light" w:hAnsi="微軟正黑體 Light"/>
        </w:rPr>
        <w:t>：投票20歲、各職參選年齡、連任限制</w:t>
      </w:r>
    </w:p>
    <w:p w:rsidR="002B0560" w:rsidRPr="002B0560" w:rsidRDefault="002B0560" w:rsidP="002B0560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2B0560">
        <w:rPr>
          <w:rFonts w:ascii="微軟正黑體 Light" w:eastAsia="微軟正黑體 Light" w:hAnsi="微軟正黑體 Light"/>
          <w:b/>
          <w:bCs/>
        </w:rPr>
        <w:t>法律位階</w:t>
      </w:r>
      <w:r w:rsidRPr="002B0560">
        <w:rPr>
          <w:rFonts w:ascii="微軟正黑體 Light" w:eastAsia="微軟正黑體 Light" w:hAnsi="微軟正黑體 Light"/>
        </w:rPr>
        <w:t>：憲法 &gt; 法律 &gt; 行政命令</w:t>
      </w:r>
    </w:p>
    <w:p w:rsidR="002B0560" w:rsidRPr="002B0560" w:rsidRDefault="002B0560">
      <w:pPr>
        <w:rPr>
          <w:rFonts w:ascii="微軟正黑體 Light" w:eastAsia="微軟正黑體 Light" w:hAnsi="微軟正黑體 Light"/>
        </w:rPr>
      </w:pPr>
    </w:p>
    <w:sectPr w:rsidR="002B0560" w:rsidRPr="002B0560" w:rsidSect="002B056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6F23"/>
    <w:multiLevelType w:val="multilevel"/>
    <w:tmpl w:val="CA20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B0B2B"/>
    <w:multiLevelType w:val="multilevel"/>
    <w:tmpl w:val="3B8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22D68"/>
    <w:multiLevelType w:val="multilevel"/>
    <w:tmpl w:val="57C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946FC"/>
    <w:multiLevelType w:val="multilevel"/>
    <w:tmpl w:val="E4F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71359">
    <w:abstractNumId w:val="3"/>
  </w:num>
  <w:num w:numId="2" w16cid:durableId="1315916218">
    <w:abstractNumId w:val="2"/>
  </w:num>
  <w:num w:numId="3" w16cid:durableId="262956376">
    <w:abstractNumId w:val="1"/>
  </w:num>
  <w:num w:numId="4" w16cid:durableId="62222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60"/>
    <w:rsid w:val="002B0560"/>
    <w:rsid w:val="0075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7D76"/>
  <w15:chartTrackingRefBased/>
  <w15:docId w15:val="{A94273E7-0862-4D0D-9777-E2C3D997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5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56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56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5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5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5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5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05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0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056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0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056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05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05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05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0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5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0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0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5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05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056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B0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2025-11-15T14:45:00Z</dcterms:created>
  <dcterms:modified xsi:type="dcterms:W3CDTF">2025-11-15T14:48:00Z</dcterms:modified>
</cp:coreProperties>
</file>