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5DA6" w:rsidRPr="00AD5DA6" w:rsidRDefault="00AD5DA6" w:rsidP="00AD5DA6">
      <w:pPr>
        <w:rPr>
          <w:rFonts w:ascii="微軟正黑體 Light" w:eastAsia="微軟正黑體 Light" w:hAnsi="微軟正黑體 Light" w:hint="eastAsia"/>
          <w:b/>
          <w:bCs/>
        </w:rPr>
      </w:pPr>
      <w:r w:rsidRPr="00AD5DA6">
        <w:rPr>
          <w:rFonts w:ascii="Segoe UI Emoji" w:eastAsia="微軟正黑體 Light" w:hAnsi="Segoe UI Emoji" w:cs="Segoe UI Emoji"/>
          <w:b/>
          <w:bCs/>
        </w:rPr>
        <w:t>📘</w:t>
      </w:r>
      <w:r w:rsidRPr="00AD5DA6">
        <w:rPr>
          <w:rFonts w:ascii="微軟正黑體 Light" w:eastAsia="微軟正黑體 Light" w:hAnsi="微軟正黑體 Light"/>
          <w:b/>
          <w:bCs/>
        </w:rPr>
        <w:t xml:space="preserve"> 第四章：公平主義與社會安全</w:t>
      </w:r>
    </w:p>
    <w:p w:rsidR="00AD5DA6" w:rsidRPr="00AD5DA6" w:rsidRDefault="00AD5DA6" w:rsidP="00AD5DA6">
      <w:p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pict>
          <v:rect id="_x0000_i1080" style="width:0;height:1.5pt" o:hralign="center" o:hrstd="t" o:hr="t" fillcolor="#a0a0a0" stroked="f"/>
        </w:pict>
      </w:r>
    </w:p>
    <w:p w:rsidR="00AD5DA6" w:rsidRPr="00AD5DA6" w:rsidRDefault="00AD5DA6" w:rsidP="00AD5DA6">
      <w:pPr>
        <w:rPr>
          <w:rFonts w:ascii="微軟正黑體 Light" w:eastAsia="微軟正黑體 Light" w:hAnsi="微軟正黑體 Light"/>
          <w:b/>
          <w:bCs/>
        </w:rPr>
      </w:pPr>
      <w:r w:rsidRPr="00AD5DA6">
        <w:rPr>
          <w:rFonts w:ascii="微軟正黑體 Light" w:eastAsia="微軟正黑體 Light" w:hAnsi="微軟正黑體 Light"/>
          <w:b/>
          <w:bCs/>
        </w:rPr>
        <w:t>1️</w:t>
      </w:r>
      <w:r w:rsidRPr="00AD5DA6">
        <w:rPr>
          <w:rFonts w:ascii="Segoe UI Symbol" w:eastAsia="微軟正黑體 Light" w:hAnsi="Segoe UI Symbol" w:cs="Segoe UI Symbol"/>
          <w:b/>
          <w:bCs/>
        </w:rPr>
        <w:t>⃣</w:t>
      </w:r>
      <w:r w:rsidRPr="00AD5DA6">
        <w:rPr>
          <w:rFonts w:ascii="微軟正黑體 Light" w:eastAsia="微軟正黑體 Light" w:hAnsi="微軟正黑體 Light"/>
          <w:b/>
          <w:bCs/>
        </w:rPr>
        <w:t xml:space="preserve"> 公平主義（Principle of Justice / Fairness）</w:t>
      </w:r>
    </w:p>
    <w:p w:rsidR="00AD5DA6" w:rsidRPr="00AD5DA6" w:rsidRDefault="00AD5DA6" w:rsidP="00AD5DA6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定義</w:t>
      </w:r>
      <w:r w:rsidRPr="00AD5DA6">
        <w:rPr>
          <w:rFonts w:ascii="微軟正黑體 Light" w:eastAsia="微軟正黑體 Light" w:hAnsi="微軟正黑體 Light"/>
        </w:rPr>
        <w:t>：</w:t>
      </w:r>
      <w:r w:rsidRPr="00AD5DA6">
        <w:rPr>
          <w:rFonts w:ascii="微軟正黑體 Light" w:eastAsia="微軟正黑體 Light" w:hAnsi="微軟正黑體 Light"/>
        </w:rPr>
        <w:br/>
        <w:t>公平主義強調在社會中資源、權利與義務的分配應合理，確保每個人受到公正對待。</w:t>
      </w:r>
    </w:p>
    <w:p w:rsidR="00AD5DA6" w:rsidRPr="00AD5DA6" w:rsidRDefault="00AD5DA6" w:rsidP="00AD5DA6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核心理念</w:t>
      </w:r>
      <w:r w:rsidRPr="00AD5DA6">
        <w:rPr>
          <w:rFonts w:ascii="微軟正黑體 Light" w:eastAsia="微軟正黑體 Light" w:hAnsi="微軟正黑體 Light"/>
        </w:rPr>
        <w:t>：</w:t>
      </w:r>
    </w:p>
    <w:p w:rsidR="00AD5DA6" w:rsidRPr="00AD5DA6" w:rsidRDefault="00AD5DA6" w:rsidP="00AD5DA6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機會平等</w:t>
      </w:r>
      <w:r w:rsidRPr="00AD5DA6">
        <w:rPr>
          <w:rFonts w:ascii="微軟正黑體 Light" w:eastAsia="微軟正黑體 Light" w:hAnsi="微軟正黑體 Light"/>
        </w:rPr>
        <w:t>：人人在起跑線上應有相同的機會。</w:t>
      </w:r>
    </w:p>
    <w:p w:rsidR="00AD5DA6" w:rsidRPr="00AD5DA6" w:rsidRDefault="00AD5DA6" w:rsidP="00AD5DA6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結果平等</w:t>
      </w:r>
      <w:r w:rsidRPr="00AD5DA6">
        <w:rPr>
          <w:rFonts w:ascii="微軟正黑體 Light" w:eastAsia="微軟正黑體 Light" w:hAnsi="微軟正黑體 Light"/>
        </w:rPr>
        <w:t>：針對弱勢群體提供資源或支援，使結果更接近公平。</w:t>
      </w:r>
    </w:p>
    <w:p w:rsidR="00AD5DA6" w:rsidRPr="00AD5DA6" w:rsidRDefault="00AD5DA6" w:rsidP="00AD5DA6">
      <w:pPr>
        <w:numPr>
          <w:ilvl w:val="1"/>
          <w:numId w:val="1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權利與義務對等</w:t>
      </w:r>
      <w:r w:rsidRPr="00AD5DA6">
        <w:rPr>
          <w:rFonts w:ascii="微軟正黑體 Light" w:eastAsia="微軟正黑體 Light" w:hAnsi="微軟正黑體 Light"/>
        </w:rPr>
        <w:t>：享有權利的同時，必須承擔相應義務。</w:t>
      </w:r>
    </w:p>
    <w:p w:rsidR="00AD5DA6" w:rsidRPr="00AD5DA6" w:rsidRDefault="00AD5DA6" w:rsidP="00AD5DA6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公平主義類型</w:t>
      </w:r>
      <w:r w:rsidRPr="00AD5DA6">
        <w:rPr>
          <w:rFonts w:ascii="微軟正黑體 Light" w:eastAsia="微軟正黑體 Light" w:hAnsi="微軟正黑體 Light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76"/>
        <w:gridCol w:w="3096"/>
        <w:gridCol w:w="3816"/>
      </w:tblGrid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D5DA6">
              <w:rPr>
                <w:rFonts w:ascii="微軟正黑體 Light" w:eastAsia="微軟正黑體 Light" w:hAnsi="微軟正黑體 Light"/>
                <w:b/>
                <w:bCs/>
              </w:rPr>
              <w:t>類型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D5DA6">
              <w:rPr>
                <w:rFonts w:ascii="微軟正黑體 Light" w:eastAsia="微軟正黑體 Light" w:hAnsi="微軟正黑體 Light"/>
                <w:b/>
                <w:bCs/>
              </w:rPr>
              <w:t>說明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D5DA6">
              <w:rPr>
                <w:rFonts w:ascii="微軟正黑體 Light" w:eastAsia="微軟正黑體 Light" w:hAnsi="微軟正黑體 Light"/>
                <w:b/>
                <w:bCs/>
              </w:rPr>
              <w:t>例子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程序公平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過程公正，規則透明、公開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考試公平、選舉公正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分配公平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資源或待遇分配合理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教育資源分配、社會福利補助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補償公平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弱勢獲得額外支援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殘障者輔助設施、低收入家庭補助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機會公平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每個人有平等參與機會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職場招聘不受性別歧視</w:t>
            </w:r>
          </w:p>
        </w:tc>
      </w:tr>
    </w:tbl>
    <w:p w:rsidR="00AD5DA6" w:rsidRPr="00AD5DA6" w:rsidRDefault="00AD5DA6" w:rsidP="00AD5DA6">
      <w:pPr>
        <w:numPr>
          <w:ilvl w:val="0"/>
          <w:numId w:val="1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案例</w:t>
      </w:r>
      <w:r w:rsidRPr="00AD5DA6">
        <w:rPr>
          <w:rFonts w:ascii="微軟正黑體 Light" w:eastAsia="微軟正黑體 Light" w:hAnsi="微軟正黑體 Light"/>
        </w:rPr>
        <w:t>：</w:t>
      </w:r>
    </w:p>
    <w:p w:rsidR="00AD5DA6" w:rsidRPr="00AD5DA6" w:rsidRDefault="00AD5DA6" w:rsidP="00AD5DA6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proofErr w:type="gramStart"/>
      <w:r w:rsidRPr="00AD5DA6">
        <w:rPr>
          <w:rFonts w:ascii="微軟正黑體 Light" w:eastAsia="微軟正黑體 Light" w:hAnsi="微軟正黑體 Light"/>
        </w:rPr>
        <w:t>公立學校均質化</w:t>
      </w:r>
      <w:proofErr w:type="gramEnd"/>
      <w:r w:rsidRPr="00AD5DA6">
        <w:rPr>
          <w:rFonts w:ascii="微軟正黑體 Light" w:eastAsia="微軟正黑體 Light" w:hAnsi="微軟正黑體 Light"/>
        </w:rPr>
        <w:t>教育</w:t>
      </w:r>
    </w:p>
    <w:p w:rsidR="00AD5DA6" w:rsidRPr="00AD5DA6" w:rsidRDefault="00AD5DA6" w:rsidP="00AD5DA6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政府提供低收入戶補助</w:t>
      </w:r>
    </w:p>
    <w:p w:rsidR="00AD5DA6" w:rsidRPr="00AD5DA6" w:rsidRDefault="00AD5DA6" w:rsidP="00AD5DA6">
      <w:pPr>
        <w:numPr>
          <w:ilvl w:val="1"/>
          <w:numId w:val="2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lastRenderedPageBreak/>
        <w:t>性別平等教育與職場平等政策</w:t>
      </w:r>
    </w:p>
    <w:p w:rsidR="00AD5DA6" w:rsidRPr="00AD5DA6" w:rsidRDefault="00AD5DA6" w:rsidP="00AD5DA6">
      <w:p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pict>
          <v:rect id="_x0000_i1081" style="width:0;height:1.5pt" o:hralign="center" o:hrstd="t" o:hr="t" fillcolor="#a0a0a0" stroked="f"/>
        </w:pict>
      </w:r>
    </w:p>
    <w:p w:rsidR="00AD5DA6" w:rsidRPr="00AD5DA6" w:rsidRDefault="00AD5DA6" w:rsidP="00AD5DA6">
      <w:pPr>
        <w:rPr>
          <w:rFonts w:ascii="微軟正黑體 Light" w:eastAsia="微軟正黑體 Light" w:hAnsi="微軟正黑體 Light"/>
          <w:b/>
          <w:bCs/>
        </w:rPr>
      </w:pPr>
      <w:r w:rsidRPr="00AD5DA6">
        <w:rPr>
          <w:rFonts w:ascii="微軟正黑體 Light" w:eastAsia="微軟正黑體 Light" w:hAnsi="微軟正黑體 Light"/>
          <w:b/>
          <w:bCs/>
        </w:rPr>
        <w:t>2️</w:t>
      </w:r>
      <w:r w:rsidRPr="00AD5DA6">
        <w:rPr>
          <w:rFonts w:ascii="Segoe UI Symbol" w:eastAsia="微軟正黑體 Light" w:hAnsi="Segoe UI Symbol" w:cs="Segoe UI Symbol"/>
          <w:b/>
          <w:bCs/>
        </w:rPr>
        <w:t>⃣</w:t>
      </w:r>
      <w:r w:rsidRPr="00AD5DA6">
        <w:rPr>
          <w:rFonts w:ascii="微軟正黑體 Light" w:eastAsia="微軟正黑體 Light" w:hAnsi="微軟正黑體 Light"/>
          <w:b/>
          <w:bCs/>
        </w:rPr>
        <w:t xml:space="preserve"> 社會安全（Social Security）</w:t>
      </w:r>
    </w:p>
    <w:p w:rsidR="00AD5DA6" w:rsidRPr="00AD5DA6" w:rsidRDefault="00AD5DA6" w:rsidP="00AD5DA6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定義</w:t>
      </w:r>
      <w:r w:rsidRPr="00AD5DA6">
        <w:rPr>
          <w:rFonts w:ascii="微軟正黑體 Light" w:eastAsia="微軟正黑體 Light" w:hAnsi="微軟正黑體 Light"/>
        </w:rPr>
        <w:t>：</w:t>
      </w:r>
      <w:r w:rsidRPr="00AD5DA6">
        <w:rPr>
          <w:rFonts w:ascii="微軟正黑體 Light" w:eastAsia="微軟正黑體 Light" w:hAnsi="微軟正黑體 Light"/>
        </w:rPr>
        <w:br/>
        <w:t>國家或社會建立制度，保障公民在生活、經濟、健康等方面的基本安全，減少社會風險。</w:t>
      </w:r>
    </w:p>
    <w:p w:rsidR="00AD5DA6" w:rsidRPr="00AD5DA6" w:rsidRDefault="00AD5DA6" w:rsidP="00AD5DA6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功能</w:t>
      </w:r>
      <w:r w:rsidRPr="00AD5DA6">
        <w:rPr>
          <w:rFonts w:ascii="微軟正黑體 Light" w:eastAsia="微軟正黑體 Light" w:hAnsi="微軟正黑體 Light"/>
        </w:rPr>
        <w:t>：</w:t>
      </w:r>
    </w:p>
    <w:p w:rsidR="00AD5DA6" w:rsidRPr="00AD5DA6" w:rsidRDefault="00AD5DA6" w:rsidP="00AD5DA6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保障基本生活</w:t>
      </w:r>
    </w:p>
    <w:p w:rsidR="00AD5DA6" w:rsidRPr="00AD5DA6" w:rsidRDefault="00AD5DA6" w:rsidP="00AD5DA6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減少貧富差距</w:t>
      </w:r>
    </w:p>
    <w:p w:rsidR="00AD5DA6" w:rsidRPr="00AD5DA6" w:rsidRDefault="00AD5DA6" w:rsidP="00AD5DA6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維護社會穩定</w:t>
      </w:r>
    </w:p>
    <w:p w:rsidR="00AD5DA6" w:rsidRPr="00AD5DA6" w:rsidRDefault="00AD5DA6" w:rsidP="00AD5DA6">
      <w:pPr>
        <w:numPr>
          <w:ilvl w:val="1"/>
          <w:numId w:val="3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風險分擔</w:t>
      </w:r>
    </w:p>
    <w:p w:rsidR="00AD5DA6" w:rsidRPr="00AD5DA6" w:rsidRDefault="00AD5DA6" w:rsidP="00AD5DA6">
      <w:pPr>
        <w:numPr>
          <w:ilvl w:val="0"/>
          <w:numId w:val="3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主要制度與形式</w:t>
      </w:r>
      <w:r w:rsidRPr="00AD5DA6">
        <w:rPr>
          <w:rFonts w:ascii="微軟正黑體 Light" w:eastAsia="微軟正黑體 Light" w:hAnsi="微軟正黑體 Light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6"/>
        <w:gridCol w:w="3336"/>
        <w:gridCol w:w="3096"/>
      </w:tblGrid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D5DA6">
              <w:rPr>
                <w:rFonts w:ascii="微軟正黑體 Light" w:eastAsia="微軟正黑體 Light" w:hAnsi="微軟正黑體 Light"/>
                <w:b/>
                <w:bCs/>
              </w:rPr>
              <w:t>類型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D5DA6">
              <w:rPr>
                <w:rFonts w:ascii="微軟正黑體 Light" w:eastAsia="微軟正黑體 Light" w:hAnsi="微軟正黑體 Light"/>
                <w:b/>
                <w:bCs/>
              </w:rPr>
              <w:t>說明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D5DA6">
              <w:rPr>
                <w:rFonts w:ascii="微軟正黑體 Light" w:eastAsia="微軟正黑體 Light" w:hAnsi="微軟正黑體 Light"/>
                <w:b/>
                <w:bCs/>
              </w:rPr>
              <w:t>例子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社會保險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依法繳費保障特定風險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勞保、健保、失業保險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社會救助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針對貧困或緊急狀況提供援助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低收入戶補助、急難救助金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社會福利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教育、醫療、育兒、長照等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公立托兒所、老人津貼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公共安全措施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維持治安與公共安全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警察巡邏、防災演練</w:t>
            </w:r>
          </w:p>
        </w:tc>
      </w:tr>
    </w:tbl>
    <w:p w:rsidR="00AD5DA6" w:rsidRPr="00AD5DA6" w:rsidRDefault="00AD5DA6" w:rsidP="00AD5DA6">
      <w:p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pict>
          <v:rect id="_x0000_i1082" style="width:0;height:1.5pt" o:hralign="center" o:hrstd="t" o:hr="t" fillcolor="#a0a0a0" stroked="f"/>
        </w:pict>
      </w:r>
    </w:p>
    <w:p w:rsidR="00AD5DA6" w:rsidRPr="00AD5DA6" w:rsidRDefault="00AD5DA6" w:rsidP="00AD5DA6">
      <w:pPr>
        <w:rPr>
          <w:rFonts w:ascii="微軟正黑體 Light" w:eastAsia="微軟正黑體 Light" w:hAnsi="微軟正黑體 Light"/>
          <w:b/>
          <w:bCs/>
        </w:rPr>
      </w:pPr>
      <w:r w:rsidRPr="00AD5DA6">
        <w:rPr>
          <w:rFonts w:ascii="微軟正黑體 Light" w:eastAsia="微軟正黑體 Light" w:hAnsi="微軟正黑體 Light"/>
          <w:b/>
          <w:bCs/>
        </w:rPr>
        <w:t>3️</w:t>
      </w:r>
      <w:r w:rsidRPr="00AD5DA6">
        <w:rPr>
          <w:rFonts w:ascii="Segoe UI Symbol" w:eastAsia="微軟正黑體 Light" w:hAnsi="Segoe UI Symbol" w:cs="Segoe UI Symbol"/>
          <w:b/>
          <w:bCs/>
        </w:rPr>
        <w:t>⃣</w:t>
      </w:r>
      <w:r w:rsidRPr="00AD5DA6">
        <w:rPr>
          <w:rFonts w:ascii="微軟正黑體 Light" w:eastAsia="微軟正黑體 Light" w:hAnsi="微軟正黑體 Light"/>
          <w:b/>
          <w:bCs/>
        </w:rPr>
        <w:t xml:space="preserve"> 社會福利政策（Social Welfare Policy）</w:t>
      </w:r>
    </w:p>
    <w:p w:rsidR="00AD5DA6" w:rsidRPr="00AD5DA6" w:rsidRDefault="00AD5DA6" w:rsidP="00AD5DA6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lastRenderedPageBreak/>
        <w:t>定義</w:t>
      </w:r>
      <w:r w:rsidRPr="00AD5DA6">
        <w:rPr>
          <w:rFonts w:ascii="微軟正黑體 Light" w:eastAsia="微軟正黑體 Light" w:hAnsi="微軟正黑體 Light"/>
        </w:rPr>
        <w:t>：</w:t>
      </w:r>
      <w:r w:rsidRPr="00AD5DA6">
        <w:rPr>
          <w:rFonts w:ascii="微軟正黑體 Light" w:eastAsia="微軟正黑體 Light" w:hAnsi="微軟正黑體 Light"/>
        </w:rPr>
        <w:br/>
        <w:t>政府為保障公民基本生活、減少貧富差距、維護社會穩定而設計的制度與措施。</w:t>
      </w:r>
    </w:p>
    <w:p w:rsidR="00AD5DA6" w:rsidRPr="00AD5DA6" w:rsidRDefault="00AD5DA6" w:rsidP="00AD5DA6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目標</w:t>
      </w:r>
      <w:r w:rsidRPr="00AD5DA6">
        <w:rPr>
          <w:rFonts w:ascii="微軟正黑體 Light" w:eastAsia="微軟正黑體 Light" w:hAnsi="微軟正黑體 Light"/>
        </w:rPr>
        <w:t>：</w:t>
      </w:r>
    </w:p>
    <w:p w:rsidR="00AD5DA6" w:rsidRPr="00AD5DA6" w:rsidRDefault="00AD5DA6" w:rsidP="00AD5DA6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保障基本生活</w:t>
      </w:r>
    </w:p>
    <w:p w:rsidR="00AD5DA6" w:rsidRPr="00AD5DA6" w:rsidRDefault="00AD5DA6" w:rsidP="00AD5DA6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減少不平等</w:t>
      </w:r>
    </w:p>
    <w:p w:rsidR="00AD5DA6" w:rsidRPr="00AD5DA6" w:rsidRDefault="00AD5DA6" w:rsidP="00AD5DA6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促進社會參與</w:t>
      </w:r>
      <w:proofErr w:type="gramStart"/>
      <w:r w:rsidRPr="00AD5DA6">
        <w:rPr>
          <w:rFonts w:ascii="微軟正黑體 Light" w:eastAsia="微軟正黑體 Light" w:hAnsi="微軟正黑體 Light"/>
        </w:rPr>
        <w:t>與</w:t>
      </w:r>
      <w:proofErr w:type="gramEnd"/>
      <w:r w:rsidRPr="00AD5DA6">
        <w:rPr>
          <w:rFonts w:ascii="微軟正黑體 Light" w:eastAsia="微軟正黑體 Light" w:hAnsi="微軟正黑體 Light"/>
        </w:rPr>
        <w:t>公平</w:t>
      </w:r>
    </w:p>
    <w:p w:rsidR="00AD5DA6" w:rsidRPr="00AD5DA6" w:rsidRDefault="00AD5DA6" w:rsidP="00AD5DA6">
      <w:pPr>
        <w:numPr>
          <w:ilvl w:val="1"/>
          <w:numId w:val="4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保護弱勢群體</w:t>
      </w:r>
    </w:p>
    <w:p w:rsidR="00AD5DA6" w:rsidRPr="00AD5DA6" w:rsidRDefault="00AD5DA6" w:rsidP="00AD5DA6">
      <w:pPr>
        <w:numPr>
          <w:ilvl w:val="0"/>
          <w:numId w:val="4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類型與例子</w:t>
      </w:r>
      <w:r w:rsidRPr="00AD5DA6">
        <w:rPr>
          <w:rFonts w:ascii="微軟正黑體 Light" w:eastAsia="微軟正黑體 Light" w:hAnsi="微軟正黑體 Light"/>
        </w:rPr>
        <w:t>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96"/>
        <w:gridCol w:w="1896"/>
        <w:gridCol w:w="4056"/>
      </w:tblGrid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D5DA6">
              <w:rPr>
                <w:rFonts w:ascii="微軟正黑體 Light" w:eastAsia="微軟正黑體 Light" w:hAnsi="微軟正黑體 Light"/>
                <w:b/>
                <w:bCs/>
              </w:rPr>
              <w:t>類型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D5DA6">
              <w:rPr>
                <w:rFonts w:ascii="微軟正黑體 Light" w:eastAsia="微軟正黑體 Light" w:hAnsi="微軟正黑體 Light"/>
                <w:b/>
                <w:bCs/>
              </w:rPr>
              <w:t>說明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  <w:b/>
                <w:bCs/>
              </w:rPr>
            </w:pPr>
            <w:r w:rsidRPr="00AD5DA6">
              <w:rPr>
                <w:rFonts w:ascii="微軟正黑體 Light" w:eastAsia="微軟正黑體 Light" w:hAnsi="微軟正黑體 Light"/>
                <w:b/>
                <w:bCs/>
              </w:rPr>
              <w:t>例子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現金補助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直接給付金錢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老人津貼、低收入戶補助、育兒津貼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社會保險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依法律規定參加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勞保、健保、失業保險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公共服務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免費或低價服務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公立醫院、托兒所、長照中心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教育與文化福利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教育與文化資源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免學費教育、圖書館、文化補助</w:t>
            </w:r>
          </w:p>
        </w:tc>
      </w:tr>
      <w:tr w:rsidR="00AD5DA6" w:rsidRPr="00AD5DA6" w:rsidTr="00AD5DA6"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住宅與生活福利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居住或生活資源</w:t>
            </w:r>
          </w:p>
        </w:tc>
        <w:tc>
          <w:tcPr>
            <w:tcW w:w="0" w:type="auto"/>
            <w:hideMark/>
          </w:tcPr>
          <w:p w:rsidR="00AD5DA6" w:rsidRPr="00AD5DA6" w:rsidRDefault="00AD5DA6" w:rsidP="00AD5DA6">
            <w:pPr>
              <w:spacing w:after="160" w:line="278" w:lineRule="auto"/>
              <w:rPr>
                <w:rFonts w:ascii="微軟正黑體 Light" w:eastAsia="微軟正黑體 Light" w:hAnsi="微軟正黑體 Light"/>
              </w:rPr>
            </w:pPr>
            <w:r w:rsidRPr="00AD5DA6">
              <w:rPr>
                <w:rFonts w:ascii="微軟正黑體 Light" w:eastAsia="微軟正黑體 Light" w:hAnsi="微軟正黑體 Light"/>
              </w:rPr>
              <w:t>社會住宅、廉價租屋補助、災害救助</w:t>
            </w:r>
          </w:p>
        </w:tc>
      </w:tr>
    </w:tbl>
    <w:p w:rsidR="00AD5DA6" w:rsidRPr="00AD5DA6" w:rsidRDefault="00AD5DA6" w:rsidP="00AD5DA6">
      <w:p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pict>
          <v:rect id="_x0000_i1083" style="width:0;height:1.5pt" o:hralign="center" o:hrstd="t" o:hr="t" fillcolor="#a0a0a0" stroked="f"/>
        </w:pict>
      </w:r>
    </w:p>
    <w:p w:rsidR="00AD5DA6" w:rsidRPr="00AD5DA6" w:rsidRDefault="00AD5DA6" w:rsidP="00AD5DA6">
      <w:pPr>
        <w:rPr>
          <w:rFonts w:ascii="微軟正黑體 Light" w:eastAsia="微軟正黑體 Light" w:hAnsi="微軟正黑體 Light"/>
          <w:b/>
          <w:bCs/>
        </w:rPr>
      </w:pPr>
      <w:r w:rsidRPr="00AD5DA6">
        <w:rPr>
          <w:rFonts w:ascii="微軟正黑體 Light" w:eastAsia="微軟正黑體 Light" w:hAnsi="微軟正黑體 Light"/>
          <w:b/>
          <w:bCs/>
        </w:rPr>
        <w:t>4️</w:t>
      </w:r>
      <w:r w:rsidRPr="00AD5DA6">
        <w:rPr>
          <w:rFonts w:ascii="Segoe UI Symbol" w:eastAsia="微軟正黑體 Light" w:hAnsi="Segoe UI Symbol" w:cs="Segoe UI Symbol"/>
          <w:b/>
          <w:bCs/>
        </w:rPr>
        <w:t>⃣</w:t>
      </w:r>
      <w:r w:rsidRPr="00AD5DA6">
        <w:rPr>
          <w:rFonts w:ascii="微軟正黑體 Light" w:eastAsia="微軟正黑體 Light" w:hAnsi="微軟正黑體 Light"/>
          <w:b/>
          <w:bCs/>
        </w:rPr>
        <w:t xml:space="preserve"> 社會福利基本法（Social Welfare Fundamental Law）</w:t>
      </w:r>
    </w:p>
    <w:p w:rsidR="00AD5DA6" w:rsidRPr="00AD5DA6" w:rsidRDefault="00AD5DA6" w:rsidP="00AD5DA6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定義</w:t>
      </w:r>
      <w:r w:rsidRPr="00AD5DA6">
        <w:rPr>
          <w:rFonts w:ascii="微軟正黑體 Light" w:eastAsia="微軟正黑體 Light" w:hAnsi="微軟正黑體 Light"/>
        </w:rPr>
        <w:t>：</w:t>
      </w:r>
      <w:r w:rsidRPr="00AD5DA6">
        <w:rPr>
          <w:rFonts w:ascii="微軟正黑體 Light" w:eastAsia="微軟正黑體 Light" w:hAnsi="微軟正黑體 Light"/>
        </w:rPr>
        <w:br/>
        <w:t>社會福利基本法是台灣社會福利制度的核心法律，規範國家責任、福利原則、各類社會福利</w:t>
      </w:r>
      <w:r w:rsidRPr="00AD5DA6">
        <w:rPr>
          <w:rFonts w:ascii="微軟正黑體 Light" w:eastAsia="微軟正黑體 Light" w:hAnsi="微軟正黑體 Light"/>
        </w:rPr>
        <w:lastRenderedPageBreak/>
        <w:t>措施及公民權益保障。</w:t>
      </w:r>
    </w:p>
    <w:p w:rsidR="00AD5DA6" w:rsidRPr="00AD5DA6" w:rsidRDefault="00AD5DA6" w:rsidP="00AD5DA6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立法目的</w:t>
      </w:r>
      <w:r w:rsidRPr="00AD5DA6">
        <w:rPr>
          <w:rFonts w:ascii="微軟正黑體 Light" w:eastAsia="微軟正黑體 Light" w:hAnsi="微軟正黑體 Light"/>
        </w:rPr>
        <w:t>：</w:t>
      </w:r>
    </w:p>
    <w:p w:rsidR="00AD5DA6" w:rsidRPr="00AD5DA6" w:rsidRDefault="00AD5DA6" w:rsidP="00AD5DA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保障人民基本生活</w:t>
      </w:r>
    </w:p>
    <w:p w:rsidR="00AD5DA6" w:rsidRPr="00AD5DA6" w:rsidRDefault="00AD5DA6" w:rsidP="00AD5DA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促進公平與正義</w:t>
      </w:r>
    </w:p>
    <w:p w:rsidR="00AD5DA6" w:rsidRPr="00AD5DA6" w:rsidRDefault="00AD5DA6" w:rsidP="00AD5DA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維護社會安定</w:t>
      </w:r>
    </w:p>
    <w:p w:rsidR="00AD5DA6" w:rsidRPr="00AD5DA6" w:rsidRDefault="00AD5DA6" w:rsidP="00AD5DA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確立政府責任</w:t>
      </w:r>
    </w:p>
    <w:p w:rsidR="00AD5DA6" w:rsidRPr="00AD5DA6" w:rsidRDefault="00AD5DA6" w:rsidP="00AD5DA6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主要原則</w:t>
      </w:r>
      <w:r w:rsidRPr="00AD5DA6">
        <w:rPr>
          <w:rFonts w:ascii="微軟正黑體 Light" w:eastAsia="微軟正黑體 Light" w:hAnsi="微軟正黑體 Light"/>
        </w:rPr>
        <w:t>：</w:t>
      </w:r>
    </w:p>
    <w:p w:rsidR="00AD5DA6" w:rsidRPr="00AD5DA6" w:rsidRDefault="00AD5DA6" w:rsidP="00AD5DA6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公平性 → 兼顧弱勢群體</w:t>
      </w:r>
    </w:p>
    <w:p w:rsidR="00AD5DA6" w:rsidRPr="00AD5DA6" w:rsidRDefault="00AD5DA6" w:rsidP="00AD5DA6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普及性與可及性 → 不受性別、年齡、地區、經濟限制</w:t>
      </w:r>
    </w:p>
    <w:p w:rsidR="00AD5DA6" w:rsidRPr="00AD5DA6" w:rsidRDefault="00AD5DA6" w:rsidP="00AD5DA6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適切性與效率性 → 資源配置符合需求</w:t>
      </w:r>
    </w:p>
    <w:p w:rsidR="00AD5DA6" w:rsidRPr="00AD5DA6" w:rsidRDefault="00AD5DA6" w:rsidP="00AD5DA6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保障與救助並行 → 長期保障 + 緊急救助</w:t>
      </w:r>
    </w:p>
    <w:p w:rsidR="00AD5DA6" w:rsidRPr="00AD5DA6" w:rsidRDefault="00AD5DA6" w:rsidP="00AD5DA6">
      <w:pPr>
        <w:numPr>
          <w:ilvl w:val="1"/>
          <w:numId w:val="6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尊重個人自主與參與 → 保障尊嚴與自立</w:t>
      </w:r>
    </w:p>
    <w:p w:rsidR="00AD5DA6" w:rsidRPr="00AD5DA6" w:rsidRDefault="00AD5DA6" w:rsidP="00AD5DA6">
      <w:pPr>
        <w:numPr>
          <w:ilvl w:val="0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應用案例</w:t>
      </w:r>
      <w:r w:rsidRPr="00AD5DA6">
        <w:rPr>
          <w:rFonts w:ascii="微軟正黑體 Light" w:eastAsia="微軟正黑體 Light" w:hAnsi="微軟正黑體 Light"/>
        </w:rPr>
        <w:t>：</w:t>
      </w:r>
    </w:p>
    <w:p w:rsidR="00AD5DA6" w:rsidRPr="00AD5DA6" w:rsidRDefault="00AD5DA6" w:rsidP="00AD5DA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弱勢保障：低收入戶、失能者、老人</w:t>
      </w:r>
    </w:p>
    <w:p w:rsidR="00AD5DA6" w:rsidRPr="00AD5DA6" w:rsidRDefault="00AD5DA6" w:rsidP="00AD5DA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健康保障：全民健保、醫療補助</w:t>
      </w:r>
    </w:p>
    <w:p w:rsidR="00AD5DA6" w:rsidRPr="00AD5DA6" w:rsidRDefault="00AD5DA6" w:rsidP="00AD5DA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教育與兒童福利：免學費教育、托育補助</w:t>
      </w:r>
    </w:p>
    <w:p w:rsidR="00AD5DA6" w:rsidRPr="00AD5DA6" w:rsidRDefault="00AD5DA6" w:rsidP="00AD5DA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長期照護與老人福利：居家照護、老人津貼</w:t>
      </w:r>
    </w:p>
    <w:p w:rsidR="00AD5DA6" w:rsidRPr="00AD5DA6" w:rsidRDefault="00AD5DA6" w:rsidP="00AD5DA6">
      <w:pPr>
        <w:numPr>
          <w:ilvl w:val="1"/>
          <w:numId w:val="5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lastRenderedPageBreak/>
        <w:t>緊急救助：天災、火災、急難事件補助</w:t>
      </w:r>
    </w:p>
    <w:p w:rsidR="00AD5DA6" w:rsidRPr="00AD5DA6" w:rsidRDefault="00AD5DA6" w:rsidP="00AD5DA6">
      <w:p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pict>
          <v:rect id="_x0000_i1084" style="width:0;height:1.5pt" o:hralign="center" o:hrstd="t" o:hr="t" fillcolor="#a0a0a0" stroked="f"/>
        </w:pict>
      </w:r>
    </w:p>
    <w:p w:rsidR="00AD5DA6" w:rsidRPr="00AD5DA6" w:rsidRDefault="00AD5DA6" w:rsidP="00AD5DA6">
      <w:pPr>
        <w:rPr>
          <w:rFonts w:ascii="微軟正黑體 Light" w:eastAsia="微軟正黑體 Light" w:hAnsi="微軟正黑體 Light"/>
          <w:b/>
          <w:bCs/>
        </w:rPr>
      </w:pPr>
      <w:r w:rsidRPr="00AD5DA6">
        <w:rPr>
          <w:rFonts w:ascii="微軟正黑體 Light" w:eastAsia="微軟正黑體 Light" w:hAnsi="微軟正黑體 Light"/>
          <w:b/>
          <w:bCs/>
        </w:rPr>
        <w:t>5️</w:t>
      </w:r>
      <w:r w:rsidRPr="00AD5DA6">
        <w:rPr>
          <w:rFonts w:ascii="Segoe UI Symbol" w:eastAsia="微軟正黑體 Light" w:hAnsi="Segoe UI Symbol" w:cs="Segoe UI Symbol"/>
          <w:b/>
          <w:bCs/>
        </w:rPr>
        <w:t>⃣</w:t>
      </w:r>
      <w:r w:rsidRPr="00AD5DA6">
        <w:rPr>
          <w:rFonts w:ascii="微軟正黑體 Light" w:eastAsia="微軟正黑體 Light" w:hAnsi="微軟正黑體 Light"/>
          <w:b/>
          <w:bCs/>
        </w:rPr>
        <w:t xml:space="preserve"> 公平主義、社會安全與社會福利政策的關聯</w:t>
      </w:r>
    </w:p>
    <w:p w:rsidR="00AD5DA6" w:rsidRPr="00AD5DA6" w:rsidRDefault="00AD5DA6" w:rsidP="00AD5DA6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公平主義 → 提供理念與分配原則</w:t>
      </w:r>
    </w:p>
    <w:p w:rsidR="00AD5DA6" w:rsidRPr="00AD5DA6" w:rsidRDefault="00AD5DA6" w:rsidP="00AD5DA6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社會安全 → 實際保障生活與風險</w:t>
      </w:r>
    </w:p>
    <w:p w:rsidR="00AD5DA6" w:rsidRPr="00AD5DA6" w:rsidRDefault="00AD5DA6" w:rsidP="00AD5DA6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社會福利政策 → 具體措施與法律依據（社會福利基本法）</w:t>
      </w:r>
    </w:p>
    <w:p w:rsidR="00AD5DA6" w:rsidRPr="00AD5DA6" w:rsidRDefault="00AD5DA6" w:rsidP="00AD5DA6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三者互動 → 兼顧弱勢保障、社會穩定、公共利益</w:t>
      </w:r>
    </w:p>
    <w:p w:rsidR="00AD5DA6" w:rsidRPr="00AD5DA6" w:rsidRDefault="00AD5DA6" w:rsidP="00AD5DA6">
      <w:pPr>
        <w:numPr>
          <w:ilvl w:val="0"/>
          <w:numId w:val="7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案例示意</w:t>
      </w:r>
      <w:r w:rsidRPr="00AD5DA6">
        <w:rPr>
          <w:rFonts w:ascii="微軟正黑體 Light" w:eastAsia="微軟正黑體 Light" w:hAnsi="微軟正黑體 Light"/>
        </w:rPr>
        <w:t>：</w:t>
      </w:r>
    </w:p>
    <w:p w:rsidR="00AD5DA6" w:rsidRPr="00AD5DA6" w:rsidRDefault="00AD5DA6" w:rsidP="00AD5DA6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弱勢家庭補助 → 分配公平 + 補償公平</w:t>
      </w:r>
    </w:p>
    <w:p w:rsidR="00AD5DA6" w:rsidRPr="00AD5DA6" w:rsidRDefault="00AD5DA6" w:rsidP="00AD5DA6">
      <w:pPr>
        <w:numPr>
          <w:ilvl w:val="1"/>
          <w:numId w:val="7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t>全民健保 → 健康安全保障 + 機會公平</w:t>
      </w:r>
    </w:p>
    <w:p w:rsidR="00AD5DA6" w:rsidRPr="00AD5DA6" w:rsidRDefault="00AD5DA6" w:rsidP="00AD5DA6">
      <w:p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</w:rPr>
        <w:pict>
          <v:rect id="_x0000_i1085" style="width:0;height:1.5pt" o:hralign="center" o:hrstd="t" o:hr="t" fillcolor="#a0a0a0" stroked="f"/>
        </w:pict>
      </w:r>
    </w:p>
    <w:p w:rsidR="00AD5DA6" w:rsidRPr="00AD5DA6" w:rsidRDefault="00AD5DA6" w:rsidP="00AD5DA6">
      <w:pPr>
        <w:rPr>
          <w:rFonts w:ascii="微軟正黑體 Light" w:eastAsia="微軟正黑體 Light" w:hAnsi="微軟正黑體 Light"/>
          <w:b/>
          <w:bCs/>
        </w:rPr>
      </w:pPr>
      <w:r w:rsidRPr="00AD5DA6">
        <w:rPr>
          <w:rFonts w:ascii="Segoe UI Emoji" w:eastAsia="微軟正黑體 Light" w:hAnsi="Segoe UI Emoji" w:cs="Segoe UI Emoji"/>
          <w:b/>
          <w:bCs/>
        </w:rPr>
        <w:t>🔑</w:t>
      </w:r>
      <w:r w:rsidRPr="00AD5DA6">
        <w:rPr>
          <w:rFonts w:ascii="微軟正黑體 Light" w:eastAsia="微軟正黑體 Light" w:hAnsi="微軟正黑體 Light"/>
          <w:b/>
          <w:bCs/>
        </w:rPr>
        <w:t xml:space="preserve"> 本章重點總結</w:t>
      </w:r>
    </w:p>
    <w:p w:rsidR="00AD5DA6" w:rsidRPr="00AD5DA6" w:rsidRDefault="00AD5DA6" w:rsidP="00AD5DA6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公平主義</w:t>
      </w:r>
      <w:r w:rsidRPr="00AD5DA6">
        <w:rPr>
          <w:rFonts w:ascii="微軟正黑體 Light" w:eastAsia="微軟正黑體 Light" w:hAnsi="微軟正黑體 Light"/>
        </w:rPr>
        <w:t>：程序、分配、補償、機會公平</w:t>
      </w:r>
    </w:p>
    <w:p w:rsidR="00AD5DA6" w:rsidRPr="00AD5DA6" w:rsidRDefault="00AD5DA6" w:rsidP="00AD5DA6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社會安全</w:t>
      </w:r>
      <w:r w:rsidRPr="00AD5DA6">
        <w:rPr>
          <w:rFonts w:ascii="微軟正黑體 Light" w:eastAsia="微軟正黑體 Light" w:hAnsi="微軟正黑體 Light"/>
        </w:rPr>
        <w:t>：社會保險、救助、福利、公共安全</w:t>
      </w:r>
    </w:p>
    <w:p w:rsidR="00AD5DA6" w:rsidRPr="00AD5DA6" w:rsidRDefault="00AD5DA6" w:rsidP="00AD5DA6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社會福利政策</w:t>
      </w:r>
      <w:r w:rsidRPr="00AD5DA6">
        <w:rPr>
          <w:rFonts w:ascii="微軟正黑體 Light" w:eastAsia="微軟正黑體 Light" w:hAnsi="微軟正黑體 Light"/>
        </w:rPr>
        <w:t>：現金補助、保險、公共服務、教育文化、住宅生活</w:t>
      </w:r>
    </w:p>
    <w:p w:rsidR="00AD5DA6" w:rsidRPr="00AD5DA6" w:rsidRDefault="00AD5DA6" w:rsidP="00AD5DA6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社會福利基本法</w:t>
      </w:r>
      <w:r w:rsidRPr="00AD5DA6">
        <w:rPr>
          <w:rFonts w:ascii="微軟正黑體 Light" w:eastAsia="微軟正黑體 Light" w:hAnsi="微軟正黑體 Light"/>
        </w:rPr>
        <w:t>：法律依據，保障民眾權益，落實公平原則</w:t>
      </w:r>
    </w:p>
    <w:p w:rsidR="00AD5DA6" w:rsidRPr="00AD5DA6" w:rsidRDefault="00AD5DA6" w:rsidP="00AD5DA6">
      <w:pPr>
        <w:numPr>
          <w:ilvl w:val="0"/>
          <w:numId w:val="8"/>
        </w:numPr>
        <w:rPr>
          <w:rFonts w:ascii="微軟正黑體 Light" w:eastAsia="微軟正黑體 Light" w:hAnsi="微軟正黑體 Light"/>
        </w:rPr>
      </w:pPr>
      <w:r w:rsidRPr="00AD5DA6">
        <w:rPr>
          <w:rFonts w:ascii="微軟正黑體 Light" w:eastAsia="微軟正黑體 Light" w:hAnsi="微軟正黑體 Light"/>
          <w:b/>
          <w:bCs/>
        </w:rPr>
        <w:t>互動關係</w:t>
      </w:r>
      <w:r w:rsidRPr="00AD5DA6">
        <w:rPr>
          <w:rFonts w:ascii="微軟正黑體 Light" w:eastAsia="微軟正黑體 Light" w:hAnsi="微軟正黑體 Light"/>
        </w:rPr>
        <w:t>：理念 → 制度 → 措施，共同維護社會公平與安全</w:t>
      </w:r>
    </w:p>
    <w:p w:rsidR="00AD5DA6" w:rsidRPr="00AD5DA6" w:rsidRDefault="00AD5DA6">
      <w:pPr>
        <w:rPr>
          <w:rFonts w:ascii="微軟正黑體 Light" w:eastAsia="微軟正黑體 Light" w:hAnsi="微軟正黑體 Light" w:hint="eastAsia"/>
        </w:rPr>
      </w:pPr>
      <w:r w:rsidRPr="00AD5DA6">
        <w:rPr>
          <w:rFonts w:ascii="微軟正黑體 Light" w:eastAsia="微軟正黑體 Light" w:hAnsi="微軟正黑體 Light"/>
        </w:rPr>
        <w:pict>
          <v:rect id="_x0000_i1086" style="width:0;height:1.5pt" o:hralign="center" o:hrstd="t" o:hr="t" fillcolor="#a0a0a0" stroked="f"/>
        </w:pict>
      </w:r>
    </w:p>
    <w:sectPr w:rsidR="00AD5DA6" w:rsidRPr="00AD5DA6" w:rsidSect="00AD5DA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57550"/>
    <w:multiLevelType w:val="multilevel"/>
    <w:tmpl w:val="7F72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4895"/>
    <w:multiLevelType w:val="multilevel"/>
    <w:tmpl w:val="60CA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A05CF"/>
    <w:multiLevelType w:val="multilevel"/>
    <w:tmpl w:val="1622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93F70"/>
    <w:multiLevelType w:val="multilevel"/>
    <w:tmpl w:val="FF90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02576"/>
    <w:multiLevelType w:val="multilevel"/>
    <w:tmpl w:val="ACAC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7084C"/>
    <w:multiLevelType w:val="multilevel"/>
    <w:tmpl w:val="1D5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8091E"/>
    <w:multiLevelType w:val="multilevel"/>
    <w:tmpl w:val="08C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2638303">
    <w:abstractNumId w:val="3"/>
  </w:num>
  <w:num w:numId="2" w16cid:durableId="31853367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83183945">
    <w:abstractNumId w:val="5"/>
  </w:num>
  <w:num w:numId="4" w16cid:durableId="1688945713">
    <w:abstractNumId w:val="0"/>
  </w:num>
  <w:num w:numId="5" w16cid:durableId="1743916826">
    <w:abstractNumId w:val="4"/>
  </w:num>
  <w:num w:numId="6" w16cid:durableId="1235243003">
    <w:abstractNumId w:val="4"/>
    <w:lvlOverride w:ilvl="1">
      <w:lvl w:ilvl="1">
        <w:numFmt w:val="decimal"/>
        <w:lvlText w:val="%2."/>
        <w:lvlJc w:val="left"/>
      </w:lvl>
    </w:lvlOverride>
  </w:num>
  <w:num w:numId="7" w16cid:durableId="201480649">
    <w:abstractNumId w:val="6"/>
  </w:num>
  <w:num w:numId="8" w16cid:durableId="663431067">
    <w:abstractNumId w:val="2"/>
  </w:num>
  <w:num w:numId="9" w16cid:durableId="1884906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A6"/>
    <w:rsid w:val="008F7C32"/>
    <w:rsid w:val="00AD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E95EF"/>
  <w15:chartTrackingRefBased/>
  <w15:docId w15:val="{5FDE9FB1-57C1-4F49-89E5-B4F7DDF5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5D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DA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DA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DA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DA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DA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DA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5DA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D5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D5DA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D5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5DA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D5DA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D5DA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D5DA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D5D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5D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D5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D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D5D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D5D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D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DA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D5DA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D5DA6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AD5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王</dc:creator>
  <cp:keywords/>
  <dc:description/>
  <cp:lastModifiedBy>子烜 王</cp:lastModifiedBy>
  <cp:revision>1</cp:revision>
  <dcterms:created xsi:type="dcterms:W3CDTF">2025-09-21T08:16:00Z</dcterms:created>
  <dcterms:modified xsi:type="dcterms:W3CDTF">2025-09-21T08:17:00Z</dcterms:modified>
</cp:coreProperties>
</file>