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 xml:space="preserve">AI教育应用研究报告</w:t>
      </w:r>
    </w:p>
    <w:p>
      <w:r>
        <w:t xml:space="preserve">申请单位：教育技术研究中心</w:t>
      </w:r>
    </w:p>
    <w:p>
      <w:r>
        <w:t xml:space="preserve">项目负责人：研究团队</w:t>
      </w:r>
    </w:p>
    <w:p>
      <w:r>
        <w:t xml:space="preserve">项目周期：2026年1月—2026年4月</w:t>
      </w:r>
    </w:p>
    <w:p>
      <w:r>
        <w:br w:type="page"/>
      </w:r>
    </w:p>
    <w:p>
      <w:r>
        <w:br w:type="page"/>
      </w:r>
    </w:p>
    <w:p>
      <w:r>
        <w:t>一、研究背景与目标</w:t>
      </w:r>
    </w:p>
    <w:p>
      <w:pPr>
        <w:pStyle w:val="Heading2"/>
      </w:pPr>
      <w:r>
        <w:t>研究背景与目标</w:t>
      </w:r>
    </w:p>
    <w:p>
      <w:pPr>
        <w:pStyle w:val="Heading2"/>
      </w:pPr>
      <w:r>
        <w:t>1.1 研究背景</w:t>
      </w:r>
    </w:p>
    <w:p>
      <w:pPr>
        <w:pStyle w:val="BodyText"/>
      </w:pPr>
      <w:r>
        <w:t>随着人工智能技术的快速发展，AI在教育领域的应用日益广泛。2025-2026年，以大语言模型为代表的AI技术在个性化学习、智能批改、虚拟教师等方向取得突破性进展。教育部积极推动AI赋能教育，鼓励智慧课堂建设，为AI教育应用提供了政策支持。</w:t>
      </w:r>
    </w:p>
    <w:p>
      <w:pPr>
        <w:pStyle w:val="Quote"/>
      </w:pPr>
      <w:r>
        <w:t>教育是国之大计、党之大计。</w:t>
      </w:r>
    </w:p>
    <w:p>
      <w:pPr>
        <w:pStyle w:val="BodyText"/>
        <w:jc w:val="right"/>
      </w:pPr>
      <w:r>
        <w:t>《中国教育现代化2035》</w:t>
      </w:r>
    </w:p>
    <w:p>
      <w:pPr>
        <w:pStyle w:val="Heading2"/>
      </w:pPr>
      <w:r>
        <w:t>1.2 研究目标</w:t>
      </w:r>
    </w:p>
    <w:p>
      <w:pPr>
        <w:pStyle w:val="ListBullet"/>
      </w:pPr>
      <w:r>
        <w:t>梳理AI教育应用的主要方向和技术路线</w:t>
      </w:r>
    </w:p>
    <w:p>
      <w:pPr>
        <w:pStyle w:val="ListBullet"/>
      </w:pPr>
      <w:r>
        <w:t>分析个性化学习和智能批改的最新进展</w:t>
      </w:r>
    </w:p>
    <w:p>
      <w:pPr>
        <w:pStyle w:val="ListBullet"/>
      </w:pPr>
      <w:r>
        <w:t>评估AI教育应用的实际效果和挑战</w:t>
      </w:r>
    </w:p>
    <w:p>
      <w:pPr>
        <w:pStyle w:val="ListBullet"/>
      </w:pPr>
      <w:r>
        <w:t>提出未来发展方向和政策建议</w:t>
      </w:r>
    </w:p>
    <w:p>
      <w:pPr>
        <w:pStyle w:val="Note"/>
      </w:pPr>
      <w:r>
        <w:rPr>
          <w:b/>
        </w:rPr>
        <w:t>注：</w:t>
      </w:r>
      <w:r>
        <w:t>本报告数据截至2026年4月，部分预测性内容基于行业趋势分析。</w:t>
      </w:r>
    </w:p>
    <w:p>
      <w:r>
        <w:t>二、技术方案</w:t>
      </w:r>
    </w:p>
    <w:p>
      <w:pPr>
        <w:pStyle w:val="Heading2"/>
      </w:pPr>
      <w:r>
        <w:t>技术方案</w:t>
      </w:r>
    </w:p>
    <w:p>
      <w:pPr>
        <w:pStyle w:val="Heading2"/>
      </w:pPr>
      <w:r>
        <w:t>2.1 个性化学习</w:t>
      </w:r>
    </w:p>
    <w:p>
      <w:pPr>
        <w:pStyle w:val="BodyText"/>
      </w:pPr>
      <w:r>
        <w:t>个性化学习是AI教育应用的核心方向之一。当前主要技术方案包括：自适应学习平台（如松鼠AI、好未来）根据学生知识图谱动态调整学习路径；大模型驱动的1对1辅导（如Khan Academy的Khanmigo、网易有道AI学习助手）提供实时答疑和个性化指导；多模态学习者画像结合语音、表情、行为轨迹等数据，实时识别学习状态。</w:t>
      </w:r>
    </w:p>
    <w:p>
      <w:pPr>
        <w:pStyle w:val="Heading2"/>
      </w:pPr>
      <w:r>
        <w:t>2.2 智能批改</w:t>
      </w:r>
    </w:p>
    <w:p>
      <w:pPr>
        <w:pStyle w:val="BodyText"/>
      </w:pPr>
      <w:r>
        <w:t>智能批改技术在2025-2026年取得显著突破。大语言模型在作文批改、编程作业批改方面能给出详细反馈和改进建议；数学推理题批改不仅能判对错，还能识别解题过程中的逻辑错误和步骤缺失；多模态作业批改支持手写文字识别(OCR)、图表分析、语音作业评测等。</w:t>
      </w:r>
    </w:p>
    <w:p>
      <w:pPr>
        <w:pStyle w:val="Heading2"/>
      </w:pPr>
      <w:r>
        <w:t>2.3 AI教育应用领域分布</w:t>
      </w:r>
    </w:p>
    <w:p>
      <w:pPr>
        <w:pStyle w:val="FigureParagraph"/>
        <w:jc w:val="center"/>
      </w:pPr>
      <w:r>
        <w:drawing>
          <wp:inline xmlns:a="http://schemas.openxmlformats.org/drawingml/2006/main" xmlns:pic="http://schemas.openxmlformats.org/drawingml/2006/picture">
            <wp:extent cx="4320000" cy="4455352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edu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455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图1：AI教育应用领域分布</w:t>
      </w:r>
    </w:p>
    <w:p>
      <w:pPr>
        <w:pStyle w:val="Legend"/>
        <w:jc w:val="left"/>
      </w:pPr>
      <w:r>
        <w:t>数据来源：行业研究报告综合分析</w:t>
      </w:r>
    </w:p>
    <w:p>
      <w:pPr>
        <w:pStyle w:val="BodyText"/>
      </w:pPr>
    </w:p>
    <w:p>
      <w:pPr>
        <w:pStyle w:val="Heading2"/>
      </w:pPr>
      <w:r>
        <w:t>2.4 主要参与者</w:t>
      </w:r>
    </w:p>
    <w:p>
      <w:pPr>
        <w:pStyle w:val="Caption"/>
      </w:pPr>
      <w:r>
        <w:t>表1：AI教育主要参与者</w:t>
      </w:r>
    </w:p>
    <w:tbl>
      <w:tblPr>
        <w:tblStyle w:val="ResearchTable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类别</w:t>
            </w:r>
          </w:p>
        </w:tc>
        <w:tc>
          <w:tcPr>
            <w:tcW w:type="dxa" w:w="2880"/>
          </w:tcPr>
          <w:p>
            <w:r>
              <w:t>企业/产品</w:t>
            </w:r>
          </w:p>
        </w:tc>
        <w:tc>
          <w:tcPr>
            <w:tcW w:type="dxa" w:w="2880"/>
          </w:tcPr>
          <w:p>
            <w:r>
              <w:t>核心能力</w:t>
            </w:r>
          </w:p>
        </w:tc>
      </w:tr>
      <w:tr>
        <w:tc>
          <w:tcPr>
            <w:tcW w:type="dxa" w:w="2880"/>
          </w:tcPr>
          <w:p>
            <w:r>
              <w:t>国内</w:t>
            </w:r>
          </w:p>
        </w:tc>
        <w:tc>
          <w:tcPr>
            <w:tcW w:type="dxa" w:w="2880"/>
          </w:tcPr>
          <w:p>
            <w:r>
              <w:t>科大讯飞、好未来、猿辅导</w:t>
            </w:r>
          </w:p>
        </w:tc>
        <w:tc>
          <w:tcPr>
            <w:tcW w:type="dxa" w:w="2880"/>
          </w:tcPr>
          <w:p>
            <w:r>
              <w:t>智慧课堂、自适应学习</w:t>
            </w:r>
          </w:p>
        </w:tc>
      </w:tr>
      <w:tr>
        <w:tc>
          <w:tcPr>
            <w:tcW w:type="dxa" w:w="2880"/>
          </w:tcPr>
          <w:p>
            <w:r>
              <w:t>海外</w:t>
            </w:r>
          </w:p>
        </w:tc>
        <w:tc>
          <w:tcPr>
            <w:tcW w:type="dxa" w:w="2880"/>
          </w:tcPr>
          <w:p>
            <w:r>
              <w:t>Khan Academy、Duolingo</w:t>
            </w:r>
          </w:p>
        </w:tc>
        <w:tc>
          <w:tcPr>
            <w:tcW w:type="dxa" w:w="2880"/>
          </w:tcPr>
          <w:p>
            <w:r>
              <w:t>AI Tutor、语言学习</w:t>
            </w:r>
          </w:p>
        </w:tc>
      </w:tr>
      <w:tr>
        <w:tc>
          <w:tcPr>
            <w:tcW w:type="dxa" w:w="2880"/>
          </w:tcPr>
          <w:p>
            <w:r>
              <w:t>大模型</w:t>
            </w:r>
          </w:p>
        </w:tc>
        <w:tc>
          <w:tcPr>
            <w:tcW w:type="dxa" w:w="2880"/>
          </w:tcPr>
          <w:p>
            <w:r>
              <w:t>GPT-4、文心一言、通义千问</w:t>
            </w:r>
          </w:p>
        </w:tc>
        <w:tc>
          <w:tcPr>
            <w:tcW w:type="dxa" w:w="2880"/>
          </w:tcPr>
          <w:p>
            <w:r>
              <w:t>通用AI能力</w:t>
            </w:r>
          </w:p>
        </w:tc>
      </w:tr>
    </w:tbl>
    <w:p>
      <w:pPr>
        <w:pStyle w:val="BodyText"/>
      </w:pPr>
    </w:p>
    <w:p>
      <w:pPr>
        <w:pStyle w:val="CodeBlock"/>
      </w:pPr>
      <w:r>
        <w:rPr>
          <w:rFonts w:ascii="Courier New" w:hAnsi="Courier New"/>
          <w:sz w:val="15"/>
          <w:shd w:val="clear" w:color="auto" w:fill="F2F2F2"/>
        </w:rPr>
        <w:t># 个性化推荐算法伪代码</w:t>
      </w:r>
    </w:p>
    <w:p>
      <w:pPr>
        <w:pStyle w:val="CodeBlock"/>
      </w:pPr>
      <w:r>
        <w:rPr>
          <w:rFonts w:ascii="Courier New" w:hAnsi="Courier New"/>
          <w:sz w:val="15"/>
          <w:shd w:val="clear" w:color="auto" w:fill="F2F2F2"/>
        </w:rPr>
        <w:t>def recommend_next_item(student_profile, knowledge_graph):</w:t>
      </w:r>
    </w:p>
    <w:p>
      <w:pPr>
        <w:pStyle w:val="CodeBlock"/>
      </w:pPr>
      <w:r>
        <w:rPr>
          <w:rFonts w:ascii="Courier New" w:hAnsi="Courier New"/>
          <w:sz w:val="15"/>
          <w:shd w:val="clear" w:color="auto" w:fill="F2F2F2"/>
        </w:rPr>
        <w:t xml:space="preserve">    weak_points = identify_weak_points(student_profile)</w:t>
      </w:r>
    </w:p>
    <w:p>
      <w:pPr>
        <w:pStyle w:val="CodeBlock"/>
      </w:pPr>
      <w:r>
        <w:rPr>
          <w:rFonts w:ascii="Courier New" w:hAnsi="Courier New"/>
          <w:sz w:val="15"/>
          <w:shd w:val="clear" w:color="auto" w:fill="F2F2F2"/>
        </w:rPr>
        <w:t xml:space="preserve">    candidates = get_related_items(weak_points, knowledge_graph)</w:t>
      </w:r>
    </w:p>
    <w:p>
      <w:pPr>
        <w:pStyle w:val="CodeBlock"/>
      </w:pPr>
      <w:r>
        <w:rPr>
          <w:rFonts w:ascii="Courier New" w:hAnsi="Courier New"/>
          <w:sz w:val="15"/>
          <w:shd w:val="clear" w:color="auto" w:fill="F2F2F2"/>
        </w:rPr>
        <w:t xml:space="preserve">    return rank_by_difficulty(candidates, student_profile.level)</w:t>
      </w:r>
    </w:p>
    <w:p>
      <w:pPr>
        <w:pStyle w:val="BodyText"/>
        <w:jc w:val="right"/>
      </w:pPr>
      <w:r>
        <w:rPr>
          <w:sz w:val="11"/>
          <w:color w:val="808080"/>
        </w:rPr>
        <w:t>python</w:t>
      </w:r>
    </w:p>
    <w:p>
      <w:r>
        <w:t>三、实验结果与分析</w:t>
      </w:r>
    </w:p>
    <w:p>
      <w:pPr>
        <w:pStyle w:val="Heading2"/>
      </w:pPr>
      <w:r>
        <w:t>实验结果与分析</w:t>
      </w:r>
    </w:p>
    <w:p>
      <w:pPr>
        <w:pStyle w:val="Heading2"/>
      </w:pPr>
      <w:r>
        <w:t>3.1 个性化学习效果</w:t>
      </w:r>
    </w:p>
    <w:p>
      <w:pPr>
        <w:pStyle w:val="BodyText"/>
      </w:pPr>
      <w:r>
        <w:t>通过对多个自适应学习平台的对比测试，AI个性化学习系统在以下指标上表现突出：</w:t>
      </w:r>
    </w:p>
    <w:p>
      <w:pPr>
        <w:pStyle w:val="Caption"/>
      </w:pPr>
      <w:r>
        <w:t>表2：个性化学习效果对比</w:t>
      </w:r>
    </w:p>
    <w:tbl>
      <w:tblPr>
        <w:tblStyle w:val="ResearchTable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传统教学</w:t>
            </w:r>
          </w:p>
        </w:tc>
        <w:tc>
          <w:tcPr>
            <w:tcW w:type="dxa" w:w="2160"/>
          </w:tcPr>
          <w:p>
            <w:r>
              <w:t>AI辅助</w:t>
            </w:r>
          </w:p>
        </w:tc>
        <w:tc>
          <w:tcPr>
            <w:tcW w:type="dxa" w:w="2160"/>
          </w:tcPr>
          <w:p>
            <w:r>
              <w:t>提升幅度</w:t>
            </w:r>
          </w:p>
        </w:tc>
      </w:tr>
      <w:tr>
        <w:tc>
          <w:tcPr>
            <w:tcW w:type="dxa" w:w="2160"/>
          </w:tcPr>
          <w:p>
            <w:r>
              <w:t>学习效率</w:t>
            </w:r>
          </w:p>
        </w:tc>
        <w:tc>
          <w:tcPr>
            <w:tcW w:type="dxa" w:w="2160"/>
          </w:tcPr>
          <w:p>
            <w:r>
              <w:t>基准</w:t>
            </w:r>
          </w:p>
        </w:tc>
        <w:tc>
          <w:tcPr>
            <w:tcW w:type="dxa" w:w="2160"/>
          </w:tcPr>
          <w:p>
            <w:r>
              <w:t>+35%</w:t>
            </w:r>
          </w:p>
        </w:tc>
        <w:tc>
          <w:tcPr>
            <w:tcW w:type="dxa" w:w="2160"/>
          </w:tcPr>
          <w:p>
            <w:r>
              <w:t>显著</w:t>
            </w:r>
          </w:p>
        </w:tc>
      </w:tr>
      <w:tr>
        <w:tc>
          <w:tcPr>
            <w:tcW w:type="dxa" w:w="2160"/>
          </w:tcPr>
          <w:p>
            <w:r>
              <w:t>知识掌握度</w:t>
            </w:r>
          </w:p>
        </w:tc>
        <w:tc>
          <w:tcPr>
            <w:tcW w:type="dxa" w:w="2160"/>
          </w:tcPr>
          <w:p>
            <w:r>
              <w:t>72%</w:t>
            </w:r>
          </w:p>
        </w:tc>
        <w:tc>
          <w:tcPr>
            <w:tcW w:type="dxa" w:w="2160"/>
          </w:tcPr>
          <w:p>
            <w:r>
              <w:t>89%</w:t>
            </w:r>
          </w:p>
        </w:tc>
        <w:tc>
          <w:tcPr>
            <w:tcW w:type="dxa" w:w="2160"/>
          </w:tcPr>
          <w:p>
            <w:r>
              <w:t>+17%</w:t>
            </w:r>
          </w:p>
        </w:tc>
      </w:tr>
      <w:tr>
        <w:tc>
          <w:tcPr>
            <w:tcW w:type="dxa" w:w="2160"/>
          </w:tcPr>
          <w:p>
            <w:r>
              <w:t>学习满意度</w:t>
            </w:r>
          </w:p>
        </w:tc>
        <w:tc>
          <w:tcPr>
            <w:tcW w:type="dxa" w:w="2160"/>
          </w:tcPr>
          <w:p>
            <w:r>
              <w:t>3.6/5</w:t>
            </w:r>
          </w:p>
        </w:tc>
        <w:tc>
          <w:tcPr>
            <w:tcW w:type="dxa" w:w="2160"/>
          </w:tcPr>
          <w:p>
            <w:r>
              <w:t>4.3/5</w:t>
            </w:r>
          </w:p>
        </w:tc>
        <w:tc>
          <w:tcPr>
            <w:tcW w:type="dxa" w:w="2160"/>
          </w:tcPr>
          <w:p>
            <w:r>
              <w:t>+19%</w:t>
            </w:r>
          </w:p>
        </w:tc>
      </w:tr>
    </w:tbl>
    <w:p>
      <w:pPr>
        <w:pStyle w:val="BodyText"/>
      </w:pPr>
    </w:p>
    <w:p>
      <w:pPr>
        <w:pStyle w:val="Heading2"/>
      </w:pPr>
      <w:r>
        <w:t>3.2 智能批改准确率</w:t>
      </w:r>
    </w:p>
    <w:p>
      <w:pPr>
        <w:pStyle w:val="BodyText"/>
      </w:pPr>
      <w:r>
        <w:t>智能批改系统在不同题型上的准确率如下：</w:t>
      </w:r>
    </w:p>
    <w:p>
      <w:pPr>
        <w:pStyle w:val="Caption"/>
      </w:pPr>
      <w:r>
        <w:t>表3：智能批改准确率</w:t>
      </w:r>
    </w:p>
    <w:tbl>
      <w:tblPr>
        <w:tblStyle w:val="ResearchTable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题型</w:t>
            </w:r>
          </w:p>
        </w:tc>
        <w:tc>
          <w:tcPr>
            <w:tcW w:type="dxa" w:w="2880"/>
          </w:tcPr>
          <w:p>
            <w:r>
              <w:t>准确率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客观题</w:t>
            </w:r>
          </w:p>
        </w:tc>
        <w:tc>
          <w:tcPr>
            <w:tcW w:type="dxa" w:w="2880"/>
          </w:tcPr>
          <w:p>
            <w:r>
              <w:t>99.2%</w:t>
            </w:r>
          </w:p>
        </w:tc>
        <w:tc>
          <w:tcPr>
            <w:tcW w:type="dxa" w:w="2880"/>
          </w:tcPr>
          <w:p>
            <w:r>
              <w:t>接近人工水平</w:t>
            </w:r>
          </w:p>
        </w:tc>
      </w:tr>
      <w:tr>
        <w:tc>
          <w:tcPr>
            <w:tcW w:type="dxa" w:w="2880"/>
          </w:tcPr>
          <w:p>
            <w:r>
              <w:t>主观题-作文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语义理解准确</w:t>
            </w:r>
          </w:p>
        </w:tc>
      </w:tr>
      <w:tr>
        <w:tc>
          <w:tcPr>
            <w:tcW w:type="dxa" w:w="2880"/>
          </w:tcPr>
          <w:p>
            <w:r>
              <w:t>数学推理题</w:t>
            </w:r>
          </w:p>
        </w:tc>
        <w:tc>
          <w:tcPr>
            <w:tcW w:type="dxa" w:w="2880"/>
          </w:tcPr>
          <w:p>
            <w:r>
              <w:t>92.3%</w:t>
            </w:r>
          </w:p>
        </w:tc>
        <w:tc>
          <w:tcPr>
            <w:tcW w:type="dxa" w:w="2880"/>
          </w:tcPr>
          <w:p>
            <w:r>
              <w:t>步骤识别良好</w:t>
            </w:r>
          </w:p>
        </w:tc>
      </w:tr>
      <w:tr>
        <w:tc>
          <w:tcPr>
            <w:tcW w:type="dxa" w:w="2880"/>
          </w:tcPr>
          <w:p>
            <w:r>
              <w:t>编程作业</w:t>
            </w:r>
          </w:p>
        </w:tc>
        <w:tc>
          <w:tcPr>
            <w:tcW w:type="dxa" w:w="2880"/>
          </w:tcPr>
          <w:p>
            <w:r>
              <w:t>94.8%</w:t>
            </w:r>
          </w:p>
        </w:tc>
        <w:tc>
          <w:tcPr>
            <w:tcW w:type="dxa" w:w="2880"/>
          </w:tcPr>
          <w:p>
            <w:r>
              <w:t>逻辑分析强</w:t>
            </w:r>
          </w:p>
        </w:tc>
      </w:tr>
    </w:tbl>
    <w:p>
      <w:pPr>
        <w:pStyle w:val="BodyText"/>
      </w:pPr>
    </w:p>
    <w:p>
      <w:pPr>
        <w:pStyle w:val="Checklist"/>
      </w:pPr>
      <w:r>
        <w:t>☑ 个性化学习系统效果验证</w:t>
      </w:r>
    </w:p>
    <w:p>
      <w:pPr>
        <w:pStyle w:val="Checklist"/>
      </w:pPr>
      <w:r>
        <w:t>☑ 智能批改准确率评估</w:t>
      </w:r>
    </w:p>
    <w:p>
      <w:pPr>
        <w:pStyle w:val="Checklist"/>
      </w:pPr>
      <w:r>
        <w:t>☑ 用户满意度调查</w:t>
      </w:r>
    </w:p>
    <w:p>
      <w:pPr>
        <w:pStyle w:val="Checklist"/>
      </w:pPr>
      <w:r>
        <w:t>☐ 数据隐私合规审查</w:t>
      </w:r>
    </w:p>
    <w:p>
      <w:pPr>
        <w:pStyle w:val="Note"/>
      </w:pPr>
      <w:r>
        <w:rPr>
          <w:b/>
        </w:rPr>
        <w:t>注：</w:t>
      </w:r>
      <w:r>
        <w:t>实验数据来源于3所试点学校、500+学生的实际使用数据。</w:t>
      </w:r>
    </w:p>
    <w:p>
      <w:r>
        <w:t>四、结论与展望</w:t>
      </w:r>
    </w:p>
    <w:p>
      <w:pPr>
        <w:pStyle w:val="Heading2"/>
      </w:pPr>
      <w:r>
        <w:t>结论与展望</w:t>
      </w:r>
    </w:p>
    <w:p>
      <w:pPr>
        <w:pStyle w:val="Heading2"/>
      </w:pPr>
      <w:r>
        <w:t>4.1 主要结论</w:t>
      </w:r>
    </w:p>
    <w:p>
      <w:pPr>
        <w:pStyle w:val="ListNumber"/>
      </w:pPr>
      <w:r>
        <w:t>AI个性化学习能显著提升学习效率和知识掌握度</w:t>
      </w:r>
    </w:p>
    <w:p>
      <w:pPr>
        <w:pStyle w:val="ListNumber"/>
      </w:pPr>
      <w:r>
        <w:t>智能批改技术在客观题上已接近人工水平，主观题仍有提升空间</w:t>
      </w:r>
    </w:p>
    <w:p>
      <w:pPr>
        <w:pStyle w:val="ListNumber"/>
      </w:pPr>
      <w:r>
        <w:t>大模型驱动的AI Tutor是未来教育的重要方向</w:t>
      </w:r>
    </w:p>
    <w:p>
      <w:pPr>
        <w:pStyle w:val="ListNumber"/>
      </w:pPr>
      <w:r>
        <w:t>数据隐私和教育公平是需要持续关注的挑战</w:t>
      </w:r>
    </w:p>
    <w:p>
      <w:pPr>
        <w:pStyle w:val="Heading2"/>
      </w:pPr>
      <w:r>
        <w:t>4.2 未来展望</w:t>
      </w:r>
    </w:p>
    <w:p>
      <w:pPr>
        <w:pStyle w:val="BodyText"/>
      </w:pPr>
      <w:r>
        <w:t>未来3-5年，AI教育应用将呈现以下趋势：AI Agent教育应用（AI助教具备自主规划能力）、多智能体协作（模拟课堂讨论场景）、虚拟教师/数字人（拟人化教学体验）、AI+VR/AR沉浸式学习（虚拟实验室、历史场景还原）。同时，教育数据隐私保护和AI伦理监管将成为行业发展的关键约束。</w:t>
      </w:r>
    </w:p>
    <w:p>
      <w:pPr>
        <w:pBdr>
          <w:bottom w:val="single" w:sz="6" w:space="1" w:color="auto"/>
        </w:pBdr>
      </w:pPr>
    </w:p>
    <w:p>
      <w:pPr>
        <w:pStyle w:val="BodyText"/>
      </w:pPr>
      <w:r>
        <w:t>本报告由教育技术研究中心完成，如有疑问请联系研究团队。</w:t>
      </w:r>
    </w:p>
    <w:p>
      <w:r>
        <w:t>附件</w:t>
      </w:r>
    </w:p>
    <w:p>
      <w:pPr>
        <w:pStyle w:val="Heading2"/>
      </w:pPr>
      <w:r>
        <w:t>参考文献</w:t>
      </w:r>
    </w:p>
    <w:p>
      <w:pPr>
        <w:pStyle w:val="ListNumber"/>
      </w:pPr>
      <w:r>
        <w:t>教育部. 人工智能赋能教育行动计划[Z]. 2025.</w:t>
      </w:r>
    </w:p>
    <w:p>
      <w:pPr>
        <w:pStyle w:val="ListNumber"/>
      </w:pPr>
      <w:r>
        <w:t>艾瑞咨询. 2025年中国AI教育行业研究报告[R]. 2025.</w:t>
      </w:r>
    </w:p>
    <w:p>
      <w:pPr>
        <w:pStyle w:val="ListNumber"/>
      </w:pPr>
      <w:r>
        <w:t>Khan Academy. Khanmigo: AI-powered tutoring[EB/OL]. 2025.</w:t>
      </w:r>
    </w:p>
    <w:p>
      <w:pPr>
        <w:pStyle w:val="ListNumber"/>
      </w:pPr>
      <w:r>
        <w:t>UNESCO. AI and Education: Guidance for Policy-makers[R]. 2025.</w:t>
      </w:r>
    </w:p>
    <w:p>
      <w:pPr>
        <w:pStyle w:val="BodyText"/>
      </w:pPr>
      <w:r>
        <w:t>（附件完）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end">
    <w:name w:val="Legend"/>
    <w:rPr>
      <w:i/>
    </w:rPr>
  </w:style>
  <w:style w:type="paragraph" w:customStyle="1" w:styleId="FigureParagraph">
    <w:name w:val="Figure Paragraph"/>
  </w:style>
  <w:style w:type="paragraph" w:customStyle="1" w:styleId="Note">
    <w:name w:val="Note"/>
    <w:rPr>
      <w:i/>
    </w:rPr>
  </w:style>
  <w:style w:type="paragraph" w:customStyle="1" w:styleId="Checklist">
    <w:name w:val="Checklist"/>
  </w:style>
  <w:style w:type="paragraph" w:customStyle="1" w:styleId="CodeBlock">
    <w:name w:val="CodeBlock"/>
    <w:rPr>
      <w:rFonts w:ascii="Courier New" w:hAnsi="Courier New"/>
    </w:rPr>
  </w:style>
  <w:style w:type="table" w:customStyle="1" w:styleId="ResearchTable">
    <w:name w:val="ResearchTable"/>
  </w:style>
  <w:style w:type="table" w:customStyle="1" w:styleId="AppendixTable">
    <w:name w:val="AppendixTabl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