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根据智能纪要中的内容，优化一下战役运作流程手册，并把你修改的地方标注出来，给我一个新</w:t>
      </w:r>
    </w:p>
    <w:p>
      <w:r>
        <w:t>生成时间：2026-06-18 16:42</w:t>
      </w:r>
    </w:p>
    <w:p>
      <w:pPr>
        <w:pStyle w:val="Heading1"/>
      </w:pPr>
      <w:r>
        <w:t>用户需求</w:t>
      </w:r>
    </w:p>
    <w:p>
      <w:r>
        <w:t>根据智能纪要中的内容，优化一下战役运作流程手册，并把你修改的地方标注出来，给我一个新的文档</w:t>
      </w:r>
    </w:p>
    <w:p>
      <w:pPr>
        <w:pStyle w:val="Heading1"/>
      </w:pPr>
      <w:r>
        <w:t>文档内容</w:t>
      </w:r>
    </w:p>
    <w:p>
      <w:r>
        <w:t>好的，这是根据您提供的《智能纪要》和《战役运作流程手册（新版流程）》优化后的文档正文。修改和新增的内容已用【加粗】标注。</w:t>
      </w:r>
    </w:p>
    <w:p/>
    <w:p>
      <w:r>
        <w:t>---</w:t>
      </w:r>
    </w:p>
    <w:p>
      <w:pPr>
        <w:pStyle w:val="Heading3"/>
      </w:pPr>
      <w:r>
        <w:t>**战役运作流程手册（优化版）**</w:t>
      </w:r>
    </w:p>
    <w:p/>
    <w:p>
      <w:r>
        <w:t>**基于新版《战役运作流程》流程图及2026年6月13日智能纪要整理**</w:t>
      </w:r>
    </w:p>
    <w:p/>
    <w:p>
      <w:r>
        <w:t>**填写提示**：本手册已根据最新会议决策进行优化。文件编号、批准者、生效日期等最终信息由流程Owner在定稿时补齐。</w:t>
      </w:r>
    </w:p>
    <w:p/>
    <w:p>
      <w:r>
        <w:t>**流程修改记录**</w:t>
      </w:r>
    </w:p>
    <w:p/>
    <w:p>
      <w:r>
        <w:t>| 版本号 | 新增/更改章节 | 新增/更改理由说明 | 拟制者 | 批准者 | 生效日期 |</w:t>
      </w:r>
    </w:p>
    <w:p>
      <w:r>
        <w:t>| :--- | :--- | :--- | :--- | :--- | :--- |</w:t>
      </w:r>
    </w:p>
    <w:p>
      <w:r>
        <w:t>| V1.0 | 全文新增 | 根据新版战役运作流程图建立流程手册。 | 待补充 | 待审批 | 待确认 |</w:t>
      </w:r>
    </w:p>
    <w:p>
      <w:r>
        <w:t>| **V1.1** | **全文优化** | **根据2026年6月13日智能纪要，对流程、角色、绩效指标进行优化，并融入“战役活动经理负责制”、“双目标设置”等关键支撑机制。** | **待补充** | **待审批** | **待确认** |</w:t>
      </w:r>
    </w:p>
    <w:p/>
    <w:p>
      <w:r>
        <w:t>---</w:t>
      </w:r>
    </w:p>
    <w:p>
      <w:pPr>
        <w:pStyle w:val="Heading3"/>
      </w:pPr>
      <w:r>
        <w:t>**1 目的**</w:t>
      </w:r>
    </w:p>
    <w:p/>
    <w:p>
      <w:r>
        <w:t>规范战役活动从客户输入、核心组组建、作战室启动、方案立项、决策评审、作战计划、工具激活、执行监控、战报激励、日复盘迭代、阶段评审、成果庆祝、持续迭代、全员复盘到表彰收尾的端到端运作方式，确保战役目标清晰、协同高效、数据可视、问题闭环、经验可沉淀。**【新增】最终目的是对外实现业务增长（如提升销售额、品牌声量），对内锻炼团队的项目管理与集中化作战能力。**</w:t>
      </w:r>
    </w:p>
    <w:p>
      <w:pPr>
        <w:pStyle w:val="Heading3"/>
      </w:pPr>
      <w:r>
        <w:t>**2 适用范围**</w:t>
      </w:r>
    </w:p>
    <w:p/>
    <w:p>
      <w:r>
        <w:t>适用于围绕 BP/GSA/5P/活动物料库等输入发起的战役型活动。**【新增】战役类型包括但不限于：**</w:t>
      </w:r>
    </w:p>
    <w:p>
      <w:pPr>
        <w:pStyle w:val="ListBullet"/>
      </w:pPr>
      <w:r>
        <w:t>**S级平台及品牌活动**：如双十一、年货节、品牌周年庆。</w:t>
      </w:r>
    </w:p>
    <w:p>
      <w:pPr>
        <w:pStyle w:val="ListBullet"/>
      </w:pPr>
      <w:r>
        <w:t>**大型线下活动**：如展会、研讨会。</w:t>
      </w:r>
    </w:p>
    <w:p>
      <w:pPr>
        <w:pStyle w:val="ListBullet"/>
      </w:pPr>
      <w:r>
        <w:t>**重点产品攻坚战**：如老品抢占份额、**SS级新品爆品上市（如“法采手绘膏”或“2.5元盒装”的GTM战役）**。</w:t>
      </w:r>
    </w:p>
    <w:p>
      <w:pPr>
        <w:pStyle w:val="ListBullet"/>
      </w:pPr>
      <w:r>
        <w:t>**跨团队专项行动**：如针对特定区域的“仪式感蛋糕解决方案”推广战役。</w:t>
      </w:r>
    </w:p>
    <w:p/>
    <w:p>
      <w:r>
        <w:t>流程涉及客户、MPC、战役活动经理、核心组、扩展组及 IT/DT 支撑，覆盖启动与计划、执行与控制、迭代与收尾全过程。**【新增】战役时间限定为30-45天。**</w:t>
      </w:r>
    </w:p>
    <w:p>
      <w:pPr>
        <w:pStyle w:val="Heading3"/>
      </w:pPr>
      <w:r>
        <w:t>**3 输入及输出**</w:t>
      </w:r>
    </w:p>
    <w:p/>
    <w:p>
      <w:r>
        <w:t>#### **3.1 输入**</w:t>
      </w:r>
    </w:p>
    <w:p/>
    <w:p>
      <w:r>
        <w:t>| 输入项 | 来源 | 用途 |</w:t>
      </w:r>
    </w:p>
    <w:p>
      <w:r>
        <w:t>| :--- | :--- | :--- |</w:t>
      </w:r>
    </w:p>
    <w:p>
      <w:r>
        <w:t>| BP/GSA/5P/活动物料库 | 客户 | 作为战役机会、目标方向、活动策略和素材资源的初始输入。 |</w:t>
      </w:r>
    </w:p>
    <w:p>
      <w:r>
        <w:t>| 客户/市场反馈 | 客户、扩展组、CRM | 用于校准作战目标、任务优先级、迭代动作和阶段评审判断。 |</w:t>
      </w:r>
    </w:p>
    <w:p>
      <w:r>
        <w:t>| 团队、资源、预算与风险信息 | MPC、战役活动经理、核心组 | 用于方案立项、计划制定、决策评审、工具开通和任务分配。 |</w:t>
      </w:r>
    </w:p>
    <w:p>
      <w:r>
        <w:t>| 执行数据与过程记录 | 项目数据仪表盘、CRM、PLM | 用于监控计划执行、战报周报、日复盘、阶段评审和最终复盘验收。 |</w:t>
      </w:r>
    </w:p>
    <w:p/>
    <w:p>
      <w:r>
        <w:t>#### **3.2 输出**</w:t>
      </w:r>
    </w:p>
    <w:p/>
    <w:p>
      <w:r>
        <w:t>| 输出项 | 形成节点 | 用途 |</w:t>
      </w:r>
    </w:p>
    <w:p>
      <w:r>
        <w:t>| :--- | :--- | :--- |</w:t>
      </w:r>
    </w:p>
    <w:p>
      <w:r>
        <w:t>| 活动OGSM | 002 进入战役作战室 | 明确目标、策略、衡量标准和核心分工。 |</w:t>
      </w:r>
    </w:p>
    <w:p>
      <w:r>
        <w:t>| 战役方案立项书 | 003 策划详细战役方案立项书 | 作为决策评审和资源投入判断的依据。 |</w:t>
      </w:r>
    </w:p>
    <w:p>
      <w:r>
        <w:t>| 活动作战计划清单 | 006 战役详细作战计划清单 | 承载任务包、里程碑、责任人、资源与风险预案。 |</w:t>
      </w:r>
    </w:p>
    <w:p>
      <w:r>
        <w:t>| 项目数据仪表盘 | **007 战役总开工/总动员/总培训（含工具激活）** | 用于计划监控、战报周报、日复盘和阶段评审。 |</w:t>
      </w:r>
    </w:p>
    <w:p>
      <w:r>
        <w:t>| 复盘小结 | **012 日复盘/迭代执行/资源调整/持续放量** | 记录执行洞察、调整动作、资源需求和放量方案。 |</w:t>
      </w:r>
    </w:p>
    <w:p>
      <w:r>
        <w:t>| 优化后作战清单 | 015 持续迭代执行 | 指导后15天持续迭代和有效打法复制。 |</w:t>
      </w:r>
    </w:p>
    <w:p>
      <w:r>
        <w:t>| 战役复盘表/能力资产包 | 016 全员复盘会/成果验收 | 沉淀战役成果、经验、方法、案例和可复用资产。 |</w:t>
      </w:r>
    </w:p>
    <w:p>
      <w:r>
        <w:t>| 表彰清单与PPT | 017 战役军工表彰/团队活力建设 | 用于战役收尾表彰、团队活力建设和资料归档。 |</w:t>
      </w:r>
    </w:p>
    <w:p>
      <w:pPr>
        <w:pStyle w:val="Heading3"/>
      </w:pPr>
      <w:r>
        <w:t>**4 术语和定义**</w:t>
      </w:r>
    </w:p>
    <w:p/>
    <w:p>
      <w:r>
        <w:t>| 术语 | 定义 |</w:t>
      </w:r>
    </w:p>
    <w:p>
      <w:r>
        <w:t>| :--- | :--- |</w:t>
      </w:r>
    </w:p>
    <w:p>
      <w:r>
        <w:t>| 战役 | 围绕明确业务目标组织的跨角色、阶段化、高强度协同活动，时间限定30-45天。 |</w:t>
      </w:r>
    </w:p>
    <w:p>
      <w:r>
        <w:t>| MPC | 承担核心组组建、关键评审和阶段决策的管理/决策角色。 |</w:t>
      </w:r>
    </w:p>
    <w:p>
      <w:r>
        <w:t>| OGSM | Objective、Goals、Strategies、Measures，用于明确战役目标、策略和衡量方式。 |</w:t>
      </w:r>
    </w:p>
    <w:p>
      <w:r>
        <w:t>| 战役作战室 | 用于目标拆解、任务协同、数据监控、问题闭环和复盘迭代的工作机制。 |</w:t>
      </w:r>
    </w:p>
    <w:p>
      <w:r>
        <w:t>| 项目数据仪表盘 | 承载计划执行、战报周报、任务结果、风险问题和复盘数据的可视化工具。 |</w:t>
      </w:r>
    </w:p>
    <w:p>
      <w:r>
        <w:t>| 复盘小结 | 每日或阶段性记录目标达成、问题原因、调整动作和资源需求的过程文件。 |</w:t>
      </w:r>
    </w:p>
    <w:p>
      <w:r>
        <w:t>| 能力资产包 | 战役结束后沉淀的方法、模板、案例、数据口径、打法清单和培训材料。 |</w:t>
      </w:r>
    </w:p>
    <w:p>
      <w:pPr>
        <w:pStyle w:val="Heading3"/>
      </w:pPr>
      <w:r>
        <w:t>**5 角色及职责**</w:t>
      </w:r>
    </w:p>
    <w:p/>
    <w:p>
      <w:r>
        <w:t>| 角色/职位 | 职责 |</w:t>
      </w:r>
    </w:p>
    <w:p>
      <w:r>
        <w:t>| :--- | :--- |</w:t>
      </w:r>
    </w:p>
    <w:p>
      <w:r>
        <w:t>| 客户 | 提供 BP/GSA/5P/活动物料库等初始输入；反馈客户需求、市场信息和活动素材；参与必要的信息澄清。 |</w:t>
      </w:r>
    </w:p>
    <w:p>
      <w:r>
        <w:t>| MPC | 组建战役核心组；组织决策评审与阶段评审；对目标、资源、预算、风险和阶段去留作出决策。 |</w:t>
      </w:r>
    </w:p>
    <w:p>
      <w:r>
        <w:t>| **战役活动经理** | **【职责强化】对战役成败负总责。** 牵头作战室启动、OGSM梳理、方案立项、核心组动员、扩展组确定和计划执行监控。**拥有跨部门资源调度权和考评权。** |</w:t>
      </w:r>
    </w:p>
    <w:p>
      <w:r>
        <w:t>| 核心组 | 制定作战计划清单；组织总开工、总动员、总培训；搭建战报激励、日复盘、持续放量、阶段成果庆祝、全员复盘和表彰收尾。 |</w:t>
      </w:r>
    </w:p>
    <w:p>
      <w:r>
        <w:t>| 扩展组 | 承接任务执行；按任务包完成具体动作；及时反馈执行结果、客户/市场反馈、异常和资源需求。 |</w:t>
      </w:r>
    </w:p>
    <w:p>
      <w:r>
        <w:t>| IT/DT | 开通并维护 CRM、PLM、项目看板、作战群和数据仪表盘，保障数据口径、权限和过程资料沉淀。 |</w:t>
      </w:r>
    </w:p>
    <w:p>
      <w:pPr>
        <w:pStyle w:val="Heading3"/>
      </w:pPr>
      <w:r>
        <w:t>**6 流程图及流程活动**</w:t>
      </w:r>
    </w:p>
    <w:p/>
    <w:p>
      <w:r>
        <w:t>#### **6.1 流程图**</w:t>
      </w:r>
    </w:p>
    <w:p/>
    <w:p>
      <w:r>
        <w:t>（流程图同原版，但需明确流程节点已根据纪要调整）</w:t>
      </w:r>
    </w:p>
    <w:p/>
    <w:p>
      <w:r>
        <w:t>#### **6.2 流程活动**</w:t>
      </w:r>
    </w:p>
    <w:p/>
    <w:p>
      <w:r>
        <w:t>| 编码 | 活动名称 | 负责职位 | 关键步骤 | 输入 | 输出/工具 | 时限 |</w:t>
      </w:r>
    </w:p>
    <w:p>
      <w:r>
        <w:t>| :--- | :--- | :--- | :--- | :--- | :--- | :--- |</w:t>
      </w:r>
    </w:p>
    <w:p>
      <w:r>
        <w:t>| 001 | 组建战役核心组 | MPC | 确认战役机会和业务必要性；组建战役核心组；明确战役活动经理及核心成员的初始职责。**【新增】公司级重要战役的一条龙经理由EMT任命。** | BP/GSA/5P/活动物料库；客户需求或业务机会 | 战役核心组名单；初始职责分工 | 1天 |</w:t>
      </w:r>
    </w:p>
    <w:p>
      <w:r>
        <w:t>| 002 | 进入战役作战室 | 战役活动经理 | 组织核心组进入战役作战室；澄清战役目的和目标；明确核心组人员分工、成功标准和沟通协同机制。**【新增】此阶段重点是拉齐共识，可微调人员、费用和目标。** | 核心组名单；战役方向；客户/业务输入 | 活动OGSM | 3天 |</w:t>
      </w:r>
    </w:p>
    <w:p>
      <w:r>
        <w:t>| 003 | 策划详细战役方案立项书 | 战役活动经理 | 围绕战役命名、核心事项、战役时长、团队成员、初步预算与风险、考核与激励完成立项策划。**【新增】需拆解目标及实现路径，明确核心策略。** | 活动OGSM；客户/市场信息；资源与预算信息 | 战役方案立项书 | 3天 |</w:t>
      </w:r>
    </w:p>
    <w:p>
      <w:r>
        <w:t>| 004 | 决策评审 | MPC | 评审战役方案立项书、目标、资源、预算、风险、成功标准和考核激励；形成通过、调整或暂缓结论。 | 战役方案立项书；活动OGSM | 决策评审结论；方案修订要求 | 2小时 |</w:t>
      </w:r>
    </w:p>
    <w:p>
      <w:r>
        <w:t>| 005 | 战役核心组动员、确定扩展组成员 | 战役活动经理 | 基于评审结论完成核心组动员；确定扩展组成员；同步战役目标、纪律、激励和后续计划制定要求。 | 决策评审结论；修订后立项方案 | 扩展组名单；动员纪要；计划制定要求 | 3小时 |</w:t>
      </w:r>
    </w:p>
    <w:p>
      <w:r>
        <w:t>| 006 | 战役详细作战计划清单 | 核心组 | 将战役目标拆解为任务包、责任人、里程碑、资源、依赖、风险预案和数据看板需求。 | 修订后立项方案；扩展组名单；任务需求 | 活动作战计划清单 | 7天 |</w:t>
      </w:r>
    </w:p>
    <w:p>
      <w:r>
        <w:t>| **007** | **战役总开工/总动员/总培训（含工具激活）** | **核心组** | **组织战役总开工、总动员和总培训；【合并】同时完成激活作战工具与系统：开通专用作战群、搭建项目看板和数据仪表盘、配置CRM/PLM数据口径和权限、确认每日数据回传机制。** | 活动作战计划清单；培训材料；动员材料；系统权限需求 | 开工纪要；培训记录；项目数据仪表盘；作战群；项目看板 | 1天-7天 |</w:t>
      </w:r>
    </w:p>
    <w:p>
      <w:r>
        <w:t>| 008 | **（已合并至007）** | - | - | - | - | - |</w:t>
      </w:r>
    </w:p>
    <w:p>
      <w:r>
        <w:t>| 009 | 监控计划执行 | 战役活动经理 | 依据作战计划监控任务进度、数据表现、风险状态和资源占用；对偏差进行预警并推动解决。 | 项目数据仪表盘；作战计划清单 | 预警记录；问题清单；资源调整申请 | 持续 |</w:t>
      </w:r>
    </w:p>
    <w:p>
      <w:r>
        <w:t>| 010 | **战报/周报/实时激励** | **核心组** | **【合并】定期发布战报（日/周），同步关键数据、亮点和问题；对表现突出的个人或团队进行即时激励。** | 项目数据仪表盘；复盘小结 | 战报；激励记录 | 持续 |</w:t>
      </w:r>
    </w:p>
    <w:p>
      <w:r>
        <w:t>| 011 | **阶段评审** | **MPC** | **在战役中期（如第15天）组织阶段评审。评审目标达成、策略有效性、资源使用和风险；决定是否调整策略、追加资源或终止战役。** | 战报；复盘小结；项目数据仪表盘 | 阶段评审结论；策略调整方案；资源调整决定 | 2小时 |</w:t>
      </w:r>
    </w:p>
    <w:p>
      <w:r>
        <w:t>| **012</w:t>
      </w:r>
    </w:p>
    <w:p>
      <w:pPr>
        <w:pStyle w:val="Heading1"/>
      </w:pPr>
      <w:r>
        <w:t>参考产品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产品</w:t>
            </w:r>
          </w:p>
        </w:tc>
        <w:tc>
          <w:tcPr>
            <w:tcW w:type="dxa" w:w="2160"/>
          </w:tcPr>
          <w:p>
            <w:r>
              <w:t>品类</w:t>
            </w:r>
          </w:p>
        </w:tc>
        <w:tc>
          <w:tcPr>
            <w:tcW w:type="dxa" w:w="2160"/>
          </w:tcPr>
          <w:p>
            <w:r>
              <w:t>价格</w:t>
            </w:r>
          </w:p>
        </w:tc>
        <w:tc>
          <w:tcPr>
            <w:tcW w:type="dxa" w:w="2160"/>
          </w:tcPr>
          <w:p>
            <w:r>
              <w:t>产品ID</w:t>
            </w:r>
          </w:p>
        </w:tc>
      </w:tr>
      <w:tr>
        <w:tc>
          <w:tcPr>
            <w:tcW w:type="dxa" w:w="2160"/>
          </w:tcPr>
          <w:p>
            <w:r>
              <w:t>1.1浆纸盘</w:t>
            </w:r>
          </w:p>
        </w:tc>
        <w:tc>
          <w:tcPr>
            <w:tcW w:type="dxa" w:w="2160"/>
          </w:tcPr>
          <w:p>
            <w:r>
              <w:t>烘焙配件</w:t>
            </w:r>
          </w:p>
        </w:tc>
        <w:tc>
          <w:tcPr>
            <w:tcW w:type="dxa" w:w="2160"/>
          </w:tcPr>
          <w:p>
            <w:r>
              <w:t>¥1.08</w:t>
            </w:r>
          </w:p>
        </w:tc>
        <w:tc>
          <w:tcPr>
            <w:tcW w:type="dxa" w:w="2160"/>
          </w:tcPr>
          <w:p>
            <w:r>
              <w:t>86</w:t>
            </w:r>
          </w:p>
        </w:tc>
      </w:tr>
      <w:tr>
        <w:tc>
          <w:tcPr>
            <w:tcW w:type="dxa" w:w="2160"/>
          </w:tcPr>
          <w:p>
            <w:r>
              <w:t>手绘膏</w:t>
            </w:r>
          </w:p>
        </w:tc>
        <w:tc>
          <w:tcPr>
            <w:tcW w:type="dxa" w:w="2160"/>
          </w:tcPr>
          <w:p>
            <w:r>
              <w:t>烘焙装饰</w:t>
            </w:r>
          </w:p>
        </w:tc>
        <w:tc>
          <w:tcPr>
            <w:tcW w:type="dxa" w:w="2160"/>
          </w:tcPr>
          <w:p>
            <w:r>
              <w:t>¥16.7</w:t>
            </w:r>
          </w:p>
        </w:tc>
        <w:tc>
          <w:tcPr>
            <w:tcW w:type="dxa" w:w="2160"/>
          </w:tcPr>
          <w:p>
            <w:r>
              <w:t>84</w:t>
            </w:r>
          </w:p>
        </w:tc>
      </w:tr>
      <w:tr>
        <w:tc>
          <w:tcPr>
            <w:tcW w:type="dxa" w:w="2160"/>
          </w:tcPr>
          <w:p>
            <w:r>
              <w:t>彩色拉线膏</w:t>
            </w:r>
          </w:p>
        </w:tc>
        <w:tc>
          <w:tcPr>
            <w:tcW w:type="dxa" w:w="2160"/>
          </w:tcPr>
          <w:p>
            <w:r>
              <w:t>烘焙装饰</w:t>
            </w:r>
          </w:p>
        </w:tc>
        <w:tc>
          <w:tcPr>
            <w:tcW w:type="dxa" w:w="2160"/>
          </w:tcPr>
          <w:p>
            <w:r>
              <w:t>¥16.8</w:t>
            </w:r>
          </w:p>
        </w:tc>
        <w:tc>
          <w:tcPr>
            <w:tcW w:type="dxa" w:w="2160"/>
          </w:tcPr>
          <w:p>
            <w:r>
              <w:t>72</w:t>
            </w:r>
          </w:p>
        </w:tc>
      </w:tr>
      <w:tr>
        <w:tc>
          <w:tcPr>
            <w:tcW w:type="dxa" w:w="2160"/>
          </w:tcPr>
          <w:p>
            <w:r>
              <w:t>2元盒装</w:t>
            </w:r>
          </w:p>
        </w:tc>
        <w:tc>
          <w:tcPr>
            <w:tcW w:type="dxa" w:w="2160"/>
          </w:tcPr>
          <w:p>
            <w:r>
              <w:t>烘焙配件</w:t>
            </w:r>
          </w:p>
        </w:tc>
        <w:tc>
          <w:tcPr>
            <w:tcW w:type="dxa" w:w="2160"/>
          </w:tcPr>
          <w:p>
            <w:r>
              <w:t>¥2.03</w:t>
            </w:r>
          </w:p>
        </w:tc>
        <w:tc>
          <w:tcPr>
            <w:tcW w:type="dxa" w:w="2160"/>
          </w:tcPr>
          <w:p>
            <w:r>
              <w:t>88</w:t>
            </w:r>
          </w:p>
        </w:tc>
      </w:tr>
      <w:tr>
        <w:tc>
          <w:tcPr>
            <w:tcW w:type="dxa" w:w="2160"/>
          </w:tcPr>
          <w:p>
            <w:r>
              <w:t>2.5元盒装</w:t>
            </w:r>
          </w:p>
        </w:tc>
        <w:tc>
          <w:tcPr>
            <w:tcW w:type="dxa" w:w="2160"/>
          </w:tcPr>
          <w:p>
            <w:r>
              <w:t>烘焙配件</w:t>
            </w:r>
          </w:p>
        </w:tc>
        <w:tc>
          <w:tcPr>
            <w:tcW w:type="dxa" w:w="2160"/>
          </w:tcPr>
          <w:p>
            <w:r>
              <w:t>¥3.21</w:t>
            </w:r>
          </w:p>
        </w:tc>
        <w:tc>
          <w:tcPr>
            <w:tcW w:type="dxa" w:w="2160"/>
          </w:tcPr>
          <w:p>
            <w:r>
              <w:t>83</w:t>
            </w:r>
          </w:p>
        </w:tc>
      </w:tr>
      <w:tr>
        <w:tc>
          <w:tcPr>
            <w:tcW w:type="dxa" w:w="2160"/>
          </w:tcPr>
          <w:p>
            <w:r>
              <w:t>白色翻糖膏</w:t>
            </w:r>
          </w:p>
        </w:tc>
        <w:tc>
          <w:tcPr>
            <w:tcW w:type="dxa" w:w="2160"/>
          </w:tcPr>
          <w:p>
            <w:r>
              <w:t>烘焙装饰</w:t>
            </w:r>
          </w:p>
        </w:tc>
        <w:tc>
          <w:tcPr>
            <w:tcW w:type="dxa" w:w="2160"/>
          </w:tcPr>
          <w:p>
            <w:r>
              <w:t>¥17.41</w:t>
            </w:r>
          </w:p>
        </w:tc>
        <w:tc>
          <w:tcPr>
            <w:tcW w:type="dxa" w:w="2160"/>
          </w:tcPr>
          <w:p>
            <w:r>
              <w:t>68</w:t>
            </w:r>
          </w:p>
        </w:tc>
      </w:tr>
    </w:tbl>
    <w:p>
      <w:pPr>
        <w:pStyle w:val="Heading1"/>
      </w:pPr>
      <w:r>
        <w:t>参考附件</w:t>
      </w:r>
    </w:p>
    <w:p>
      <w:pPr>
        <w:pStyle w:val="ListBullet"/>
      </w:pPr>
      <w:r>
        <w:t>战役运作流程手册（新版流程）.docx（docx）</w:t>
      </w:r>
    </w:p>
    <w:p>
      <w:pPr>
        <w:pStyle w:val="ListBullet"/>
      </w:pPr>
      <w:r>
        <w:t>智能纪要：战役活动流程规划与目标设定 2026年6月13日.docx（docx）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