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2C1E" w14:textId="77777777" w:rsidR="00480444" w:rsidRDefault="00480444" w:rsidP="00480444">
      <w:pPr>
        <w:pStyle w:val="Heading1"/>
        <w:rPr>
          <w:color w:val="auto"/>
          <w:spacing w:val="-10"/>
          <w:kern w:val="28"/>
          <w:sz w:val="56"/>
          <w:szCs w:val="56"/>
        </w:rPr>
      </w:pPr>
      <w:r>
        <w:rPr>
          <w:noProof/>
          <w:color w:val="auto"/>
          <w:spacing w:val="-10"/>
          <w:kern w:val="28"/>
          <w:sz w:val="56"/>
          <w:szCs w:val="56"/>
        </w:rPr>
        <w:drawing>
          <wp:anchor distT="0" distB="0" distL="114300" distR="114300" simplePos="0" relativeHeight="251659264" behindDoc="0" locked="0" layoutInCell="1" allowOverlap="1" wp14:anchorId="00415E30" wp14:editId="4960EA18">
            <wp:simplePos x="0" y="0"/>
            <wp:positionH relativeFrom="margin">
              <wp:posOffset>3878580</wp:posOffset>
            </wp:positionH>
            <wp:positionV relativeFrom="paragraph">
              <wp:posOffset>817245</wp:posOffset>
            </wp:positionV>
            <wp:extent cx="1874520" cy="1435735"/>
            <wp:effectExtent l="0" t="0" r="0" b="0"/>
            <wp:wrapSquare wrapText="bothSides"/>
            <wp:docPr id="684509729" name="Picture 3" descr="A graph of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09729" name="Picture 3" descr="A graph of heatmap&#10;&#10;AI-generated content may be incorrect."/>
                    <pic:cNvPicPr/>
                  </pic:nvPicPr>
                  <pic:blipFill rotWithShape="1">
                    <a:blip r:embed="rId8" cstate="print">
                      <a:extLst>
                        <a:ext uri="{28A0092B-C50C-407E-A947-70E740481C1C}">
                          <a14:useLocalDpi xmlns:a14="http://schemas.microsoft.com/office/drawing/2010/main" val="0"/>
                        </a:ext>
                      </a:extLst>
                    </a:blip>
                    <a:srcRect l="3135" t="6147" r="9404"/>
                    <a:stretch>
                      <a:fillRect/>
                    </a:stretch>
                  </pic:blipFill>
                  <pic:spPr bwMode="auto">
                    <a:xfrm>
                      <a:off x="0" y="0"/>
                      <a:ext cx="1874520" cy="1435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015C">
        <w:rPr>
          <w:color w:val="auto"/>
          <w:spacing w:val="-10"/>
          <w:kern w:val="28"/>
          <w:sz w:val="56"/>
          <w:szCs w:val="56"/>
        </w:rPr>
        <w:t>M</w:t>
      </w:r>
      <w:r>
        <w:rPr>
          <w:color w:val="auto"/>
          <w:spacing w:val="-10"/>
          <w:kern w:val="28"/>
          <w:sz w:val="56"/>
          <w:szCs w:val="56"/>
        </w:rPr>
        <w:t xml:space="preserve">achine Learning </w:t>
      </w:r>
      <w:r w:rsidRPr="0071015C">
        <w:rPr>
          <w:color w:val="auto"/>
          <w:spacing w:val="-10"/>
          <w:kern w:val="28"/>
          <w:sz w:val="56"/>
          <w:szCs w:val="56"/>
        </w:rPr>
        <w:t>Analysis</w:t>
      </w:r>
      <w:r>
        <w:rPr>
          <w:color w:val="auto"/>
          <w:spacing w:val="-10"/>
          <w:kern w:val="28"/>
          <w:sz w:val="56"/>
          <w:szCs w:val="56"/>
        </w:rPr>
        <w:t xml:space="preserve"> </w:t>
      </w:r>
      <w:r w:rsidRPr="0071015C">
        <w:rPr>
          <w:color w:val="auto"/>
          <w:spacing w:val="-10"/>
          <w:kern w:val="28"/>
          <w:sz w:val="56"/>
          <w:szCs w:val="56"/>
        </w:rPr>
        <w:t>of</w:t>
      </w:r>
      <w:r>
        <w:rPr>
          <w:color w:val="auto"/>
          <w:spacing w:val="-10"/>
          <w:kern w:val="28"/>
          <w:sz w:val="56"/>
          <w:szCs w:val="56"/>
        </w:rPr>
        <w:t xml:space="preserve"> </w:t>
      </w:r>
      <w:r w:rsidRPr="0071015C">
        <w:rPr>
          <w:color w:val="auto"/>
          <w:spacing w:val="-10"/>
          <w:kern w:val="28"/>
          <w:sz w:val="56"/>
          <w:szCs w:val="56"/>
        </w:rPr>
        <w:t>Resource</w:t>
      </w:r>
      <w:r>
        <w:rPr>
          <w:color w:val="auto"/>
          <w:spacing w:val="-10"/>
          <w:kern w:val="28"/>
          <w:sz w:val="56"/>
          <w:szCs w:val="56"/>
        </w:rPr>
        <w:t xml:space="preserve"> </w:t>
      </w:r>
      <w:r w:rsidRPr="0071015C">
        <w:rPr>
          <w:color w:val="auto"/>
          <w:spacing w:val="-10"/>
          <w:kern w:val="28"/>
          <w:sz w:val="56"/>
          <w:szCs w:val="56"/>
        </w:rPr>
        <w:t>Exports</w:t>
      </w:r>
      <w:r>
        <w:rPr>
          <w:color w:val="auto"/>
          <w:spacing w:val="-10"/>
          <w:kern w:val="28"/>
          <w:sz w:val="56"/>
          <w:szCs w:val="56"/>
        </w:rPr>
        <w:t xml:space="preserve"> </w:t>
      </w:r>
      <w:r w:rsidRPr="0071015C">
        <w:rPr>
          <w:color w:val="auto"/>
          <w:spacing w:val="-10"/>
          <w:kern w:val="28"/>
          <w:sz w:val="56"/>
          <w:szCs w:val="56"/>
        </w:rPr>
        <w:t>and</w:t>
      </w:r>
      <w:r>
        <w:rPr>
          <w:color w:val="auto"/>
          <w:spacing w:val="-10"/>
          <w:kern w:val="28"/>
          <w:sz w:val="56"/>
          <w:szCs w:val="56"/>
        </w:rPr>
        <w:t xml:space="preserve"> </w:t>
      </w:r>
      <w:r w:rsidRPr="0071015C">
        <w:rPr>
          <w:color w:val="auto"/>
          <w:spacing w:val="-10"/>
          <w:kern w:val="28"/>
          <w:sz w:val="56"/>
          <w:szCs w:val="56"/>
        </w:rPr>
        <w:t>HDI</w:t>
      </w:r>
      <w:r>
        <w:rPr>
          <w:color w:val="auto"/>
          <w:spacing w:val="-10"/>
          <w:kern w:val="28"/>
          <w:sz w:val="56"/>
          <w:szCs w:val="56"/>
        </w:rPr>
        <w:t xml:space="preserve"> </w:t>
      </w:r>
      <w:r w:rsidRPr="0071015C">
        <w:rPr>
          <w:color w:val="auto"/>
          <w:spacing w:val="-10"/>
          <w:kern w:val="28"/>
          <w:sz w:val="56"/>
          <w:szCs w:val="56"/>
        </w:rPr>
        <w:t>Trends</w:t>
      </w:r>
    </w:p>
    <w:p w14:paraId="7A7F2FD0" w14:textId="62C1D44A" w:rsidR="002046E0" w:rsidRDefault="00480444" w:rsidP="00480444">
      <w:pPr>
        <w:spacing w:after="0"/>
      </w:pPr>
      <w:r>
        <w:t>Richard Cai</w:t>
      </w:r>
      <w:r w:rsidR="002046E0">
        <w:t>, r</w:t>
      </w:r>
      <w:r w:rsidR="002046E0" w:rsidRPr="00765D8C">
        <w:t>jc432@cornell.edu</w:t>
      </w:r>
    </w:p>
    <w:p w14:paraId="2F992203" w14:textId="36977F23" w:rsidR="00480444" w:rsidRDefault="00480444" w:rsidP="00480444">
      <w:pPr>
        <w:spacing w:after="0"/>
      </w:pPr>
      <w:r>
        <w:t>Wenkai Zhao</w:t>
      </w:r>
      <w:r w:rsidR="002046E0">
        <w:t>, wz459@cornell.edu</w:t>
      </w:r>
    </w:p>
    <w:p w14:paraId="3294964A" w14:textId="77777777" w:rsidR="00480444" w:rsidRDefault="00480444" w:rsidP="00480444">
      <w:pPr>
        <w:pStyle w:val="Heading1"/>
      </w:pPr>
      <w:r>
        <w:t>Abstract</w:t>
      </w:r>
    </w:p>
    <w:p w14:paraId="09567206" w14:textId="77777777" w:rsidR="00480444" w:rsidRPr="006D0F4D" w:rsidRDefault="00480444" w:rsidP="00480444">
      <w:r>
        <w:t xml:space="preserve">In the greater realm of macroeconomics, the precise factors dictating growth is a continuing field of research and exploration filled with uncertainty and unquantifiable variables even hundreds of years after the publication of </w:t>
      </w:r>
      <w:r>
        <w:rPr>
          <w:i/>
          <w:iCs/>
        </w:rPr>
        <w:t>The Wealth of Nations (1776)</w:t>
      </w:r>
      <w:r>
        <w:t>. However, it is widely acknowledged that it is far easier to quantify detracting variables that take away from the productive energies of a country, than to quantify variables that contribute. Corruption actively syphons resources away from productive measures and leads to negative impacts ranging from the development of crony capitalism (</w:t>
      </w:r>
      <w:r>
        <w:rPr>
          <w:i/>
          <w:iCs/>
        </w:rPr>
        <w:t>rent</w:t>
      </w:r>
      <w:r w:rsidRPr="0071015C">
        <w:rPr>
          <w:i/>
          <w:iCs/>
        </w:rPr>
        <w:t xml:space="preserve"> seeking</w:t>
      </w:r>
      <w:r>
        <w:t xml:space="preserve">) </w:t>
      </w:r>
      <w:r w:rsidRPr="0071015C">
        <w:t>to</w:t>
      </w:r>
      <w:r>
        <w:t xml:space="preserve"> the rise of state capture. One relevant form of corruption to this study is that incurred by the </w:t>
      </w:r>
      <w:r>
        <w:rPr>
          <w:i/>
          <w:iCs/>
        </w:rPr>
        <w:t xml:space="preserve">resource </w:t>
      </w:r>
      <w:r w:rsidRPr="0071015C">
        <w:t>curse</w:t>
      </w:r>
      <w:r>
        <w:t xml:space="preserve"> in </w:t>
      </w:r>
      <w:r>
        <w:rPr>
          <w:i/>
          <w:iCs/>
        </w:rPr>
        <w:t xml:space="preserve">rentier </w:t>
      </w:r>
      <w:r w:rsidRPr="0071015C">
        <w:rPr>
          <w:i/>
          <w:iCs/>
        </w:rPr>
        <w:t>states</w:t>
      </w:r>
      <w:r>
        <w:t xml:space="preserve">—where the rise of corruption is largely ignored due to a large dearth of natural resource production. </w:t>
      </w:r>
      <w:r w:rsidRPr="00E14865">
        <w:t xml:space="preserve">Growth driven by primary sector natural resource production is </w:t>
      </w:r>
      <w:r>
        <w:t xml:space="preserve">quicker to achieve than long-run </w:t>
      </w:r>
      <w:r w:rsidRPr="00E14865">
        <w:t>growth generated by secondary sector manufacturing or tertiary sector service industries, which typically require greater investment, infrastructure, and stability and are more sensitive to global economic trends (though events such as the Oil Crisis of 1973 illustrate that resource-based growth can also be vulnerable).</w:t>
      </w:r>
      <w:r>
        <w:t xml:space="preserve"> </w:t>
      </w:r>
      <w:r w:rsidRPr="0071015C">
        <w:t>We</w:t>
      </w:r>
      <w:r>
        <w:t xml:space="preserve"> explore potential hypothesis, including the </w:t>
      </w:r>
      <w:r>
        <w:rPr>
          <w:i/>
          <w:iCs/>
        </w:rPr>
        <w:t>resource curse</w:t>
      </w:r>
      <w:r>
        <w:t xml:space="preserve"> but also competing </w:t>
      </w:r>
      <w:r>
        <w:rPr>
          <w:i/>
          <w:iCs/>
        </w:rPr>
        <w:t>resource-driven-growth</w:t>
      </w:r>
      <w:r>
        <w:t xml:space="preserve"> hypotheses, for correlations between Human Development Index (HDI)</w:t>
      </w:r>
      <w:commentRangeStart w:id="0"/>
      <w:commentRangeEnd w:id="0"/>
      <w:r>
        <w:rPr>
          <w:rStyle w:val="CommentReference"/>
        </w:rPr>
        <w:commentReference w:id="0"/>
      </w:r>
      <w:r>
        <w:t xml:space="preserve"> and different resource exports across countries and continents</w:t>
      </w:r>
    </w:p>
    <w:p w14:paraId="0700462B" w14:textId="77777777" w:rsidR="00D3584B" w:rsidRDefault="00480444" w:rsidP="00480444">
      <w:pPr>
        <w:pStyle w:val="Quote"/>
        <w:sectPr w:rsidR="00D3584B">
          <w:pgSz w:w="12240" w:h="15840"/>
          <w:pgMar w:top="1440" w:right="1440" w:bottom="1440" w:left="1440" w:header="720" w:footer="720" w:gutter="0"/>
          <w:cols w:space="720"/>
          <w:docGrid w:linePitch="360"/>
        </w:sectPr>
      </w:pPr>
      <w:r>
        <w:t>“</w:t>
      </w:r>
      <w:r w:rsidRPr="006D0F4D">
        <w:t>While high HDI might not</w:t>
      </w:r>
      <w:r>
        <w:t xml:space="preserve"> necessarily</w:t>
      </w:r>
      <w:r w:rsidRPr="006D0F4D">
        <w:t xml:space="preserve"> translate </w:t>
      </w:r>
      <w:r>
        <w:t>to</w:t>
      </w:r>
      <w:r w:rsidRPr="006D0F4D">
        <w:t xml:space="preserve"> high resource exports, high exports should translate into high HDI</w:t>
      </w:r>
      <w:r>
        <w:t>,</w:t>
      </w:r>
      <w:r w:rsidRPr="006D0F4D">
        <w:t xml:space="preserve"> ceteris paribus.</w:t>
      </w:r>
      <w:r>
        <w:t xml:space="preserve"> Why such wealth does not is the question.”</w:t>
      </w:r>
    </w:p>
    <w:p w14:paraId="27914452" w14:textId="77777777" w:rsidR="00480444" w:rsidRDefault="00480444" w:rsidP="00480444">
      <w:pPr>
        <w:pStyle w:val="Heading1"/>
      </w:pPr>
      <w:r>
        <w:t>Introduction</w:t>
      </w:r>
    </w:p>
    <w:p w14:paraId="0AF6B624" w14:textId="77777777" w:rsidR="00480444" w:rsidRPr="00E27D44" w:rsidRDefault="00480444" w:rsidP="00480444">
      <w:r>
        <w:t xml:space="preserve">Corruption has been endemic to humanity since the dawn of time. Even Plato himself advised that </w:t>
      </w:r>
      <w:r w:rsidRPr="0071015C">
        <w:t xml:space="preserve">philosophers "shelter behind a wall" </w:t>
      </w:r>
      <w:r>
        <w:t xml:space="preserve">when it came to corruption due to its ironically incorrigible nature. However, it has been proven time and time again by reformers that its entrenched presence can be ridden from societies. What concerns this study is </w:t>
      </w:r>
      <w:r>
        <w:lastRenderedPageBreak/>
        <w:t xml:space="preserve">whether exports of certain types of natural resources are or are not correlated with the expected increase in human HDI under a naïve assumption. This naïve assumption is that the large extraneous amounts of sudden wealth accumulated through natural resource exports often raise a country’s growth above a natural growth rate and should lead to large improvements in quality of life (income), lifespan (healthcare), and education (average years in school), the three primary benchmarks used in calculating HDI, corresponding to increasing personal and government wealth. This assumption is characterized as naïve because many real-world instances of extraneous wealth gained from resources exports often fall into the wrong hands or are used for efforts other than improving the country to which it belongs. Of course, it is possible to increase HDI without large resource exports— we just suppose that the large revenue produced </w:t>
      </w:r>
      <w:r>
        <w:rPr>
          <w:i/>
          <w:iCs/>
        </w:rPr>
        <w:t>if</w:t>
      </w:r>
      <w:r>
        <w:t xml:space="preserve"> such exports were to exist should increase a country’ HDI. This study aims to firstly explore whether the </w:t>
      </w:r>
      <w:r>
        <w:rPr>
          <w:i/>
          <w:iCs/>
        </w:rPr>
        <w:t>resource curse</w:t>
      </w:r>
      <w:r>
        <w:t xml:space="preserve"> hypothesis holds; that is, if more exports immediately correlate to increased corruption and do not stimulate expected growth; and secondly to explore whether resource exports are potentially correlated to corruption and whether a ratio of HDI / resource export can be used as a metric to measure corruption. </w:t>
      </w:r>
      <w:r w:rsidRPr="00D01184">
        <w:t>We specifically focus on the export of cereal, oil, lumber, rare earth metals, and ores from countries worldwide during the period 2010-2020.</w:t>
      </w:r>
    </w:p>
    <w:p w14:paraId="35B626F8" w14:textId="77777777" w:rsidR="00480444" w:rsidRDefault="00480444" w:rsidP="00480444">
      <w:pPr>
        <w:pStyle w:val="Heading2"/>
      </w:pPr>
      <w:r>
        <w:t>Data</w:t>
      </w:r>
    </w:p>
    <w:p w14:paraId="2801D229" w14:textId="771732A7" w:rsidR="00480444" w:rsidRDefault="00480444" w:rsidP="00480444">
      <w:r>
        <w:t xml:space="preserve">Export data was sourced from the </w:t>
      </w:r>
      <w:r w:rsidRPr="0060285F">
        <w:t>UN Comt</w:t>
      </w:r>
      <w:r w:rsidRPr="0060285F">
        <w:t>r</w:t>
      </w:r>
      <w:r w:rsidRPr="0060285F">
        <w:t>ade database</w:t>
      </w:r>
      <w:r w:rsidR="0060285F" w:rsidRPr="0060285F">
        <w:rPr>
          <w:vertAlign w:val="superscript"/>
        </w:rPr>
        <w:t>1</w:t>
      </w:r>
      <w:r>
        <w:t xml:space="preserve"> for broad export types: all mineral spirits (crude &amp; refined oil), all nonorganic mined resources (rare earth metals), ores (particularly steel of note), wood (forestry), and wheat. Population data used for per-capita comparison was sourced from the </w:t>
      </w:r>
      <w:r w:rsidRPr="0060285F">
        <w:t>World Ban</w:t>
      </w:r>
      <w:r w:rsidRPr="0060285F">
        <w:t>k</w:t>
      </w:r>
      <w:r w:rsidRPr="0060285F">
        <w:t xml:space="preserve"> database</w:t>
      </w:r>
      <w:r w:rsidR="0060285F" w:rsidRPr="0060285F">
        <w:rPr>
          <w:vertAlign w:val="superscript"/>
        </w:rPr>
        <w:t>2</w:t>
      </w:r>
      <w:r>
        <w:t xml:space="preserve"> and HDI data was sourced from the </w:t>
      </w:r>
      <w:r w:rsidRPr="0060285F">
        <w:t>UND</w:t>
      </w:r>
      <w:r w:rsidRPr="0060285F">
        <w:t>P</w:t>
      </w:r>
      <w:r w:rsidR="0060285F" w:rsidRPr="0060285F">
        <w:rPr>
          <w:vertAlign w:val="superscript"/>
        </w:rPr>
        <w:t>3</w:t>
      </w:r>
      <w:r>
        <w:t>, which produces the index.</w:t>
      </w:r>
    </w:p>
    <w:p w14:paraId="30C2824D" w14:textId="467F75AC" w:rsidR="00D3584B" w:rsidRDefault="00480444" w:rsidP="00480444">
      <w:r>
        <w:t xml:space="preserve">Above data was extracted for a period from 2010 to 2020 across ~190 countries worldwide (Fig. 1a). </w:t>
      </w:r>
      <w:r w:rsidR="0060285F">
        <w:t>Years with no exports</w:t>
      </w:r>
      <w:r>
        <w:t xml:space="preserve"> were </w:t>
      </w:r>
      <w:r w:rsidR="0060285F">
        <w:t>cleaned</w:t>
      </w:r>
      <w:r>
        <w:t xml:space="preserve"> from data.</w:t>
      </w:r>
      <w:r w:rsidR="0060285F">
        <w:t xml:space="preserve"> The a</w:t>
      </w:r>
      <w:r>
        <w:t>nalysis dataset</w:t>
      </w:r>
      <w:r w:rsidR="0060285F">
        <w:t xml:space="preserve"> used in the methods section was</w:t>
      </w:r>
      <w:r>
        <w:t xml:space="preserve"> prepared to include </w:t>
      </w:r>
      <w:r w:rsidR="0060285F">
        <w:t xml:space="preserve">both exports and </w:t>
      </w:r>
      <w:r>
        <w:t xml:space="preserve">exports-per-capita </w:t>
      </w:r>
      <w:r w:rsidR="0060285F">
        <w:t xml:space="preserve">with </w:t>
      </w:r>
      <w:r>
        <w:t xml:space="preserve">HDI in a standardized </w:t>
      </w:r>
      <w:r w:rsidR="00CE4FA4">
        <w:t>.csv format (Fig. 0)</w:t>
      </w:r>
      <w:r>
        <w:t>.</w:t>
      </w:r>
    </w:p>
    <w:p w14:paraId="14B76E14" w14:textId="3209A421" w:rsidR="0060285F" w:rsidRDefault="0060285F" w:rsidP="00480444">
      <w:r>
        <w:t>Figure 0: standardized .csv format</w:t>
      </w:r>
    </w:p>
    <w:tbl>
      <w:tblPr>
        <w:tblStyle w:val="TableGrid"/>
        <w:tblW w:w="8299" w:type="dxa"/>
        <w:tblLook w:val="04A0" w:firstRow="1" w:lastRow="0" w:firstColumn="1" w:lastColumn="0" w:noHBand="0" w:noVBand="1"/>
      </w:tblPr>
      <w:tblGrid>
        <w:gridCol w:w="960"/>
        <w:gridCol w:w="1409"/>
        <w:gridCol w:w="1966"/>
        <w:gridCol w:w="1332"/>
        <w:gridCol w:w="1741"/>
        <w:gridCol w:w="1164"/>
      </w:tblGrid>
      <w:tr w:rsidR="0060285F" w:rsidRPr="0060285F" w14:paraId="3960AFC5" w14:textId="77777777" w:rsidTr="0060285F">
        <w:trPr>
          <w:gridAfter w:val="1"/>
          <w:wAfter w:w="1164" w:type="dxa"/>
          <w:trHeight w:val="288"/>
        </w:trPr>
        <w:tc>
          <w:tcPr>
            <w:tcW w:w="960" w:type="dxa"/>
            <w:noWrap/>
            <w:hideMark/>
          </w:tcPr>
          <w:p w14:paraId="610F9C6D" w14:textId="77777777" w:rsidR="0060285F" w:rsidRPr="0060285F" w:rsidRDefault="0060285F" w:rsidP="0060285F">
            <w:pPr>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year</w:t>
            </w:r>
          </w:p>
        </w:tc>
        <w:tc>
          <w:tcPr>
            <w:tcW w:w="1409" w:type="dxa"/>
            <w:noWrap/>
            <w:hideMark/>
          </w:tcPr>
          <w:p w14:paraId="2EF0FA75" w14:textId="77777777" w:rsidR="0060285F" w:rsidRPr="0060285F" w:rsidRDefault="0060285F" w:rsidP="0060285F">
            <w:pPr>
              <w:rPr>
                <w:rFonts w:ascii="Aptos Narrow" w:eastAsia="Times New Roman" w:hAnsi="Aptos Narrow" w:cs="Times New Roman"/>
                <w:color w:val="000000"/>
                <w:kern w:val="0"/>
                <w:sz w:val="22"/>
                <w:szCs w:val="22"/>
                <w14:ligatures w14:val="none"/>
              </w:rPr>
            </w:pPr>
            <w:proofErr w:type="spellStart"/>
            <w:r w:rsidRPr="0060285F">
              <w:rPr>
                <w:rFonts w:ascii="Aptos Narrow" w:eastAsia="Times New Roman" w:hAnsi="Aptos Narrow" w:cs="Times New Roman"/>
                <w:color w:val="000000"/>
                <w:kern w:val="0"/>
                <w:sz w:val="22"/>
                <w:szCs w:val="22"/>
                <w14:ligatures w14:val="none"/>
              </w:rPr>
              <w:t>country_code</w:t>
            </w:r>
            <w:proofErr w:type="spellEnd"/>
          </w:p>
        </w:tc>
        <w:tc>
          <w:tcPr>
            <w:tcW w:w="1966" w:type="dxa"/>
            <w:noWrap/>
            <w:hideMark/>
          </w:tcPr>
          <w:p w14:paraId="6DC533D1" w14:textId="77777777" w:rsidR="0060285F" w:rsidRPr="0060285F" w:rsidRDefault="0060285F" w:rsidP="0060285F">
            <w:pPr>
              <w:rPr>
                <w:rFonts w:ascii="Aptos Narrow" w:eastAsia="Times New Roman" w:hAnsi="Aptos Narrow" w:cs="Times New Roman"/>
                <w:color w:val="000000"/>
                <w:kern w:val="0"/>
                <w:sz w:val="22"/>
                <w:szCs w:val="22"/>
                <w14:ligatures w14:val="none"/>
              </w:rPr>
            </w:pPr>
            <w:proofErr w:type="spellStart"/>
            <w:r w:rsidRPr="0060285F">
              <w:rPr>
                <w:rFonts w:ascii="Aptos Narrow" w:eastAsia="Times New Roman" w:hAnsi="Aptos Narrow" w:cs="Times New Roman"/>
                <w:color w:val="000000"/>
                <w:kern w:val="0"/>
                <w:sz w:val="22"/>
                <w:szCs w:val="22"/>
                <w14:ligatures w14:val="none"/>
              </w:rPr>
              <w:t>country_code_letter</w:t>
            </w:r>
            <w:proofErr w:type="spellEnd"/>
          </w:p>
        </w:tc>
        <w:tc>
          <w:tcPr>
            <w:tcW w:w="1332" w:type="dxa"/>
            <w:noWrap/>
            <w:hideMark/>
          </w:tcPr>
          <w:p w14:paraId="4161C68C" w14:textId="77777777" w:rsidR="0060285F" w:rsidRPr="0060285F" w:rsidRDefault="0060285F" w:rsidP="0060285F">
            <w:pPr>
              <w:rPr>
                <w:rFonts w:ascii="Aptos Narrow" w:eastAsia="Times New Roman" w:hAnsi="Aptos Narrow" w:cs="Times New Roman"/>
                <w:color w:val="000000"/>
                <w:kern w:val="0"/>
                <w:sz w:val="22"/>
                <w:szCs w:val="22"/>
                <w14:ligatures w14:val="none"/>
              </w:rPr>
            </w:pPr>
            <w:proofErr w:type="spellStart"/>
            <w:r w:rsidRPr="0060285F">
              <w:rPr>
                <w:rFonts w:ascii="Aptos Narrow" w:eastAsia="Times New Roman" w:hAnsi="Aptos Narrow" w:cs="Times New Roman"/>
                <w:color w:val="000000"/>
                <w:kern w:val="0"/>
                <w:sz w:val="22"/>
                <w:szCs w:val="22"/>
                <w14:ligatures w14:val="none"/>
              </w:rPr>
              <w:t>HDI_value</w:t>
            </w:r>
            <w:proofErr w:type="spellEnd"/>
          </w:p>
        </w:tc>
        <w:tc>
          <w:tcPr>
            <w:tcW w:w="1468" w:type="dxa"/>
            <w:noWrap/>
            <w:hideMark/>
          </w:tcPr>
          <w:p w14:paraId="5F0AB8CE" w14:textId="77777777" w:rsidR="0060285F" w:rsidRPr="0060285F" w:rsidRDefault="0060285F" w:rsidP="0060285F">
            <w:pPr>
              <w:rPr>
                <w:rFonts w:ascii="Aptos Narrow" w:eastAsia="Times New Roman" w:hAnsi="Aptos Narrow" w:cs="Times New Roman"/>
                <w:color w:val="000000"/>
                <w:kern w:val="0"/>
                <w:sz w:val="22"/>
                <w:szCs w:val="22"/>
                <w14:ligatures w14:val="none"/>
              </w:rPr>
            </w:pPr>
            <w:proofErr w:type="spellStart"/>
            <w:r w:rsidRPr="0060285F">
              <w:rPr>
                <w:rFonts w:ascii="Aptos Narrow" w:eastAsia="Times New Roman" w:hAnsi="Aptos Narrow" w:cs="Times New Roman"/>
                <w:color w:val="000000"/>
                <w:kern w:val="0"/>
                <w:sz w:val="22"/>
                <w:szCs w:val="22"/>
                <w14:ligatures w14:val="none"/>
              </w:rPr>
              <w:t>dollar_per_capita</w:t>
            </w:r>
            <w:proofErr w:type="spellEnd"/>
          </w:p>
        </w:tc>
      </w:tr>
      <w:tr w:rsidR="0060285F" w:rsidRPr="0060285F" w14:paraId="4852393D" w14:textId="77777777" w:rsidTr="0060285F">
        <w:trPr>
          <w:gridAfter w:val="1"/>
          <w:wAfter w:w="1164" w:type="dxa"/>
          <w:trHeight w:val="288"/>
        </w:trPr>
        <w:tc>
          <w:tcPr>
            <w:tcW w:w="960" w:type="dxa"/>
            <w:noWrap/>
            <w:hideMark/>
          </w:tcPr>
          <w:p w14:paraId="4D43F8D9" w14:textId="77777777" w:rsidR="0060285F" w:rsidRPr="0060285F" w:rsidRDefault="0060285F" w:rsidP="0060285F">
            <w:pPr>
              <w:jc w:val="right"/>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2013</w:t>
            </w:r>
          </w:p>
        </w:tc>
        <w:tc>
          <w:tcPr>
            <w:tcW w:w="1409" w:type="dxa"/>
            <w:noWrap/>
            <w:hideMark/>
          </w:tcPr>
          <w:p w14:paraId="43AE8655" w14:textId="77777777" w:rsidR="0060285F" w:rsidRPr="0060285F" w:rsidRDefault="0060285F" w:rsidP="0060285F">
            <w:pPr>
              <w:jc w:val="right"/>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68</w:t>
            </w:r>
          </w:p>
        </w:tc>
        <w:tc>
          <w:tcPr>
            <w:tcW w:w="1966" w:type="dxa"/>
            <w:noWrap/>
            <w:hideMark/>
          </w:tcPr>
          <w:p w14:paraId="19643B21" w14:textId="77777777" w:rsidR="0060285F" w:rsidRPr="0060285F" w:rsidRDefault="0060285F" w:rsidP="0060285F">
            <w:pPr>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BOL</w:t>
            </w:r>
          </w:p>
        </w:tc>
        <w:tc>
          <w:tcPr>
            <w:tcW w:w="1332" w:type="dxa"/>
            <w:noWrap/>
            <w:hideMark/>
          </w:tcPr>
          <w:p w14:paraId="353D2912" w14:textId="77777777" w:rsidR="0060285F" w:rsidRPr="0060285F" w:rsidRDefault="0060285F" w:rsidP="0060285F">
            <w:pPr>
              <w:jc w:val="right"/>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0.681</w:t>
            </w:r>
          </w:p>
        </w:tc>
        <w:tc>
          <w:tcPr>
            <w:tcW w:w="1468" w:type="dxa"/>
            <w:noWrap/>
            <w:hideMark/>
          </w:tcPr>
          <w:p w14:paraId="065D6757" w14:textId="77777777" w:rsidR="0060285F" w:rsidRPr="0060285F" w:rsidRDefault="0060285F" w:rsidP="0060285F">
            <w:pPr>
              <w:jc w:val="right"/>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625.58</w:t>
            </w:r>
          </w:p>
        </w:tc>
      </w:tr>
      <w:tr w:rsidR="0060285F" w:rsidRPr="0060285F" w14:paraId="7D6A82AB" w14:textId="77777777" w:rsidTr="0060285F">
        <w:trPr>
          <w:trHeight w:val="288"/>
        </w:trPr>
        <w:tc>
          <w:tcPr>
            <w:tcW w:w="960" w:type="dxa"/>
            <w:noWrap/>
            <w:hideMark/>
          </w:tcPr>
          <w:p w14:paraId="5B9BC3A1" w14:textId="77777777" w:rsidR="0060285F" w:rsidRPr="0060285F" w:rsidRDefault="0060285F" w:rsidP="0060285F">
            <w:pPr>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year</w:t>
            </w:r>
          </w:p>
        </w:tc>
        <w:tc>
          <w:tcPr>
            <w:tcW w:w="1409" w:type="dxa"/>
            <w:noWrap/>
            <w:hideMark/>
          </w:tcPr>
          <w:p w14:paraId="01ACEC4E" w14:textId="77777777" w:rsidR="0060285F" w:rsidRPr="0060285F" w:rsidRDefault="0060285F" w:rsidP="0060285F">
            <w:pPr>
              <w:rPr>
                <w:rFonts w:ascii="Aptos Narrow" w:eastAsia="Times New Roman" w:hAnsi="Aptos Narrow" w:cs="Times New Roman"/>
                <w:color w:val="000000"/>
                <w:kern w:val="0"/>
                <w:sz w:val="22"/>
                <w:szCs w:val="22"/>
                <w14:ligatures w14:val="none"/>
              </w:rPr>
            </w:pPr>
            <w:proofErr w:type="spellStart"/>
            <w:r w:rsidRPr="0060285F">
              <w:rPr>
                <w:rFonts w:ascii="Aptos Narrow" w:eastAsia="Times New Roman" w:hAnsi="Aptos Narrow" w:cs="Times New Roman"/>
                <w:color w:val="000000"/>
                <w:kern w:val="0"/>
                <w:sz w:val="22"/>
                <w:szCs w:val="22"/>
                <w14:ligatures w14:val="none"/>
              </w:rPr>
              <w:t>country_code</w:t>
            </w:r>
            <w:proofErr w:type="spellEnd"/>
          </w:p>
        </w:tc>
        <w:tc>
          <w:tcPr>
            <w:tcW w:w="1966" w:type="dxa"/>
            <w:noWrap/>
            <w:hideMark/>
          </w:tcPr>
          <w:p w14:paraId="61F226A1" w14:textId="77777777" w:rsidR="0060285F" w:rsidRPr="0060285F" w:rsidRDefault="0060285F" w:rsidP="0060285F">
            <w:pPr>
              <w:rPr>
                <w:rFonts w:ascii="Aptos Narrow" w:eastAsia="Times New Roman" w:hAnsi="Aptos Narrow" w:cs="Times New Roman"/>
                <w:color w:val="000000"/>
                <w:kern w:val="0"/>
                <w:sz w:val="22"/>
                <w:szCs w:val="22"/>
                <w14:ligatures w14:val="none"/>
              </w:rPr>
            </w:pPr>
            <w:proofErr w:type="spellStart"/>
            <w:r w:rsidRPr="0060285F">
              <w:rPr>
                <w:rFonts w:ascii="Aptos Narrow" w:eastAsia="Times New Roman" w:hAnsi="Aptos Narrow" w:cs="Times New Roman"/>
                <w:color w:val="000000"/>
                <w:kern w:val="0"/>
                <w:sz w:val="22"/>
                <w:szCs w:val="22"/>
                <w14:ligatures w14:val="none"/>
              </w:rPr>
              <w:t>country_code_letter</w:t>
            </w:r>
            <w:proofErr w:type="spellEnd"/>
          </w:p>
        </w:tc>
        <w:tc>
          <w:tcPr>
            <w:tcW w:w="1332" w:type="dxa"/>
            <w:noWrap/>
            <w:hideMark/>
          </w:tcPr>
          <w:p w14:paraId="21C0D478" w14:textId="77777777" w:rsidR="0060285F" w:rsidRPr="0060285F" w:rsidRDefault="0060285F" w:rsidP="0060285F">
            <w:pPr>
              <w:rPr>
                <w:rFonts w:ascii="Aptos Narrow" w:eastAsia="Times New Roman" w:hAnsi="Aptos Narrow" w:cs="Times New Roman"/>
                <w:color w:val="000000"/>
                <w:kern w:val="0"/>
                <w:sz w:val="22"/>
                <w:szCs w:val="22"/>
                <w14:ligatures w14:val="none"/>
              </w:rPr>
            </w:pPr>
            <w:proofErr w:type="spellStart"/>
            <w:r w:rsidRPr="0060285F">
              <w:rPr>
                <w:rFonts w:ascii="Aptos Narrow" w:eastAsia="Times New Roman" w:hAnsi="Aptos Narrow" w:cs="Times New Roman"/>
                <w:color w:val="000000"/>
                <w:kern w:val="0"/>
                <w:sz w:val="22"/>
                <w:szCs w:val="22"/>
                <w14:ligatures w14:val="none"/>
              </w:rPr>
              <w:t>dollar_value</w:t>
            </w:r>
            <w:proofErr w:type="spellEnd"/>
          </w:p>
        </w:tc>
        <w:tc>
          <w:tcPr>
            <w:tcW w:w="1468" w:type="dxa"/>
            <w:noWrap/>
            <w:hideMark/>
          </w:tcPr>
          <w:p w14:paraId="7DA3D23C" w14:textId="77777777" w:rsidR="0060285F" w:rsidRPr="0060285F" w:rsidRDefault="0060285F" w:rsidP="0060285F">
            <w:pPr>
              <w:rPr>
                <w:rFonts w:ascii="Aptos Narrow" w:eastAsia="Times New Roman" w:hAnsi="Aptos Narrow" w:cs="Times New Roman"/>
                <w:color w:val="000000"/>
                <w:kern w:val="0"/>
                <w:sz w:val="22"/>
                <w:szCs w:val="22"/>
                <w14:ligatures w14:val="none"/>
              </w:rPr>
            </w:pPr>
            <w:proofErr w:type="spellStart"/>
            <w:r w:rsidRPr="0060285F">
              <w:rPr>
                <w:rFonts w:ascii="Aptos Narrow" w:eastAsia="Times New Roman" w:hAnsi="Aptos Narrow" w:cs="Times New Roman"/>
                <w:color w:val="000000"/>
                <w:kern w:val="0"/>
                <w:sz w:val="22"/>
                <w:szCs w:val="22"/>
                <w14:ligatures w14:val="none"/>
              </w:rPr>
              <w:t>HDI_value</w:t>
            </w:r>
            <w:proofErr w:type="spellEnd"/>
          </w:p>
        </w:tc>
        <w:tc>
          <w:tcPr>
            <w:tcW w:w="1164" w:type="dxa"/>
            <w:noWrap/>
            <w:hideMark/>
          </w:tcPr>
          <w:p w14:paraId="10C5556A" w14:textId="77777777" w:rsidR="0060285F" w:rsidRPr="0060285F" w:rsidRDefault="0060285F" w:rsidP="0060285F">
            <w:pPr>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population</w:t>
            </w:r>
          </w:p>
        </w:tc>
      </w:tr>
      <w:tr w:rsidR="0060285F" w:rsidRPr="0060285F" w14:paraId="2D5E7144" w14:textId="77777777" w:rsidTr="0060285F">
        <w:trPr>
          <w:trHeight w:val="288"/>
        </w:trPr>
        <w:tc>
          <w:tcPr>
            <w:tcW w:w="960" w:type="dxa"/>
            <w:noWrap/>
            <w:hideMark/>
          </w:tcPr>
          <w:p w14:paraId="7A23DF0A" w14:textId="77777777" w:rsidR="0060285F" w:rsidRPr="0060285F" w:rsidRDefault="0060285F" w:rsidP="0060285F">
            <w:pPr>
              <w:jc w:val="right"/>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2013</w:t>
            </w:r>
          </w:p>
        </w:tc>
        <w:tc>
          <w:tcPr>
            <w:tcW w:w="1409" w:type="dxa"/>
            <w:noWrap/>
            <w:hideMark/>
          </w:tcPr>
          <w:p w14:paraId="4D308BD3" w14:textId="77777777" w:rsidR="0060285F" w:rsidRPr="0060285F" w:rsidRDefault="0060285F" w:rsidP="0060285F">
            <w:pPr>
              <w:jc w:val="right"/>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68</w:t>
            </w:r>
          </w:p>
        </w:tc>
        <w:tc>
          <w:tcPr>
            <w:tcW w:w="1966" w:type="dxa"/>
            <w:noWrap/>
            <w:hideMark/>
          </w:tcPr>
          <w:p w14:paraId="5A710DF8" w14:textId="77777777" w:rsidR="0060285F" w:rsidRPr="0060285F" w:rsidRDefault="0060285F" w:rsidP="0060285F">
            <w:pPr>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BOL</w:t>
            </w:r>
          </w:p>
        </w:tc>
        <w:tc>
          <w:tcPr>
            <w:tcW w:w="1332" w:type="dxa"/>
            <w:noWrap/>
            <w:hideMark/>
          </w:tcPr>
          <w:p w14:paraId="3E31C7A6" w14:textId="181DCF4B" w:rsidR="0060285F" w:rsidRPr="0060285F" w:rsidRDefault="0060285F" w:rsidP="0060285F">
            <w:pPr>
              <w:jc w:val="right"/>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6682831619</w:t>
            </w:r>
          </w:p>
        </w:tc>
        <w:tc>
          <w:tcPr>
            <w:tcW w:w="1468" w:type="dxa"/>
            <w:noWrap/>
            <w:hideMark/>
          </w:tcPr>
          <w:p w14:paraId="16C4FC01" w14:textId="77777777" w:rsidR="0060285F" w:rsidRPr="0060285F" w:rsidRDefault="0060285F" w:rsidP="0060285F">
            <w:pPr>
              <w:jc w:val="right"/>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0.681</w:t>
            </w:r>
          </w:p>
        </w:tc>
        <w:tc>
          <w:tcPr>
            <w:tcW w:w="1164" w:type="dxa"/>
            <w:noWrap/>
            <w:hideMark/>
          </w:tcPr>
          <w:p w14:paraId="1E047DE5" w14:textId="77777777" w:rsidR="0060285F" w:rsidRPr="0060285F" w:rsidRDefault="0060285F" w:rsidP="0060285F">
            <w:pPr>
              <w:jc w:val="right"/>
              <w:rPr>
                <w:rFonts w:ascii="Aptos Narrow" w:eastAsia="Times New Roman" w:hAnsi="Aptos Narrow" w:cs="Times New Roman"/>
                <w:color w:val="000000"/>
                <w:kern w:val="0"/>
                <w:sz w:val="22"/>
                <w:szCs w:val="22"/>
                <w14:ligatures w14:val="none"/>
              </w:rPr>
            </w:pPr>
            <w:r w:rsidRPr="0060285F">
              <w:rPr>
                <w:rFonts w:ascii="Aptos Narrow" w:eastAsia="Times New Roman" w:hAnsi="Aptos Narrow" w:cs="Times New Roman"/>
                <w:color w:val="000000"/>
                <w:kern w:val="0"/>
                <w:sz w:val="22"/>
                <w:szCs w:val="22"/>
                <w14:ligatures w14:val="none"/>
              </w:rPr>
              <w:t>10682608</w:t>
            </w:r>
          </w:p>
        </w:tc>
      </w:tr>
    </w:tbl>
    <w:p w14:paraId="7F2AC516" w14:textId="79D9013F" w:rsidR="0060285F" w:rsidRDefault="0060285F" w:rsidP="00480444">
      <w:pPr>
        <w:sectPr w:rsidR="0060285F" w:rsidSect="00D3584B">
          <w:footerReference w:type="default" r:id="rId13"/>
          <w:type w:val="continuous"/>
          <w:pgSz w:w="12240" w:h="15840"/>
          <w:pgMar w:top="1440" w:right="1440" w:bottom="1440" w:left="1440" w:header="720" w:footer="720" w:gutter="0"/>
          <w:cols w:space="720"/>
          <w:docGrid w:linePitch="360"/>
        </w:sectPr>
      </w:pPr>
    </w:p>
    <w:p w14:paraId="2E641233" w14:textId="77777777" w:rsidR="00480444" w:rsidRDefault="00480444" w:rsidP="00480444">
      <w:r>
        <w:lastRenderedPageBreak/>
        <w:t>Figure 1a: 2D scatter plot of decade HDI value against Exports per Capita (dollars)</w:t>
      </w:r>
    </w:p>
    <w:p w14:paraId="501AFDE0" w14:textId="77777777" w:rsidR="00480444" w:rsidRDefault="00480444" w:rsidP="00480444">
      <w:r>
        <w:rPr>
          <w:noProof/>
        </w:rPr>
        <w:drawing>
          <wp:inline distT="0" distB="0" distL="0" distR="0" wp14:anchorId="7B065B2E" wp14:editId="774F9865">
            <wp:extent cx="3429000" cy="1873495"/>
            <wp:effectExtent l="0" t="0" r="0" b="0"/>
            <wp:docPr id="1735029463" name="Picture 2" descr="A graph showing different resources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29463" name="Picture 2" descr="A graph showing different resources typ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0" cy="1873495"/>
                    </a:xfrm>
                    <a:prstGeom prst="rect">
                      <a:avLst/>
                    </a:prstGeom>
                  </pic:spPr>
                </pic:pic>
              </a:graphicData>
            </a:graphic>
          </wp:inline>
        </w:drawing>
      </w:r>
    </w:p>
    <w:p w14:paraId="368A61ED" w14:textId="77777777" w:rsidR="00480444" w:rsidRDefault="00480444" w:rsidP="00480444">
      <w:r>
        <w:t>Figure 1b: 3D scatter plot of HDI value against Exports per Capita in Dollars against year</w:t>
      </w:r>
      <w:r>
        <w:rPr>
          <w:noProof/>
        </w:rPr>
        <w:drawing>
          <wp:inline distT="0" distB="0" distL="0" distR="0" wp14:anchorId="13BEA623" wp14:editId="149A1CCD">
            <wp:extent cx="3343839" cy="3360420"/>
            <wp:effectExtent l="0" t="0" r="9525" b="0"/>
            <wp:docPr id="1844562519" name="Picture 1" descr="A graph of 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62519" name="Picture 1" descr="A graph of a graph showing different types of data&#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4103" t="923" r="8333" b="5540"/>
                    <a:stretch>
                      <a:fillRect/>
                    </a:stretch>
                  </pic:blipFill>
                  <pic:spPr bwMode="auto">
                    <a:xfrm>
                      <a:off x="0" y="0"/>
                      <a:ext cx="3343839" cy="3360420"/>
                    </a:xfrm>
                    <a:prstGeom prst="rect">
                      <a:avLst/>
                    </a:prstGeom>
                    <a:noFill/>
                    <a:ln>
                      <a:noFill/>
                    </a:ln>
                    <a:extLst>
                      <a:ext uri="{53640926-AAD7-44D8-BBD7-CCE9431645EC}">
                        <a14:shadowObscured xmlns:a14="http://schemas.microsoft.com/office/drawing/2010/main"/>
                      </a:ext>
                    </a:extLst>
                  </pic:spPr>
                </pic:pic>
              </a:graphicData>
            </a:graphic>
          </wp:inline>
        </w:drawing>
      </w:r>
    </w:p>
    <w:p w14:paraId="75DB9BFC" w14:textId="77777777" w:rsidR="00480444" w:rsidRDefault="00480444" w:rsidP="00480444">
      <w:pPr>
        <w:pStyle w:val="Heading1"/>
      </w:pPr>
      <w:r>
        <w:t>Methods</w:t>
      </w:r>
    </w:p>
    <w:p w14:paraId="04FBF90D" w14:textId="5C719207" w:rsidR="00480444" w:rsidRDefault="00480444" w:rsidP="00480444">
      <w:r>
        <w:t xml:space="preserve">Analysis was performed on standardized dataset of exports-per-capita / HDI data across 2010-2020 for all five resources: oil, ore, rare earth metals, wood, and wheat. Three types of analysis method were explored. Manual adjustments of hyperparameters </w:t>
      </w:r>
      <w:proofErr w:type="gramStart"/>
      <w:r>
        <w:t>was</w:t>
      </w:r>
      <w:proofErr w:type="gramEnd"/>
      <w:r>
        <w:t xml:space="preserve"> used for all methods, as well as filtering.</w:t>
      </w:r>
      <w:r w:rsidR="00E01DD9">
        <w:t xml:space="preserve"> All regressions started at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0.1, 0.1</m:t>
            </m:r>
          </m:e>
        </m:d>
      </m:oMath>
      <w:r w:rsidR="00E01DD9">
        <w:t>, using the converse of the fundamental assumption underpinning resource-led growth.</w:t>
      </w:r>
    </w:p>
    <w:p w14:paraId="518E2DC8" w14:textId="77777777" w:rsidR="00480444" w:rsidRDefault="00480444" w:rsidP="00480444">
      <w:pPr>
        <w:pStyle w:val="Heading2"/>
      </w:pPr>
      <w:r>
        <w:lastRenderedPageBreak/>
        <w:t>Method A: Clustering</w:t>
      </w:r>
    </w:p>
    <w:p w14:paraId="567F2520" w14:textId="6DBA65E8" w:rsidR="00480444" w:rsidRPr="00E01DD9" w:rsidRDefault="00480444" w:rsidP="00480444">
      <w:r w:rsidRPr="00EB4909">
        <w:t>Data were partitioned using the K-Means algorithm</w:t>
      </w:r>
      <w:r w:rsidRPr="001F34CE">
        <w:t xml:space="preserve"> </w:t>
      </w:r>
      <w:r>
        <w:t>to identify specific parts of trends</w:t>
      </w:r>
      <w:r w:rsidRPr="00EB4909">
        <w:t xml:space="preserve">, with each observation assigned to one of </w:t>
      </w:r>
      <w:r w:rsidRPr="00EB4909">
        <w:rPr>
          <w:i/>
          <w:iCs/>
        </w:rPr>
        <w:t>n</w:t>
      </w:r>
      <w:r w:rsidRPr="00EB4909">
        <w:t xml:space="preserve"> clusters</w:t>
      </w:r>
      <w:r w:rsidR="00E01DD9">
        <w:t>, the number of which differed between each resource type depending on clustering</w:t>
      </w:r>
      <w:r>
        <w:t xml:space="preserve">. </w:t>
      </w:r>
      <w:r>
        <w:rPr>
          <w:i/>
          <w:iCs/>
        </w:rPr>
        <w:t>n</w:t>
      </w:r>
      <w:r>
        <w:t xml:space="preserve"> </w:t>
      </w:r>
      <w:r w:rsidRPr="001F34CE">
        <w:t>was</w:t>
      </w:r>
      <w:r>
        <w:t xml:space="preserve"> manually adjusted as a hyperparameter to achieve relevant </w:t>
      </w:r>
      <w:proofErr w:type="spellStart"/>
      <w:r>
        <w:t>clusterings</w:t>
      </w:r>
      <w:proofErr w:type="spellEnd"/>
      <w:r>
        <w:t xml:space="preserve"> supporting our hypothesis. Of note are </w:t>
      </w:r>
      <w:proofErr w:type="spellStart"/>
      <w:r>
        <w:t>clusterings</w:t>
      </w:r>
      <w:proofErr w:type="spellEnd"/>
      <w:r>
        <w:t xml:space="preserve"> in the lower half or left of graphs indicating low HDI with medium to high resource exports, which would be one possible indicative sign of a resource curse. Also interesting are patterns shown by distributions of extremely high resource exports (&gt;$5000 per capita).</w:t>
      </w:r>
      <w:r w:rsidR="00E01DD9">
        <w:t xml:space="preserve"> These would test the limits of the </w:t>
      </w:r>
      <w:r w:rsidR="00E01DD9">
        <w:rPr>
          <w:i/>
          <w:iCs/>
        </w:rPr>
        <w:t>resource curse</w:t>
      </w:r>
      <w:r w:rsidR="00E01DD9">
        <w:t xml:space="preserve"> model, particularly its linearity</w:t>
      </w:r>
      <w:r w:rsidR="00136092">
        <w:t xml:space="preserve"> as resource exports reach very high levels.</w:t>
      </w:r>
    </w:p>
    <w:p w14:paraId="66C023CD" w14:textId="77777777" w:rsidR="00480444" w:rsidRDefault="00480444" w:rsidP="00480444">
      <w:pPr>
        <w:pStyle w:val="Heading3"/>
      </w:pPr>
      <w:r>
        <w:t>Oil</w:t>
      </w:r>
    </w:p>
    <w:p w14:paraId="52AD01FA" w14:textId="59F67A80" w:rsidR="00D25382" w:rsidRPr="00D25382" w:rsidRDefault="00D25382" w:rsidP="00D25382">
      <w:pPr>
        <w:pStyle w:val="Quote"/>
      </w:pPr>
      <w:r w:rsidRPr="00FE44B8">
        <w:t>2013,</w:t>
      </w:r>
      <w:proofErr w:type="gramStart"/>
      <w:r w:rsidRPr="00FE44B8">
        <w:t>634,QAT</w:t>
      </w:r>
      <w:proofErr w:type="gramEnd"/>
      <w:r w:rsidRPr="00FE44B8">
        <w:t>,0.852,62616.56</w:t>
      </w:r>
    </w:p>
    <w:p w14:paraId="0F90C1D7" w14:textId="24FEE97C" w:rsidR="00873A80" w:rsidRDefault="00D25382" w:rsidP="00480444">
      <w:r>
        <w:t xml:space="preserve">Oil was by far the most valuable of all exports and unsurprisingly also showed the most convincing correlation between exports and HDI. For example, the largest export value in dollars per capita recorded in our data was $62616.56 per capita for Qatar in 2013. </w:t>
      </w:r>
      <w:r w:rsidR="00480444">
        <w:t xml:space="preserve">It would be expected that with such massively profitable should immediately improve the quality of life, but it appears not so, especially with Cluster 0 and Cluster 1 (Fig. </w:t>
      </w:r>
      <w:r w:rsidR="00EC5B92">
        <w:t>3</w:t>
      </w:r>
      <w:r w:rsidR="00480444">
        <w:t xml:space="preserve">a). </w:t>
      </w:r>
      <w:r>
        <w:t>Returning to the Qatar example, whose exports per capita in oil alone rival the GDP per capita of other countries, Qatar possesses a moderately-high HDI of 0.852. For comparison, the United States had an HDI of 0.922 and a per-capita export level of $4</w:t>
      </w:r>
      <w:r w:rsidRPr="00D25382">
        <w:t>70.44</w:t>
      </w:r>
      <w:r>
        <w:t xml:space="preserve"> in 2013.</w:t>
      </w:r>
    </w:p>
    <w:p w14:paraId="3CF0BCFD" w14:textId="7BEDBEEE" w:rsidR="00873A80" w:rsidRDefault="00A24BAE" w:rsidP="00480444">
      <w:r>
        <w:t>Clusters 2, 3, and 4 were of less interest to our hypothesis due to their high HDIs or low export values. Thus, we present an analysis of the extreme clusters 0 and 1, representing medium-export/low-HDI and medium-HDI/high-export, respectively (Fig</w:t>
      </w:r>
      <w:r w:rsidR="00EC5B92">
        <w:t>.</w:t>
      </w:r>
      <w:r>
        <w:t xml:space="preserve"> 3). </w:t>
      </w:r>
      <w:r w:rsidR="00873A80">
        <w:t>We will analyze to take examples from 2013 as a matter of simplicity</w:t>
      </w:r>
      <w:r w:rsidR="00032451">
        <w:t xml:space="preserve"> (Fig</w:t>
      </w:r>
      <w:r w:rsidR="00EC5B92">
        <w:t>.</w:t>
      </w:r>
      <w:r w:rsidR="00032451">
        <w:t xml:space="preserve"> </w:t>
      </w:r>
      <w:r>
        <w:t>2</w:t>
      </w:r>
      <w:r w:rsidR="00032451">
        <w:t>)</w:t>
      </w:r>
      <w:r w:rsidR="00873A80">
        <w:t>, although our data stretches from 2010-2020.</w:t>
      </w:r>
      <w:r>
        <w:t xml:space="preserve"> Cluster 0 represents a cluster of oil-rich Gulf countries and Cluster 1 represented a series of highly corrupt or unstable countries.</w:t>
      </w:r>
      <w:r w:rsidR="00FD716C">
        <w:t xml:space="preserve"> The particularities of the political situation making Cluster 0’s position possible, Cluster 1 is truly deserving of analysis. </w:t>
      </w:r>
      <w:r w:rsidR="00FD716C" w:rsidRPr="00FD716C">
        <w:t xml:space="preserve">These were found to be generally equatorial countries with historical oil production but high ongoing corruption or instability.  These were found to be A particularly emblematic country representative of Cluster 1 was Angola, which can be singled out for its rife corruption. Despite the state-owned oil Sonangol making massive revenues </w:t>
      </w:r>
      <w:proofErr w:type="gramStart"/>
      <w:r w:rsidR="00FD716C" w:rsidRPr="00FD716C">
        <w:t>in excess of</w:t>
      </w:r>
      <w:proofErr w:type="gramEnd"/>
      <w:r w:rsidR="00FD716C" w:rsidRPr="00FD716C">
        <w:t xml:space="preserve"> $10 billion on the monopoly it enjoys on petroleum and natural gas exports, equating to over $1000 per capita, much of the country outside of Luanda is still in poverty and practices subsistence farming.</w:t>
      </w:r>
    </w:p>
    <w:p w14:paraId="121F3996" w14:textId="392CDB1F" w:rsidR="00427847" w:rsidRDefault="00427847" w:rsidP="00480444">
      <w:r w:rsidRPr="00427847">
        <w:t xml:space="preserve">Figure </w:t>
      </w:r>
      <w:r>
        <w:t>2</w:t>
      </w:r>
      <w:r w:rsidRPr="00427847">
        <w:t>: selected 2013 data of Cluster 0, 1, 2 of Oil Exports in Dollars per Capita</w:t>
      </w:r>
    </w:p>
    <w:tbl>
      <w:tblPr>
        <w:tblStyle w:val="TableGrid"/>
        <w:tblW w:w="5794" w:type="dxa"/>
        <w:jc w:val="center"/>
        <w:tblLook w:val="04A0" w:firstRow="1" w:lastRow="0" w:firstColumn="1" w:lastColumn="0" w:noHBand="0" w:noVBand="1"/>
      </w:tblPr>
      <w:tblGrid>
        <w:gridCol w:w="2160"/>
        <w:gridCol w:w="968"/>
        <w:gridCol w:w="1223"/>
        <w:gridCol w:w="1443"/>
      </w:tblGrid>
      <w:tr w:rsidR="00A24BAE" w:rsidRPr="00F5139B" w14:paraId="33E4EC07" w14:textId="77777777" w:rsidTr="00A2738B">
        <w:trPr>
          <w:trHeight w:val="288"/>
          <w:jc w:val="center"/>
        </w:trPr>
        <w:tc>
          <w:tcPr>
            <w:tcW w:w="2160" w:type="dxa"/>
            <w:noWrap/>
            <w:hideMark/>
          </w:tcPr>
          <w:p w14:paraId="19DAE672" w14:textId="77777777" w:rsidR="00A24BAE" w:rsidRPr="00F5139B" w:rsidRDefault="00A24BAE" w:rsidP="0003245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lastRenderedPageBreak/>
              <w:t>Country</w:t>
            </w:r>
          </w:p>
        </w:tc>
        <w:tc>
          <w:tcPr>
            <w:tcW w:w="968" w:type="dxa"/>
          </w:tcPr>
          <w:p w14:paraId="61B1BBAA" w14:textId="6F8DBB91" w:rsidR="00A24BAE" w:rsidRPr="00F5139B" w:rsidRDefault="00A24BAE" w:rsidP="0003245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w:t>
            </w:r>
            <w:r w:rsidRPr="00F5139B">
              <w:rPr>
                <w:rFonts w:ascii="Aptos Narrow" w:eastAsia="Times New Roman" w:hAnsi="Aptos Narrow" w:cs="Times New Roman"/>
                <w:color w:val="000000"/>
                <w:kern w:val="0"/>
                <w:sz w:val="22"/>
                <w:szCs w:val="22"/>
                <w14:ligatures w14:val="none"/>
              </w:rPr>
              <w:t>luster</w:t>
            </w:r>
          </w:p>
        </w:tc>
        <w:tc>
          <w:tcPr>
            <w:tcW w:w="1223" w:type="dxa"/>
            <w:shd w:val="clear" w:color="auto" w:fill="E8E8E8" w:themeFill="background2"/>
            <w:noWrap/>
            <w:hideMark/>
          </w:tcPr>
          <w:p w14:paraId="7DC75623" w14:textId="1F2423F5" w:rsidR="00A24BAE" w:rsidRPr="00F5139B" w:rsidRDefault="00A24BAE" w:rsidP="00032451">
            <w:pPr>
              <w:rPr>
                <w:rFonts w:ascii="Aptos Narrow" w:eastAsia="Times New Roman" w:hAnsi="Aptos Narrow" w:cs="Times New Roman"/>
                <w:color w:val="000000"/>
                <w:kern w:val="0"/>
                <w:sz w:val="22"/>
                <w:szCs w:val="22"/>
                <w14:ligatures w14:val="none"/>
              </w:rPr>
            </w:pPr>
            <w:r w:rsidRPr="00F5139B">
              <w:rPr>
                <w:rFonts w:ascii="Aptos Narrow" w:eastAsia="Times New Roman" w:hAnsi="Aptos Narrow" w:cs="Times New Roman"/>
                <w:color w:val="000000"/>
                <w:kern w:val="0"/>
                <w:sz w:val="22"/>
                <w:szCs w:val="22"/>
                <w14:ligatures w14:val="none"/>
              </w:rPr>
              <w:t>HDI</w:t>
            </w:r>
          </w:p>
        </w:tc>
        <w:tc>
          <w:tcPr>
            <w:tcW w:w="1443" w:type="dxa"/>
            <w:shd w:val="clear" w:color="auto" w:fill="E8E8E8" w:themeFill="background2"/>
            <w:noWrap/>
            <w:hideMark/>
          </w:tcPr>
          <w:p w14:paraId="63407BCB" w14:textId="77777777" w:rsidR="00A24BAE" w:rsidRPr="00F5139B" w:rsidRDefault="00A24BAE" w:rsidP="0003245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Exports ($/c)</w:t>
            </w:r>
          </w:p>
        </w:tc>
      </w:tr>
      <w:tr w:rsidR="00A24BAE" w:rsidRPr="00F5139B" w14:paraId="3846E4FE" w14:textId="77777777" w:rsidTr="00A2738B">
        <w:trPr>
          <w:trHeight w:val="288"/>
          <w:jc w:val="center"/>
        </w:trPr>
        <w:tc>
          <w:tcPr>
            <w:tcW w:w="2160" w:type="dxa"/>
            <w:noWrap/>
            <w:vAlign w:val="bottom"/>
          </w:tcPr>
          <w:p w14:paraId="51B03905" w14:textId="0D738C0C"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 xml:space="preserve">Brunei </w:t>
            </w:r>
          </w:p>
        </w:tc>
        <w:tc>
          <w:tcPr>
            <w:tcW w:w="968" w:type="dxa"/>
            <w:vAlign w:val="bottom"/>
          </w:tcPr>
          <w:p w14:paraId="19D72F6E" w14:textId="44B082F9"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223" w:type="dxa"/>
            <w:shd w:val="clear" w:color="auto" w:fill="E8E8E8" w:themeFill="background2"/>
            <w:noWrap/>
            <w:vAlign w:val="bottom"/>
          </w:tcPr>
          <w:p w14:paraId="708842F7" w14:textId="244C420D"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0.835</w:t>
            </w:r>
          </w:p>
        </w:tc>
        <w:tc>
          <w:tcPr>
            <w:tcW w:w="1443" w:type="dxa"/>
            <w:shd w:val="clear" w:color="auto" w:fill="E8E8E8" w:themeFill="background2"/>
            <w:noWrap/>
            <w:vAlign w:val="bottom"/>
          </w:tcPr>
          <w:p w14:paraId="367DE8E1" w14:textId="1C8EAFB6"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26870.93</w:t>
            </w:r>
          </w:p>
        </w:tc>
      </w:tr>
      <w:tr w:rsidR="00A24BAE" w:rsidRPr="00F5139B" w14:paraId="12C73C64" w14:textId="77777777" w:rsidTr="00A2738B">
        <w:trPr>
          <w:trHeight w:val="288"/>
          <w:jc w:val="center"/>
        </w:trPr>
        <w:tc>
          <w:tcPr>
            <w:tcW w:w="2160" w:type="dxa"/>
            <w:noWrap/>
            <w:vAlign w:val="bottom"/>
          </w:tcPr>
          <w:p w14:paraId="2BC8018A" w14:textId="020B7DAB"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Bahrain</w:t>
            </w:r>
          </w:p>
        </w:tc>
        <w:tc>
          <w:tcPr>
            <w:tcW w:w="968" w:type="dxa"/>
            <w:vAlign w:val="bottom"/>
          </w:tcPr>
          <w:p w14:paraId="015B9FBF" w14:textId="429D5EC0"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223" w:type="dxa"/>
            <w:shd w:val="clear" w:color="auto" w:fill="E8E8E8" w:themeFill="background2"/>
            <w:noWrap/>
            <w:vAlign w:val="bottom"/>
          </w:tcPr>
          <w:p w14:paraId="32EFCD4C" w14:textId="28F79B6E"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0.839</w:t>
            </w:r>
          </w:p>
        </w:tc>
        <w:tc>
          <w:tcPr>
            <w:tcW w:w="1443" w:type="dxa"/>
            <w:shd w:val="clear" w:color="auto" w:fill="E8E8E8" w:themeFill="background2"/>
            <w:noWrap/>
            <w:vAlign w:val="bottom"/>
          </w:tcPr>
          <w:p w14:paraId="34A39EFF" w14:textId="3E129B49"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8121.1</w:t>
            </w:r>
          </w:p>
        </w:tc>
      </w:tr>
      <w:tr w:rsidR="00A24BAE" w:rsidRPr="00F5139B" w14:paraId="71271609" w14:textId="77777777" w:rsidTr="00A2738B">
        <w:trPr>
          <w:trHeight w:val="288"/>
          <w:jc w:val="center"/>
        </w:trPr>
        <w:tc>
          <w:tcPr>
            <w:tcW w:w="2160" w:type="dxa"/>
            <w:noWrap/>
            <w:vAlign w:val="bottom"/>
          </w:tcPr>
          <w:p w14:paraId="2D9D3517" w14:textId="0DE0B302"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Kuwait</w:t>
            </w:r>
          </w:p>
        </w:tc>
        <w:tc>
          <w:tcPr>
            <w:tcW w:w="968" w:type="dxa"/>
            <w:vAlign w:val="bottom"/>
          </w:tcPr>
          <w:p w14:paraId="6E7F35AF" w14:textId="2A48D2DA"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223" w:type="dxa"/>
            <w:shd w:val="clear" w:color="auto" w:fill="E8E8E8" w:themeFill="background2"/>
            <w:noWrap/>
            <w:vAlign w:val="bottom"/>
          </w:tcPr>
          <w:p w14:paraId="030A83C2" w14:textId="6ADC0E9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0.813</w:t>
            </w:r>
          </w:p>
        </w:tc>
        <w:tc>
          <w:tcPr>
            <w:tcW w:w="1443" w:type="dxa"/>
            <w:shd w:val="clear" w:color="auto" w:fill="E8E8E8" w:themeFill="background2"/>
            <w:noWrap/>
            <w:vAlign w:val="bottom"/>
          </w:tcPr>
          <w:p w14:paraId="456D6784" w14:textId="1727C2B8"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30788.14</w:t>
            </w:r>
          </w:p>
        </w:tc>
      </w:tr>
      <w:tr w:rsidR="00A24BAE" w:rsidRPr="00F5139B" w14:paraId="40211ACA" w14:textId="77777777" w:rsidTr="00A2738B">
        <w:trPr>
          <w:trHeight w:val="288"/>
          <w:jc w:val="center"/>
        </w:trPr>
        <w:tc>
          <w:tcPr>
            <w:tcW w:w="2160" w:type="dxa"/>
            <w:noWrap/>
            <w:vAlign w:val="bottom"/>
          </w:tcPr>
          <w:p w14:paraId="2C8AF95D" w14:textId="00401BD0"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Oman</w:t>
            </w:r>
          </w:p>
        </w:tc>
        <w:tc>
          <w:tcPr>
            <w:tcW w:w="968" w:type="dxa"/>
            <w:vAlign w:val="bottom"/>
          </w:tcPr>
          <w:p w14:paraId="00B59399" w14:textId="46CDCCA3"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223" w:type="dxa"/>
            <w:shd w:val="clear" w:color="auto" w:fill="E8E8E8" w:themeFill="background2"/>
            <w:noWrap/>
            <w:vAlign w:val="bottom"/>
          </w:tcPr>
          <w:p w14:paraId="6A8D3AF3" w14:textId="6B65D200"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0.814</w:t>
            </w:r>
          </w:p>
        </w:tc>
        <w:tc>
          <w:tcPr>
            <w:tcW w:w="1443" w:type="dxa"/>
            <w:shd w:val="clear" w:color="auto" w:fill="E8E8E8" w:themeFill="background2"/>
            <w:noWrap/>
            <w:vAlign w:val="bottom"/>
          </w:tcPr>
          <w:p w14:paraId="471B7822" w14:textId="3C363CF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10820.48</w:t>
            </w:r>
          </w:p>
        </w:tc>
      </w:tr>
      <w:tr w:rsidR="00A24BAE" w:rsidRPr="00F5139B" w14:paraId="7E12C581" w14:textId="77777777" w:rsidTr="00A2738B">
        <w:trPr>
          <w:trHeight w:val="288"/>
          <w:jc w:val="center"/>
        </w:trPr>
        <w:tc>
          <w:tcPr>
            <w:tcW w:w="2160" w:type="dxa"/>
            <w:noWrap/>
            <w:vAlign w:val="bottom"/>
          </w:tcPr>
          <w:p w14:paraId="1149A0B8" w14:textId="3677BB00"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Saudi Arabia</w:t>
            </w:r>
          </w:p>
        </w:tc>
        <w:tc>
          <w:tcPr>
            <w:tcW w:w="968" w:type="dxa"/>
            <w:vAlign w:val="bottom"/>
          </w:tcPr>
          <w:p w14:paraId="0709FB24" w14:textId="60306214"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223" w:type="dxa"/>
            <w:shd w:val="clear" w:color="auto" w:fill="E8E8E8" w:themeFill="background2"/>
            <w:noWrap/>
            <w:vAlign w:val="bottom"/>
          </w:tcPr>
          <w:p w14:paraId="50A75E4D" w14:textId="07CCB59B"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0.831</w:t>
            </w:r>
          </w:p>
        </w:tc>
        <w:tc>
          <w:tcPr>
            <w:tcW w:w="1443" w:type="dxa"/>
            <w:shd w:val="clear" w:color="auto" w:fill="E8E8E8" w:themeFill="background2"/>
            <w:noWrap/>
            <w:vAlign w:val="bottom"/>
          </w:tcPr>
          <w:p w14:paraId="3FD9974D" w14:textId="535FBCCC"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11656.53</w:t>
            </w:r>
          </w:p>
        </w:tc>
      </w:tr>
      <w:tr w:rsidR="00A24BAE" w:rsidRPr="00F5139B" w14:paraId="5CC383D8" w14:textId="77777777" w:rsidTr="00A2738B">
        <w:trPr>
          <w:trHeight w:val="288"/>
          <w:jc w:val="center"/>
        </w:trPr>
        <w:tc>
          <w:tcPr>
            <w:tcW w:w="2160" w:type="dxa"/>
            <w:noWrap/>
            <w:vAlign w:val="bottom"/>
          </w:tcPr>
          <w:p w14:paraId="1277EFEF" w14:textId="2A4DD0EF"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United Arab Emirates</w:t>
            </w:r>
          </w:p>
        </w:tc>
        <w:tc>
          <w:tcPr>
            <w:tcW w:w="968" w:type="dxa"/>
            <w:vAlign w:val="bottom"/>
          </w:tcPr>
          <w:p w14:paraId="47C382C7" w14:textId="3B2F837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223" w:type="dxa"/>
            <w:shd w:val="clear" w:color="auto" w:fill="E8E8E8" w:themeFill="background2"/>
            <w:noWrap/>
            <w:vAlign w:val="bottom"/>
          </w:tcPr>
          <w:p w14:paraId="1E3C55BB" w14:textId="1ADAAE83"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0.847</w:t>
            </w:r>
          </w:p>
        </w:tc>
        <w:tc>
          <w:tcPr>
            <w:tcW w:w="1443" w:type="dxa"/>
            <w:shd w:val="clear" w:color="auto" w:fill="E8E8E8" w:themeFill="background2"/>
            <w:noWrap/>
            <w:vAlign w:val="bottom"/>
          </w:tcPr>
          <w:p w14:paraId="0BB1995D" w14:textId="5265873E"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17028.4</w:t>
            </w:r>
          </w:p>
        </w:tc>
      </w:tr>
      <w:tr w:rsidR="00A24BAE" w:rsidRPr="00F5139B" w14:paraId="3371E74A" w14:textId="77777777" w:rsidTr="00A2738B">
        <w:trPr>
          <w:trHeight w:val="288"/>
          <w:jc w:val="center"/>
        </w:trPr>
        <w:tc>
          <w:tcPr>
            <w:tcW w:w="2160" w:type="dxa"/>
            <w:noWrap/>
            <w:vAlign w:val="bottom"/>
          </w:tcPr>
          <w:p w14:paraId="1E47D642" w14:textId="4C3D372B"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Congo</w:t>
            </w:r>
          </w:p>
        </w:tc>
        <w:tc>
          <w:tcPr>
            <w:tcW w:w="968" w:type="dxa"/>
            <w:vAlign w:val="bottom"/>
          </w:tcPr>
          <w:p w14:paraId="7E89A184" w14:textId="52444CC0"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223" w:type="dxa"/>
            <w:shd w:val="clear" w:color="auto" w:fill="E8E8E8" w:themeFill="background2"/>
            <w:noWrap/>
            <w:vAlign w:val="bottom"/>
          </w:tcPr>
          <w:p w14:paraId="44F35B86" w14:textId="7541197C"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0.6</w:t>
            </w:r>
          </w:p>
        </w:tc>
        <w:tc>
          <w:tcPr>
            <w:tcW w:w="1443" w:type="dxa"/>
            <w:shd w:val="clear" w:color="auto" w:fill="E8E8E8" w:themeFill="background2"/>
            <w:noWrap/>
            <w:vAlign w:val="bottom"/>
          </w:tcPr>
          <w:p w14:paraId="470AEA56" w14:textId="5D7B9C89"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1629.37</w:t>
            </w:r>
          </w:p>
        </w:tc>
      </w:tr>
      <w:tr w:rsidR="00A24BAE" w:rsidRPr="00F5139B" w14:paraId="4333A0D3" w14:textId="77777777" w:rsidTr="00A2738B">
        <w:trPr>
          <w:trHeight w:val="288"/>
          <w:jc w:val="center"/>
        </w:trPr>
        <w:tc>
          <w:tcPr>
            <w:tcW w:w="2160" w:type="dxa"/>
            <w:noWrap/>
            <w:vAlign w:val="bottom"/>
          </w:tcPr>
          <w:p w14:paraId="56966CD1" w14:textId="637A41E3"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Angola</w:t>
            </w:r>
          </w:p>
        </w:tc>
        <w:tc>
          <w:tcPr>
            <w:tcW w:w="968" w:type="dxa"/>
          </w:tcPr>
          <w:p w14:paraId="6A4CCD9E" w14:textId="2141519F"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223" w:type="dxa"/>
            <w:shd w:val="clear" w:color="auto" w:fill="E8E8E8" w:themeFill="background2"/>
            <w:noWrap/>
            <w:vAlign w:val="bottom"/>
          </w:tcPr>
          <w:p w14:paraId="63D96D15" w14:textId="6A312296"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0.555</w:t>
            </w:r>
          </w:p>
        </w:tc>
        <w:tc>
          <w:tcPr>
            <w:tcW w:w="1443" w:type="dxa"/>
            <w:shd w:val="clear" w:color="auto" w:fill="E8E8E8" w:themeFill="background2"/>
            <w:noWrap/>
            <w:vAlign w:val="bottom"/>
          </w:tcPr>
          <w:p w14:paraId="273AB2B2" w14:textId="7A08C72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2541.71</w:t>
            </w:r>
          </w:p>
        </w:tc>
      </w:tr>
      <w:tr w:rsidR="00A24BAE" w:rsidRPr="00F5139B" w14:paraId="63441522" w14:textId="77777777" w:rsidTr="00A2738B">
        <w:trPr>
          <w:trHeight w:val="288"/>
          <w:jc w:val="center"/>
        </w:trPr>
        <w:tc>
          <w:tcPr>
            <w:tcW w:w="2160" w:type="dxa"/>
            <w:noWrap/>
            <w:vAlign w:val="bottom"/>
          </w:tcPr>
          <w:p w14:paraId="556983D0" w14:textId="643E966D"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Gabon</w:t>
            </w:r>
          </w:p>
        </w:tc>
        <w:tc>
          <w:tcPr>
            <w:tcW w:w="968" w:type="dxa"/>
          </w:tcPr>
          <w:p w14:paraId="04E1E98F" w14:textId="61E4FB8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223" w:type="dxa"/>
            <w:shd w:val="clear" w:color="auto" w:fill="E8E8E8" w:themeFill="background2"/>
            <w:noWrap/>
            <w:vAlign w:val="bottom"/>
          </w:tcPr>
          <w:p w14:paraId="4BF2B55A" w14:textId="3DCC39BF"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0.678</w:t>
            </w:r>
          </w:p>
        </w:tc>
        <w:tc>
          <w:tcPr>
            <w:tcW w:w="1443" w:type="dxa"/>
            <w:shd w:val="clear" w:color="auto" w:fill="E8E8E8" w:themeFill="background2"/>
            <w:noWrap/>
            <w:vAlign w:val="bottom"/>
          </w:tcPr>
          <w:p w14:paraId="39242206" w14:textId="5ED0187F"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4483.35</w:t>
            </w:r>
          </w:p>
        </w:tc>
      </w:tr>
      <w:tr w:rsidR="00A24BAE" w:rsidRPr="00F5139B" w14:paraId="4694A910" w14:textId="77777777" w:rsidTr="00A2738B">
        <w:trPr>
          <w:trHeight w:val="288"/>
          <w:jc w:val="center"/>
        </w:trPr>
        <w:tc>
          <w:tcPr>
            <w:tcW w:w="2160" w:type="dxa"/>
            <w:noWrap/>
            <w:vAlign w:val="bottom"/>
          </w:tcPr>
          <w:p w14:paraId="79D96C34" w14:textId="501DC231"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Iraq</w:t>
            </w:r>
          </w:p>
        </w:tc>
        <w:tc>
          <w:tcPr>
            <w:tcW w:w="968" w:type="dxa"/>
          </w:tcPr>
          <w:p w14:paraId="7F913574" w14:textId="28916D4A"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223" w:type="dxa"/>
            <w:shd w:val="clear" w:color="auto" w:fill="E8E8E8" w:themeFill="background2"/>
            <w:noWrap/>
            <w:vAlign w:val="bottom"/>
          </w:tcPr>
          <w:p w14:paraId="2518F1BE" w14:textId="70489E3E"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0.648</w:t>
            </w:r>
          </w:p>
        </w:tc>
        <w:tc>
          <w:tcPr>
            <w:tcW w:w="1443" w:type="dxa"/>
            <w:shd w:val="clear" w:color="auto" w:fill="E8E8E8" w:themeFill="background2"/>
            <w:noWrap/>
            <w:vAlign w:val="bottom"/>
          </w:tcPr>
          <w:p w14:paraId="48FEBA66" w14:textId="2CEBB61F"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2538.39</w:t>
            </w:r>
          </w:p>
        </w:tc>
      </w:tr>
    </w:tbl>
    <w:p w14:paraId="15FAABD9" w14:textId="77777777" w:rsidR="00480444" w:rsidRDefault="00480444" w:rsidP="00480444">
      <w:pPr>
        <w:pStyle w:val="Heading3"/>
      </w:pPr>
      <w:r>
        <w:t>Wood</w:t>
      </w:r>
    </w:p>
    <w:p w14:paraId="4C9F6817" w14:textId="73239E25" w:rsidR="00480444" w:rsidRDefault="00480444" w:rsidP="00480444">
      <w:proofErr w:type="gramStart"/>
      <w:r>
        <w:t>Clustering of</w:t>
      </w:r>
      <w:proofErr w:type="gramEnd"/>
      <w:r>
        <w:t xml:space="preserve"> wood export data </w:t>
      </w:r>
      <w:proofErr w:type="gramStart"/>
      <w:r>
        <w:t>indicate</w:t>
      </w:r>
      <w:proofErr w:type="gramEnd"/>
      <w:r>
        <w:t xml:space="preserve"> a relatively normal trend, except for outliers in Cluster 1 and 3 (Fig. </w:t>
      </w:r>
      <w:r w:rsidR="00EC5B92">
        <w:t>3</w:t>
      </w:r>
      <w:r>
        <w:t xml:space="preserve">b). Cluster 3 shows that extremely high lumber exports tend to correlate to a </w:t>
      </w:r>
      <w:r>
        <w:rPr>
          <w:i/>
          <w:iCs/>
        </w:rPr>
        <w:t>lower</w:t>
      </w:r>
      <w:r>
        <w:t xml:space="preserve"> HDI index, perhaps indicative of how anti-deforestation environmental awareness takes place at higher HDIs. Cluster 1 also </w:t>
      </w:r>
      <w:proofErr w:type="gramStart"/>
      <w:r>
        <w:t>displays</w:t>
      </w:r>
      <w:proofErr w:type="gramEnd"/>
      <w:r>
        <w:t xml:space="preserve"> a few higher export countries</w:t>
      </w:r>
      <w:proofErr w:type="gramStart"/>
      <w:r>
        <w:t xml:space="preserve"> stuck</w:t>
      </w:r>
      <w:proofErr w:type="gramEnd"/>
      <w:r>
        <w:t xml:space="preserve"> at a relatively low HDI, but it is crucial to remember the scale of the exports. Wood exports per capita never exceeded $1400 per capita in any case, which would render its significant in development rather limited given the small amount of </w:t>
      </w:r>
      <w:proofErr w:type="gramStart"/>
      <w:r>
        <w:t>derived revenue</w:t>
      </w:r>
      <w:proofErr w:type="gramEnd"/>
      <w:r>
        <w:t>.</w:t>
      </w:r>
    </w:p>
    <w:p w14:paraId="1A692668" w14:textId="77777777" w:rsidR="00480444" w:rsidRDefault="00480444" w:rsidP="00480444">
      <w:pPr>
        <w:pStyle w:val="Heading3"/>
      </w:pPr>
      <w:r>
        <w:t>Rare Earth Metals</w:t>
      </w:r>
    </w:p>
    <w:p w14:paraId="4EF31469" w14:textId="0A09E2C3" w:rsidR="00480444" w:rsidRPr="001F34CE" w:rsidRDefault="00480444" w:rsidP="00480444">
      <w:r>
        <w:t xml:space="preserve">Apart from its notable </w:t>
      </w:r>
      <w:r>
        <w:rPr>
          <w:i/>
          <w:iCs/>
        </w:rPr>
        <w:t>negative</w:t>
      </w:r>
      <w:r>
        <w:t xml:space="preserve"> </w:t>
      </w:r>
      <m:oMath>
        <m:r>
          <m:rPr>
            <m:sty m:val="p"/>
          </m:rPr>
          <w:rPr>
            <w:rFonts w:ascii="Cambria Math" w:hAnsi="Cambria Math"/>
          </w:rPr>
          <m:t>log⁡</m:t>
        </m:r>
        <m:r>
          <w:rPr>
            <w:rFonts w:ascii="Cambria Math" w:hAnsi="Cambria Math"/>
          </w:rPr>
          <m:t>(x)</m:t>
        </m:r>
      </m:oMath>
      <w:r>
        <w:t xml:space="preserve"> trend overall</w:t>
      </w:r>
      <w:r w:rsidR="00CB777E">
        <w:t xml:space="preserve"> (Fig. 3e)</w:t>
      </w:r>
      <w:r>
        <w:t>, specific clusters are notable for skewing the trend further towards negative or outliers. Cluster 1 shows a series of rather undeveloped countries (HDI ~0.7) exporting large amounts of ore, suggesting specific countries impacted by the</w:t>
      </w:r>
      <w:r w:rsidRPr="00041F77">
        <w:rPr>
          <w:i/>
          <w:iCs/>
        </w:rPr>
        <w:t xml:space="preserve"> </w:t>
      </w:r>
      <w:proofErr w:type="gramStart"/>
      <w:r w:rsidRPr="008B1487">
        <w:rPr>
          <w:i/>
          <w:iCs/>
        </w:rPr>
        <w:t>pollution haven</w:t>
      </w:r>
      <w:proofErr w:type="gramEnd"/>
      <w:r w:rsidRPr="008B1487">
        <w:rPr>
          <w:i/>
          <w:iCs/>
        </w:rPr>
        <w:t xml:space="preserve"> hypothesis (PHH)</w:t>
      </w:r>
      <w:r>
        <w:t xml:space="preserve">. Similarly, extremely high exports of rare earth metals in Cluster 3 </w:t>
      </w:r>
      <w:proofErr w:type="gramStart"/>
      <w:r>
        <w:t>similar to</w:t>
      </w:r>
      <w:proofErr w:type="gramEnd"/>
      <w:r>
        <w:t xml:space="preserve"> the Gulf States of Oil Cluster 0 have extremely middling HDIs (~0.8). However, unlike even Oil, larger exports of rare earth metals resolutely lead to lower HDI. Possible hypotheses include the PHH, but also that the fact that rare earth metal mining is an extremely polluting and dangerous activity often cost-prohibitive in more developed countries.</w:t>
      </w:r>
    </w:p>
    <w:p w14:paraId="5E62D590" w14:textId="77777777" w:rsidR="00480444" w:rsidRDefault="00480444" w:rsidP="00480444">
      <w:pPr>
        <w:pStyle w:val="Heading2"/>
      </w:pPr>
      <w:r>
        <w:t>Method B: Regression Trends</w:t>
      </w:r>
    </w:p>
    <w:p w14:paraId="10A7D1DA" w14:textId="77777777" w:rsidR="00480444" w:rsidRPr="009846DF" w:rsidRDefault="00480444" w:rsidP="00480444">
      <w:r w:rsidRPr="00EB4909">
        <w:t>To evaluate the influence of cluster membership on model performance, filtered datasets were constructed by selectively excluding specified clusters. Nonlinear regression was then applied to each subset using a predefined model function, with parameters estimated by nonlinear least squares (</w:t>
      </w:r>
      <w:proofErr w:type="spellStart"/>
      <w:proofErr w:type="gramStart"/>
      <w:r w:rsidRPr="00EB4909">
        <w:t>scipy.optimize</w:t>
      </w:r>
      <w:proofErr w:type="gramEnd"/>
      <w:r w:rsidRPr="00EB4909">
        <w:t>.curve_fit</w:t>
      </w:r>
      <w:proofErr w:type="spellEnd"/>
      <w:r w:rsidRPr="00EB4909">
        <w:t xml:space="preserve">) initialized at p₀. </w:t>
      </w:r>
      <w:proofErr w:type="gramStart"/>
      <w:r>
        <w:t>A linear</w:t>
      </w:r>
      <w:proofErr w:type="gramEnd"/>
      <w:r>
        <w:t xml:space="preserve"> regression was used if nonlinear fit was too poor (i.e. in the case of cereals). </w:t>
      </w:r>
      <w:r w:rsidRPr="00EB4909">
        <w:t xml:space="preserve">Goodness-of-fit was assessed by the coefficient of determination (R²). Regression curves were generated over a finely </w:t>
      </w:r>
      <w:r w:rsidRPr="00EB4909">
        <w:lastRenderedPageBreak/>
        <w:t>sampled predictor range to provide smooth overlays, with excluded clusters indicated in the figure legend and R² values annotated on the fitted curves.</w:t>
      </w:r>
    </w:p>
    <w:p w14:paraId="112A5830" w14:textId="77777777" w:rsidR="00480444" w:rsidRPr="000E28DA" w:rsidRDefault="00480444" w:rsidP="00480444">
      <w:pPr>
        <w:pStyle w:val="Heading3"/>
      </w:pPr>
      <w:r>
        <w:t>Oil</w:t>
      </w:r>
    </w:p>
    <w:p w14:paraId="2085E190" w14:textId="77777777" w:rsidR="00480444" w:rsidRDefault="00480444" w:rsidP="00480444">
      <w:r>
        <w:t xml:space="preserve">The sheer magnitude of oil exports </w:t>
      </w:r>
      <w:proofErr w:type="gramStart"/>
      <w:r>
        <w:t>make</w:t>
      </w:r>
      <w:proofErr w:type="gramEnd"/>
      <w:r>
        <w:t xml:space="preserve"> it notable— in the range of $10000, when cereals are in the range of $500.</w:t>
      </w:r>
    </w:p>
    <w:p w14:paraId="4B2B06A9" w14:textId="77777777" w:rsidR="00480444" w:rsidRDefault="00480444" w:rsidP="00480444">
      <w:r>
        <w:t xml:space="preserve">Oil perhaps was the most interesting out of </w:t>
      </w:r>
      <w:proofErr w:type="gramStart"/>
      <w:r>
        <w:t>all of</w:t>
      </w:r>
      <w:proofErr w:type="gramEnd"/>
      <w:r>
        <w:t xml:space="preserve"> our findings with this method, with two instead of one distinct </w:t>
      </w:r>
      <w:proofErr w:type="gramStart"/>
      <w:r>
        <w:t>curves</w:t>
      </w:r>
      <w:proofErr w:type="gramEnd"/>
      <w:r>
        <w:t xml:space="preserve"> upward and some of the highest R</w:t>
      </w:r>
      <w:r w:rsidRPr="00BC20FF">
        <w:rPr>
          <w:vertAlign w:val="superscript"/>
        </w:rPr>
        <w:t>2</w:t>
      </w:r>
      <w:r>
        <w:t xml:space="preserve"> values in nonlinear regression fitting. Instead of the expected singular </w:t>
      </w:r>
      <m:oMath>
        <m:r>
          <m:rPr>
            <m:sty m:val="p"/>
          </m:rPr>
          <w:rPr>
            <w:rFonts w:ascii="Cambria Math" w:hAnsi="Cambria Math"/>
          </w:rPr>
          <m:t>log⁡</m:t>
        </m:r>
        <m:r>
          <w:rPr>
            <w:rFonts w:ascii="Cambria Math" w:hAnsi="Cambria Math"/>
          </w:rPr>
          <m:t>(x)</m:t>
        </m:r>
      </m:oMath>
      <w:r>
        <w:t xml:space="preserve"> pattern expected, two distinct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x</m:t>
                </m:r>
              </m:e>
            </m:d>
          </m:e>
        </m:func>
        <m:r>
          <w:rPr>
            <w:rFonts w:ascii="Cambria Math" w:hAnsi="Cambria Math"/>
          </w:rPr>
          <m:t>+C</m:t>
        </m:r>
      </m:oMath>
      <w:r>
        <w:t xml:space="preserve"> lines emerged with different </w:t>
      </w:r>
      <w:proofErr w:type="gramStart"/>
      <w:r>
        <w:t>intercepts</w:t>
      </w:r>
      <w:proofErr w:type="gramEnd"/>
      <w:r>
        <w:t xml:space="preserve">. Historically, it has been shown countries could have high HDI without exports, but a reasonable low HDI would be correlated with small material wealth (exports) and a country with high exports of oil would be expected to have high HDI from development. This does not appear to be the case, with Gulf states forming the separate </w:t>
      </w:r>
      <m:oMath>
        <m:r>
          <w:rPr>
            <w:rFonts w:ascii="Cambria Math" w:hAnsi="Cambria Math"/>
          </w:rPr>
          <m:t>log</m:t>
        </m:r>
      </m:oMath>
      <w:r>
        <w:t xml:space="preserve"> line with a lower </w:t>
      </w:r>
      <m:oMath>
        <m:r>
          <w:rPr>
            <w:rFonts w:ascii="Cambria Math" w:hAnsi="Cambria Math"/>
          </w:rPr>
          <m:t>C</m:t>
        </m:r>
      </m:oMath>
      <w:r>
        <w:t xml:space="preserve"> intercept and other oil exporters (i.e. Norway) forming the upper </w:t>
      </w:r>
      <m:oMath>
        <m:r>
          <w:rPr>
            <w:rFonts w:ascii="Cambria Math" w:hAnsi="Cambria Math"/>
          </w:rPr>
          <m:t>log</m:t>
        </m:r>
      </m:oMath>
      <w:r>
        <w:t xml:space="preserve"> line. This seems to suggest two different theories of resource-driven exports: that where it may have been used to fuel </w:t>
      </w:r>
      <w:proofErr w:type="spellStart"/>
      <w:r>
        <w:t>economical</w:t>
      </w:r>
      <w:proofErr w:type="spellEnd"/>
      <w:r>
        <w:t xml:space="preserve"> development in otherwise unfavorable environments (i.e. Norway) or where it was used in less productive measures (i.e. Gulf States), such as regime-building, defense, or embezzled.</w:t>
      </w:r>
    </w:p>
    <w:p w14:paraId="4CAB67D2" w14:textId="77777777" w:rsidR="00480444" w:rsidRDefault="00480444" w:rsidP="00480444">
      <w:pPr>
        <w:pStyle w:val="Heading3"/>
      </w:pPr>
      <w:r>
        <w:t>Ores</w:t>
      </w:r>
    </w:p>
    <w:p w14:paraId="66BAC8BD" w14:textId="4696F350" w:rsidR="00480444" w:rsidRPr="000E28DA" w:rsidRDefault="00480444" w:rsidP="00480444">
      <w:r>
        <w:t xml:space="preserve">Exports of ores (such as raw iron) saw the most stereotypical fit with a </w:t>
      </w:r>
      <m:oMath>
        <m:r>
          <w:rPr>
            <w:rFonts w:ascii="Cambria Math" w:hAnsi="Cambria Math"/>
          </w:rPr>
          <m:t>log</m:t>
        </m:r>
      </m:oMath>
      <w:r>
        <w:t xml:space="preserve"> pattern (Fig. </w:t>
      </w:r>
      <w:r w:rsidR="00EC5B92">
        <w:t>3</w:t>
      </w:r>
      <w:r>
        <w:t xml:space="preserve">c), suggesting a lack of the </w:t>
      </w:r>
      <w:r w:rsidRPr="000E28DA">
        <w:rPr>
          <w:i/>
          <w:iCs/>
        </w:rPr>
        <w:t>resource-curse</w:t>
      </w:r>
      <w:r>
        <w:t xml:space="preserve"> phenomenon— instead a </w:t>
      </w:r>
      <w:r>
        <w:rPr>
          <w:i/>
          <w:iCs/>
        </w:rPr>
        <w:t>resource-driven</w:t>
      </w:r>
      <w:r>
        <w:t xml:space="preserve"> hypothesis seems more likely for these industrializing countries.</w:t>
      </w:r>
    </w:p>
    <w:p w14:paraId="26B3F89E" w14:textId="77777777" w:rsidR="00480444" w:rsidRDefault="00480444" w:rsidP="00480444">
      <w:pPr>
        <w:pStyle w:val="Heading3"/>
      </w:pPr>
      <w:r>
        <w:t>Cereals</w:t>
      </w:r>
    </w:p>
    <w:p w14:paraId="615585D6" w14:textId="21D6157D" w:rsidR="00480444" w:rsidRDefault="00480444" w:rsidP="00480444">
      <w:r>
        <w:t>Cereal exports fit into a linear trend with extremely low R</w:t>
      </w:r>
      <w:r w:rsidRPr="00BC20FF">
        <w:rPr>
          <w:vertAlign w:val="superscript"/>
        </w:rPr>
        <w:t>2</w:t>
      </w:r>
      <w:r>
        <w:t xml:space="preserve"> values even when compared to other exports (Fig. </w:t>
      </w:r>
      <w:r w:rsidR="00EC5B92">
        <w:t>3</w:t>
      </w:r>
      <w:r>
        <w:t>d), suggesting that exports of such foodstuffs had nothing to do with development.</w:t>
      </w:r>
      <w:r w:rsidR="00FD1CB6">
        <w:t xml:space="preserve"> A custom linear regression tool was created for cereals due to the standard nonlinear regression model failing to fit properly. </w:t>
      </w:r>
    </w:p>
    <w:p w14:paraId="28FC44AD" w14:textId="77777777" w:rsidR="00480444" w:rsidRDefault="00480444" w:rsidP="00480444">
      <w:pPr>
        <w:pStyle w:val="Heading3"/>
      </w:pPr>
      <w:r>
        <w:t>Rare Earth Metals</w:t>
      </w:r>
    </w:p>
    <w:p w14:paraId="70E363D5" w14:textId="37CEC5F1" w:rsidR="00480444" w:rsidRDefault="00480444" w:rsidP="00480444">
      <w:r w:rsidRPr="008B1487">
        <w:t xml:space="preserve">Rare earth metals were the exception to any trend, with a resounding </w:t>
      </w:r>
      <w:r w:rsidRPr="008B1487">
        <w:rPr>
          <w:i/>
          <w:iCs/>
        </w:rPr>
        <w:t>negative</w:t>
      </w:r>
      <w:r w:rsidRPr="008B1487">
        <w:t xml:space="preserve"> correlation between HDI and export levels</w:t>
      </w:r>
      <w:r w:rsidR="00EC5B92">
        <w:t xml:space="preserve"> (Fig. 3e)</w:t>
      </w:r>
      <w:r w:rsidRPr="008B1487">
        <w:t>, suggesting that exporting rare earth metals was something more developed countries quickly abandoned (environmental damage, for example), or something forced upon lesser developed countries by necessity (</w:t>
      </w:r>
      <w:r w:rsidRPr="008B1487">
        <w:rPr>
          <w:i/>
          <w:iCs/>
        </w:rPr>
        <w:t xml:space="preserve">pollution </w:t>
      </w:r>
      <w:proofErr w:type="gramStart"/>
      <w:r w:rsidRPr="008B1487">
        <w:rPr>
          <w:i/>
          <w:iCs/>
        </w:rPr>
        <w:t>haven</w:t>
      </w:r>
      <w:proofErr w:type="gramEnd"/>
      <w:r w:rsidRPr="008B1487">
        <w:rPr>
          <w:i/>
          <w:iCs/>
        </w:rPr>
        <w:t xml:space="preserve"> hypothesis (PHH)</w:t>
      </w:r>
      <w:r w:rsidRPr="008B1487">
        <w:t>).</w:t>
      </w:r>
    </w:p>
    <w:p w14:paraId="5E79CB0D" w14:textId="22CAAAD4" w:rsidR="00480444" w:rsidRDefault="00480444" w:rsidP="00480444">
      <w:r>
        <w:lastRenderedPageBreak/>
        <w:t xml:space="preserve">Figure </w:t>
      </w:r>
      <w:r w:rsidR="00DF722A">
        <w:t>3</w:t>
      </w:r>
      <w:r>
        <w:t>a, b, c, d, e</w:t>
      </w:r>
      <w:r w:rsidR="001E612E">
        <w:t xml:space="preserve"> (counterclockwise, from top)</w:t>
      </w:r>
      <w:r>
        <w:t>: clusters and various fitted nonlinear/linear regressions overlaid upon resource export per capita in dollars against HDI.</w:t>
      </w:r>
    </w:p>
    <w:tbl>
      <w:tblPr>
        <w:tblStyle w:val="TableGrid"/>
        <w:tblW w:w="0" w:type="auto"/>
        <w:tblLook w:val="04A0" w:firstRow="1" w:lastRow="0" w:firstColumn="1" w:lastColumn="0" w:noHBand="0" w:noVBand="1"/>
      </w:tblPr>
      <w:tblGrid>
        <w:gridCol w:w="4675"/>
        <w:gridCol w:w="4675"/>
      </w:tblGrid>
      <w:tr w:rsidR="00480444" w14:paraId="339F7311" w14:textId="77777777" w:rsidTr="001755A9">
        <w:tc>
          <w:tcPr>
            <w:tcW w:w="9350" w:type="dxa"/>
            <w:gridSpan w:val="2"/>
          </w:tcPr>
          <w:p w14:paraId="016FA87D" w14:textId="77777777" w:rsidR="00480444" w:rsidRDefault="00480444" w:rsidP="001755A9">
            <w:r w:rsidRPr="000829BA">
              <w:rPr>
                <w:noProof/>
              </w:rPr>
              <w:drawing>
                <wp:inline distT="0" distB="0" distL="0" distR="0" wp14:anchorId="36B1FEBD" wp14:editId="65867545">
                  <wp:extent cx="5770226" cy="3606393"/>
                  <wp:effectExtent l="0" t="0" r="2540" b="0"/>
                  <wp:docPr id="1354524368"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24368" name="Picture 3" descr="A graph of different colored dot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09989" cy="3631245"/>
                          </a:xfrm>
                          <a:prstGeom prst="rect">
                            <a:avLst/>
                          </a:prstGeom>
                          <a:noFill/>
                          <a:ln>
                            <a:noFill/>
                          </a:ln>
                        </pic:spPr>
                      </pic:pic>
                    </a:graphicData>
                  </a:graphic>
                </wp:inline>
              </w:drawing>
            </w:r>
          </w:p>
        </w:tc>
      </w:tr>
      <w:tr w:rsidR="00480444" w14:paraId="67CA27D7" w14:textId="77777777" w:rsidTr="001755A9">
        <w:tc>
          <w:tcPr>
            <w:tcW w:w="4675" w:type="dxa"/>
          </w:tcPr>
          <w:p w14:paraId="070E1ABD" w14:textId="77777777" w:rsidR="00480444" w:rsidRDefault="00480444" w:rsidP="001755A9">
            <w:r w:rsidRPr="000829BA">
              <w:rPr>
                <w:noProof/>
              </w:rPr>
              <w:drawing>
                <wp:inline distT="0" distB="0" distL="0" distR="0" wp14:anchorId="724DC562" wp14:editId="644C2263">
                  <wp:extent cx="2793078" cy="1745673"/>
                  <wp:effectExtent l="0" t="0" r="7620" b="6985"/>
                  <wp:docPr id="219004671" name="Picture 5" descr="A graph with colored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04671" name="Picture 5" descr="A graph with colored dots and lin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1327" cy="1763328"/>
                          </a:xfrm>
                          <a:prstGeom prst="rect">
                            <a:avLst/>
                          </a:prstGeom>
                          <a:noFill/>
                          <a:ln>
                            <a:noFill/>
                          </a:ln>
                        </pic:spPr>
                      </pic:pic>
                    </a:graphicData>
                  </a:graphic>
                </wp:inline>
              </w:drawing>
            </w:r>
          </w:p>
        </w:tc>
        <w:tc>
          <w:tcPr>
            <w:tcW w:w="4675" w:type="dxa"/>
          </w:tcPr>
          <w:p w14:paraId="43246F2F" w14:textId="77777777" w:rsidR="00480444" w:rsidRDefault="00480444" w:rsidP="001755A9">
            <w:r w:rsidRPr="000829BA">
              <w:rPr>
                <w:noProof/>
              </w:rPr>
              <w:drawing>
                <wp:inline distT="0" distB="0" distL="0" distR="0" wp14:anchorId="34C90FC1" wp14:editId="403FA28F">
                  <wp:extent cx="2811213" cy="1757009"/>
                  <wp:effectExtent l="0" t="0" r="8255" b="0"/>
                  <wp:docPr id="983629783" name="Picture 2" descr="A graph of 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29783" name="Picture 2" descr="A graph of a graph with colored lin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2451" cy="1770283"/>
                          </a:xfrm>
                          <a:prstGeom prst="rect">
                            <a:avLst/>
                          </a:prstGeom>
                          <a:noFill/>
                          <a:ln>
                            <a:noFill/>
                          </a:ln>
                        </pic:spPr>
                      </pic:pic>
                    </a:graphicData>
                  </a:graphic>
                </wp:inline>
              </w:drawing>
            </w:r>
          </w:p>
        </w:tc>
      </w:tr>
      <w:tr w:rsidR="00480444" w14:paraId="1A5F24A0" w14:textId="77777777" w:rsidTr="001755A9">
        <w:tc>
          <w:tcPr>
            <w:tcW w:w="4675" w:type="dxa"/>
          </w:tcPr>
          <w:p w14:paraId="51674975" w14:textId="77777777" w:rsidR="00480444" w:rsidRDefault="00480444" w:rsidP="001755A9">
            <w:r w:rsidRPr="000829BA">
              <w:rPr>
                <w:noProof/>
              </w:rPr>
              <w:drawing>
                <wp:inline distT="0" distB="0" distL="0" distR="0" wp14:anchorId="3D3E74D3" wp14:editId="719A1C61">
                  <wp:extent cx="2826327" cy="1766454"/>
                  <wp:effectExtent l="0" t="0" r="0" b="5715"/>
                  <wp:docPr id="361610888"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0888" name="Picture 4" descr="A graph of different colored lin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0323" cy="1787701"/>
                          </a:xfrm>
                          <a:prstGeom prst="rect">
                            <a:avLst/>
                          </a:prstGeom>
                          <a:noFill/>
                          <a:ln>
                            <a:noFill/>
                          </a:ln>
                        </pic:spPr>
                      </pic:pic>
                    </a:graphicData>
                  </a:graphic>
                </wp:inline>
              </w:drawing>
            </w:r>
          </w:p>
        </w:tc>
        <w:tc>
          <w:tcPr>
            <w:tcW w:w="4675" w:type="dxa"/>
          </w:tcPr>
          <w:p w14:paraId="0279EBFE" w14:textId="77777777" w:rsidR="00480444" w:rsidRDefault="00480444" w:rsidP="001755A9">
            <w:r w:rsidRPr="000829BA">
              <w:rPr>
                <w:noProof/>
              </w:rPr>
              <w:drawing>
                <wp:inline distT="0" distB="0" distL="0" distR="0" wp14:anchorId="51D2BECC" wp14:editId="30601889">
                  <wp:extent cx="2821289" cy="1763305"/>
                  <wp:effectExtent l="0" t="0" r="0" b="8890"/>
                  <wp:docPr id="2029637149"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37149" name="Picture 1" descr="A graph of different colored dot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6665" cy="1779165"/>
                          </a:xfrm>
                          <a:prstGeom prst="rect">
                            <a:avLst/>
                          </a:prstGeom>
                          <a:noFill/>
                          <a:ln>
                            <a:noFill/>
                          </a:ln>
                        </pic:spPr>
                      </pic:pic>
                    </a:graphicData>
                  </a:graphic>
                </wp:inline>
              </w:drawing>
            </w:r>
          </w:p>
        </w:tc>
      </w:tr>
    </w:tbl>
    <w:p w14:paraId="394F03E5" w14:textId="3FC4B587" w:rsidR="00480444" w:rsidRDefault="00480444" w:rsidP="00480444"/>
    <w:p w14:paraId="35C5719A" w14:textId="191965E8" w:rsidR="00480444" w:rsidRPr="00D01184" w:rsidRDefault="00480444" w:rsidP="00480444">
      <w:pPr>
        <w:pStyle w:val="Heading2"/>
      </w:pPr>
      <w:r>
        <w:lastRenderedPageBreak/>
        <w:t xml:space="preserve">Method C: </w:t>
      </w:r>
      <w:r w:rsidR="00196A2B">
        <w:t xml:space="preserve">HDI-to-Export </w:t>
      </w:r>
      <w:r w:rsidR="00196A2B">
        <w:t>R</w:t>
      </w:r>
      <w:r w:rsidR="00196A2B">
        <w:t>atio</w:t>
      </w:r>
    </w:p>
    <w:p w14:paraId="72A3E820" w14:textId="77777777" w:rsidR="00480444" w:rsidRDefault="00480444" w:rsidP="00480444">
      <w:r>
        <w:t xml:space="preserve">Among many other tools included in this project, ratios and various indices of HDI-to-Exports were developed to create a final metric by which to judge presence of </w:t>
      </w:r>
      <w:r>
        <w:rPr>
          <w:i/>
          <w:iCs/>
        </w:rPr>
        <w:t>resource curse</w:t>
      </w:r>
      <w:r>
        <w:t xml:space="preserve">. However, it was found that direct ratios proved to be a poor measure as countries that achieved high development independent of resource exports were flagged as </w:t>
      </w:r>
      <w:r>
        <w:rPr>
          <w:i/>
          <w:iCs/>
        </w:rPr>
        <w:t>resource cursed</w:t>
      </w:r>
      <w:r>
        <w:t xml:space="preserve"> due to their lower HDI-to-Export ratio. One of the measures developed to mitigate this shortcoming was an upper- and lower-limit to the function, such that countries that didn’t export “enough” relative to their HDI to be considered relevant were excluded. However, this proved to be far too arbitrary even for an exploratory study, as adjustments tended to confine results to the singular expected </w:t>
      </w:r>
      <m:oMath>
        <m:r>
          <w:rPr>
            <w:rFonts w:ascii="Cambria Math" w:hAnsi="Cambria Math"/>
          </w:rPr>
          <m:t>log</m:t>
        </m:r>
      </m:oMath>
      <w:r>
        <w:t xml:space="preserve"> line and removed actual outliers. Additionally, even with filters, countries that simply exported a lot with high development were repeatedly flagged (i.e. Norway). In short, we found using </w:t>
      </w:r>
      <w:proofErr w:type="gramStart"/>
      <w:r>
        <w:t>a</w:t>
      </w:r>
      <w:proofErr w:type="gramEnd"/>
      <w:r>
        <w:t xml:space="preserve"> HDI-to-Export ratio or adjusted index to be unhelpful for general analysis. Within clusters known to be representative of certain conditions however, this ratio index (when properly filtered) was useful for quantifying severity of the suspected </w:t>
      </w:r>
      <w:r>
        <w:rPr>
          <w:i/>
          <w:iCs/>
        </w:rPr>
        <w:t xml:space="preserve">resource curse </w:t>
      </w:r>
      <w:r>
        <w:t>phenomenon (Fig. 3).</w:t>
      </w:r>
    </w:p>
    <w:p w14:paraId="5B8D5775" w14:textId="7F071D7F" w:rsidR="00032451" w:rsidRDefault="00032451" w:rsidP="00480444">
      <m:oMathPara>
        <m:oMath>
          <m:r>
            <w:rPr>
              <w:rFonts w:ascii="Cambria Math" w:hAnsi="Cambria Math"/>
            </w:rPr>
            <m:t>ratio=</m:t>
          </m:r>
          <m:f>
            <m:fPr>
              <m:ctrlPr>
                <w:rPr>
                  <w:rFonts w:ascii="Cambria Math" w:hAnsi="Cambria Math"/>
                  <w:i/>
                </w:rPr>
              </m:ctrlPr>
            </m:fPr>
            <m:num>
              <m:f>
                <m:fPr>
                  <m:ctrlPr>
                    <w:rPr>
                      <w:rFonts w:ascii="Cambria Math" w:hAnsi="Cambria Math"/>
                      <w:i/>
                    </w:rPr>
                  </m:ctrlPr>
                </m:fPr>
                <m:num>
                  <m:r>
                    <w:rPr>
                      <w:rFonts w:ascii="Cambria Math" w:hAnsi="Cambria Math"/>
                    </w:rPr>
                    <m:t>exports</m:t>
                  </m:r>
                </m:num>
                <m:den>
                  <m:r>
                    <w:rPr>
                      <w:rFonts w:ascii="Cambria Math" w:hAnsi="Cambria Math"/>
                    </w:rPr>
                    <m:t>population</m:t>
                  </m:r>
                </m:den>
              </m:f>
            </m:num>
            <m:den>
              <m:r>
                <w:rPr>
                  <w:rFonts w:ascii="Cambria Math" w:hAnsi="Cambria Math"/>
                </w:rPr>
                <m:t>HDI</m:t>
              </m:r>
            </m:den>
          </m:f>
          <m:r>
            <w:rPr>
              <w:rFonts w:ascii="Cambria Math" w:hAnsi="Cambria Math"/>
            </w:rPr>
            <m:t>=</m:t>
          </m:r>
          <m:f>
            <m:fPr>
              <m:ctrlPr>
                <w:rPr>
                  <w:rFonts w:ascii="Cambria Math" w:hAnsi="Cambria Math"/>
                  <w:i/>
                </w:rPr>
              </m:ctrlPr>
            </m:fPr>
            <m:num>
              <m:r>
                <w:rPr>
                  <w:rFonts w:ascii="Cambria Math" w:hAnsi="Cambria Math"/>
                </w:rPr>
                <m:t>exports per capita</m:t>
              </m:r>
            </m:num>
            <m:den>
              <m:r>
                <w:rPr>
                  <w:rFonts w:ascii="Cambria Math" w:hAnsi="Cambria Math"/>
                </w:rPr>
                <m:t>HDI</m:t>
              </m:r>
            </m:den>
          </m:f>
        </m:oMath>
      </m:oMathPara>
    </w:p>
    <w:p w14:paraId="1CA351E1" w14:textId="0F9344EF" w:rsidR="00480444" w:rsidRDefault="00480444" w:rsidP="00480444">
      <w:r>
        <w:t xml:space="preserve">Figure </w:t>
      </w:r>
      <w:r w:rsidR="00032451">
        <w:t>4</w:t>
      </w:r>
      <w:r>
        <w:t>: ratio data for selected 2013 C</w:t>
      </w:r>
      <w:r w:rsidR="00032451">
        <w:t>luster 0</w:t>
      </w:r>
      <w:r w:rsidR="00A24BAE">
        <w:t xml:space="preserve"> and1</w:t>
      </w:r>
      <w:r w:rsidR="00032451">
        <w:t xml:space="preserve"> </w:t>
      </w:r>
      <w:r>
        <w:t>of Oil Exports in Dollars per Capita</w:t>
      </w:r>
    </w:p>
    <w:tbl>
      <w:tblPr>
        <w:tblStyle w:val="TableGrid"/>
        <w:tblW w:w="5498" w:type="dxa"/>
        <w:jc w:val="center"/>
        <w:tblLook w:val="04A0" w:firstRow="1" w:lastRow="0" w:firstColumn="1" w:lastColumn="0" w:noHBand="0" w:noVBand="1"/>
      </w:tblPr>
      <w:tblGrid>
        <w:gridCol w:w="2160"/>
        <w:gridCol w:w="968"/>
        <w:gridCol w:w="2370"/>
      </w:tblGrid>
      <w:tr w:rsidR="00A24BAE" w:rsidRPr="00F5139B" w14:paraId="04B487E2" w14:textId="77777777" w:rsidTr="00A2738B">
        <w:trPr>
          <w:trHeight w:val="288"/>
          <w:jc w:val="center"/>
        </w:trPr>
        <w:tc>
          <w:tcPr>
            <w:tcW w:w="2160" w:type="dxa"/>
            <w:noWrap/>
            <w:hideMark/>
          </w:tcPr>
          <w:p w14:paraId="2B01C61E" w14:textId="77777777" w:rsidR="00A24BAE" w:rsidRPr="00F5139B" w:rsidRDefault="00A24BAE" w:rsidP="00830DDD">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Country</w:t>
            </w:r>
          </w:p>
        </w:tc>
        <w:tc>
          <w:tcPr>
            <w:tcW w:w="968" w:type="dxa"/>
            <w:noWrap/>
            <w:hideMark/>
          </w:tcPr>
          <w:p w14:paraId="0778C46D" w14:textId="77777777" w:rsidR="00A24BAE" w:rsidRPr="00F5139B" w:rsidRDefault="00A24BAE" w:rsidP="00830DDD">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w:t>
            </w:r>
            <w:r w:rsidRPr="00F5139B">
              <w:rPr>
                <w:rFonts w:ascii="Aptos Narrow" w:eastAsia="Times New Roman" w:hAnsi="Aptos Narrow" w:cs="Times New Roman"/>
                <w:color w:val="000000"/>
                <w:kern w:val="0"/>
                <w:sz w:val="22"/>
                <w:szCs w:val="22"/>
                <w14:ligatures w14:val="none"/>
              </w:rPr>
              <w:t>luster</w:t>
            </w:r>
          </w:p>
        </w:tc>
        <w:tc>
          <w:tcPr>
            <w:tcW w:w="2370" w:type="dxa"/>
            <w:shd w:val="clear" w:color="auto" w:fill="E8E8E8" w:themeFill="background2"/>
            <w:noWrap/>
            <w:hideMark/>
          </w:tcPr>
          <w:p w14:paraId="3F14314F" w14:textId="2D32DB73" w:rsidR="00A24BAE" w:rsidRPr="00F5139B" w:rsidRDefault="00A24BAE" w:rsidP="00830DDD">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Exports ($/c) / HDI ratio</w:t>
            </w:r>
          </w:p>
        </w:tc>
      </w:tr>
      <w:tr w:rsidR="00A24BAE" w:rsidRPr="00F5139B" w14:paraId="44EF471D" w14:textId="77777777" w:rsidTr="00A2738B">
        <w:trPr>
          <w:trHeight w:val="288"/>
          <w:jc w:val="center"/>
        </w:trPr>
        <w:tc>
          <w:tcPr>
            <w:tcW w:w="2160" w:type="dxa"/>
            <w:noWrap/>
            <w:vAlign w:val="bottom"/>
          </w:tcPr>
          <w:p w14:paraId="16251524" w14:textId="3E738475"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 xml:space="preserve">Brunei </w:t>
            </w:r>
          </w:p>
        </w:tc>
        <w:tc>
          <w:tcPr>
            <w:tcW w:w="968" w:type="dxa"/>
            <w:noWrap/>
            <w:vAlign w:val="bottom"/>
          </w:tcPr>
          <w:p w14:paraId="299196DA" w14:textId="511A5F0E"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2370" w:type="dxa"/>
            <w:shd w:val="clear" w:color="auto" w:fill="E8E8E8" w:themeFill="background2"/>
            <w:noWrap/>
            <w:vAlign w:val="bottom"/>
          </w:tcPr>
          <w:p w14:paraId="51550009" w14:textId="3E628ADF"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32180.75</w:t>
            </w:r>
          </w:p>
        </w:tc>
      </w:tr>
      <w:tr w:rsidR="00A24BAE" w:rsidRPr="00F5139B" w14:paraId="023B30F5" w14:textId="77777777" w:rsidTr="00A2738B">
        <w:trPr>
          <w:trHeight w:val="288"/>
          <w:jc w:val="center"/>
        </w:trPr>
        <w:tc>
          <w:tcPr>
            <w:tcW w:w="2160" w:type="dxa"/>
            <w:noWrap/>
            <w:vAlign w:val="bottom"/>
          </w:tcPr>
          <w:p w14:paraId="3FB3CAAA" w14:textId="1B54CA67"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Bahrain</w:t>
            </w:r>
          </w:p>
        </w:tc>
        <w:tc>
          <w:tcPr>
            <w:tcW w:w="968" w:type="dxa"/>
            <w:noWrap/>
            <w:vAlign w:val="bottom"/>
          </w:tcPr>
          <w:p w14:paraId="34069E19" w14:textId="7BBD84E8"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2370" w:type="dxa"/>
            <w:shd w:val="clear" w:color="auto" w:fill="E8E8E8" w:themeFill="background2"/>
            <w:noWrap/>
            <w:vAlign w:val="bottom"/>
          </w:tcPr>
          <w:p w14:paraId="7CEBEEF5" w14:textId="6576701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9679.499</w:t>
            </w:r>
          </w:p>
        </w:tc>
      </w:tr>
      <w:tr w:rsidR="00A24BAE" w:rsidRPr="00F5139B" w14:paraId="688B743C" w14:textId="77777777" w:rsidTr="00A2738B">
        <w:trPr>
          <w:trHeight w:val="288"/>
          <w:jc w:val="center"/>
        </w:trPr>
        <w:tc>
          <w:tcPr>
            <w:tcW w:w="2160" w:type="dxa"/>
            <w:noWrap/>
            <w:vAlign w:val="bottom"/>
          </w:tcPr>
          <w:p w14:paraId="13F9BAE5" w14:textId="1EE5A1E5"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Kuwait</w:t>
            </w:r>
          </w:p>
        </w:tc>
        <w:tc>
          <w:tcPr>
            <w:tcW w:w="968" w:type="dxa"/>
            <w:noWrap/>
            <w:vAlign w:val="bottom"/>
          </w:tcPr>
          <w:p w14:paraId="7B68A044" w14:textId="30A0BCE8"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2370" w:type="dxa"/>
            <w:shd w:val="clear" w:color="auto" w:fill="E8E8E8" w:themeFill="background2"/>
            <w:noWrap/>
            <w:vAlign w:val="bottom"/>
          </w:tcPr>
          <w:p w14:paraId="77D95B2B" w14:textId="0BB61AF7"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37869.79</w:t>
            </w:r>
          </w:p>
        </w:tc>
      </w:tr>
      <w:tr w:rsidR="00A24BAE" w:rsidRPr="00F5139B" w14:paraId="676E20C9" w14:textId="77777777" w:rsidTr="00A2738B">
        <w:trPr>
          <w:trHeight w:val="288"/>
          <w:jc w:val="center"/>
        </w:trPr>
        <w:tc>
          <w:tcPr>
            <w:tcW w:w="2160" w:type="dxa"/>
            <w:noWrap/>
            <w:vAlign w:val="bottom"/>
          </w:tcPr>
          <w:p w14:paraId="47B2DBC8" w14:textId="6A8084D0"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Oman</w:t>
            </w:r>
          </w:p>
        </w:tc>
        <w:tc>
          <w:tcPr>
            <w:tcW w:w="968" w:type="dxa"/>
            <w:noWrap/>
            <w:vAlign w:val="bottom"/>
          </w:tcPr>
          <w:p w14:paraId="3F0C1B6F" w14:textId="217BD73E"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2370" w:type="dxa"/>
            <w:shd w:val="clear" w:color="auto" w:fill="E8E8E8" w:themeFill="background2"/>
            <w:noWrap/>
            <w:vAlign w:val="bottom"/>
          </w:tcPr>
          <w:p w14:paraId="4E8535CF" w14:textId="64352096"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13292.97</w:t>
            </w:r>
          </w:p>
        </w:tc>
      </w:tr>
      <w:tr w:rsidR="00A24BAE" w:rsidRPr="00F5139B" w14:paraId="5F78A575" w14:textId="77777777" w:rsidTr="00A2738B">
        <w:trPr>
          <w:trHeight w:val="288"/>
          <w:jc w:val="center"/>
        </w:trPr>
        <w:tc>
          <w:tcPr>
            <w:tcW w:w="2160" w:type="dxa"/>
            <w:noWrap/>
            <w:vAlign w:val="bottom"/>
          </w:tcPr>
          <w:p w14:paraId="412939A2" w14:textId="5F74095C"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Saudi Arabia</w:t>
            </w:r>
          </w:p>
        </w:tc>
        <w:tc>
          <w:tcPr>
            <w:tcW w:w="968" w:type="dxa"/>
            <w:noWrap/>
            <w:vAlign w:val="bottom"/>
          </w:tcPr>
          <w:p w14:paraId="22A19354" w14:textId="26FD1987"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2370" w:type="dxa"/>
            <w:shd w:val="clear" w:color="auto" w:fill="E8E8E8" w:themeFill="background2"/>
            <w:noWrap/>
            <w:vAlign w:val="bottom"/>
          </w:tcPr>
          <w:p w14:paraId="2B9DCAC5" w14:textId="653016CC"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14027.11</w:t>
            </w:r>
          </w:p>
        </w:tc>
      </w:tr>
      <w:tr w:rsidR="00A24BAE" w:rsidRPr="00F5139B" w14:paraId="70B02E9E" w14:textId="77777777" w:rsidTr="00A2738B">
        <w:trPr>
          <w:trHeight w:val="288"/>
          <w:jc w:val="center"/>
        </w:trPr>
        <w:tc>
          <w:tcPr>
            <w:tcW w:w="2160" w:type="dxa"/>
            <w:noWrap/>
            <w:vAlign w:val="bottom"/>
          </w:tcPr>
          <w:p w14:paraId="1A6DE651" w14:textId="0197FA8C"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United Arab Emirates</w:t>
            </w:r>
          </w:p>
        </w:tc>
        <w:tc>
          <w:tcPr>
            <w:tcW w:w="968" w:type="dxa"/>
            <w:noWrap/>
            <w:vAlign w:val="bottom"/>
          </w:tcPr>
          <w:p w14:paraId="4DDFE62F" w14:textId="56C905C4"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2370" w:type="dxa"/>
            <w:shd w:val="clear" w:color="auto" w:fill="E8E8E8" w:themeFill="background2"/>
            <w:noWrap/>
            <w:vAlign w:val="bottom"/>
          </w:tcPr>
          <w:p w14:paraId="218E71CB" w14:textId="00E77711"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20104.37</w:t>
            </w:r>
          </w:p>
        </w:tc>
      </w:tr>
      <w:tr w:rsidR="00A24BAE" w:rsidRPr="00F5139B" w14:paraId="264B8870" w14:textId="77777777" w:rsidTr="00A2738B">
        <w:trPr>
          <w:trHeight w:val="288"/>
          <w:jc w:val="center"/>
        </w:trPr>
        <w:tc>
          <w:tcPr>
            <w:tcW w:w="2160" w:type="dxa"/>
            <w:noWrap/>
            <w:vAlign w:val="bottom"/>
          </w:tcPr>
          <w:p w14:paraId="45219747" w14:textId="1B44B8BC"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Congo</w:t>
            </w:r>
          </w:p>
        </w:tc>
        <w:tc>
          <w:tcPr>
            <w:tcW w:w="968" w:type="dxa"/>
            <w:noWrap/>
            <w:vAlign w:val="bottom"/>
          </w:tcPr>
          <w:p w14:paraId="2C0DBF30" w14:textId="17C9047F"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w:t>
            </w:r>
          </w:p>
        </w:tc>
        <w:tc>
          <w:tcPr>
            <w:tcW w:w="2370" w:type="dxa"/>
            <w:shd w:val="clear" w:color="auto" w:fill="E8E8E8" w:themeFill="background2"/>
            <w:noWrap/>
            <w:vAlign w:val="bottom"/>
          </w:tcPr>
          <w:p w14:paraId="266C5D7F" w14:textId="15BE480B"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2715.617</w:t>
            </w:r>
          </w:p>
        </w:tc>
      </w:tr>
      <w:tr w:rsidR="00A24BAE" w:rsidRPr="00F5139B" w14:paraId="33ADF45D" w14:textId="77777777" w:rsidTr="00A2738B">
        <w:trPr>
          <w:trHeight w:val="288"/>
          <w:jc w:val="center"/>
        </w:trPr>
        <w:tc>
          <w:tcPr>
            <w:tcW w:w="2160" w:type="dxa"/>
            <w:noWrap/>
            <w:vAlign w:val="bottom"/>
          </w:tcPr>
          <w:p w14:paraId="2231AD92" w14:textId="366FD67E"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Angola</w:t>
            </w:r>
          </w:p>
        </w:tc>
        <w:tc>
          <w:tcPr>
            <w:tcW w:w="968" w:type="dxa"/>
            <w:noWrap/>
            <w:vAlign w:val="bottom"/>
          </w:tcPr>
          <w:p w14:paraId="32BE5A95" w14:textId="3FDE818C"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w:t>
            </w:r>
          </w:p>
        </w:tc>
        <w:tc>
          <w:tcPr>
            <w:tcW w:w="2370" w:type="dxa"/>
            <w:shd w:val="clear" w:color="auto" w:fill="E8E8E8" w:themeFill="background2"/>
            <w:noWrap/>
            <w:vAlign w:val="bottom"/>
          </w:tcPr>
          <w:p w14:paraId="4BA5D374" w14:textId="561CB080"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4579.658</w:t>
            </w:r>
          </w:p>
        </w:tc>
      </w:tr>
      <w:tr w:rsidR="00A24BAE" w:rsidRPr="00F5139B" w14:paraId="76F3F727" w14:textId="77777777" w:rsidTr="00A2738B">
        <w:trPr>
          <w:trHeight w:val="288"/>
          <w:jc w:val="center"/>
        </w:trPr>
        <w:tc>
          <w:tcPr>
            <w:tcW w:w="2160" w:type="dxa"/>
            <w:noWrap/>
            <w:vAlign w:val="bottom"/>
          </w:tcPr>
          <w:p w14:paraId="7A040994" w14:textId="7B848393"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Gabon</w:t>
            </w:r>
          </w:p>
        </w:tc>
        <w:tc>
          <w:tcPr>
            <w:tcW w:w="968" w:type="dxa"/>
            <w:noWrap/>
            <w:vAlign w:val="bottom"/>
          </w:tcPr>
          <w:p w14:paraId="064E0DAC" w14:textId="25ABF3C5"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w:t>
            </w:r>
          </w:p>
        </w:tc>
        <w:tc>
          <w:tcPr>
            <w:tcW w:w="2370" w:type="dxa"/>
            <w:shd w:val="clear" w:color="auto" w:fill="E8E8E8" w:themeFill="background2"/>
            <w:noWrap/>
            <w:vAlign w:val="bottom"/>
          </w:tcPr>
          <w:p w14:paraId="7B6F4697" w14:textId="50B39B2A"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6612.611</w:t>
            </w:r>
          </w:p>
        </w:tc>
      </w:tr>
      <w:tr w:rsidR="00A24BAE" w:rsidRPr="00F5139B" w14:paraId="1AF8D313" w14:textId="77777777" w:rsidTr="00A2738B">
        <w:trPr>
          <w:trHeight w:val="288"/>
          <w:jc w:val="center"/>
        </w:trPr>
        <w:tc>
          <w:tcPr>
            <w:tcW w:w="2160" w:type="dxa"/>
            <w:noWrap/>
            <w:vAlign w:val="bottom"/>
          </w:tcPr>
          <w:p w14:paraId="08057F9C" w14:textId="25B89C82" w:rsidR="00A24BAE" w:rsidRPr="00F5139B" w:rsidRDefault="00A24BAE" w:rsidP="00A24BAE">
            <w:pP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Iraq</w:t>
            </w:r>
          </w:p>
        </w:tc>
        <w:tc>
          <w:tcPr>
            <w:tcW w:w="968" w:type="dxa"/>
            <w:noWrap/>
            <w:vAlign w:val="bottom"/>
          </w:tcPr>
          <w:p w14:paraId="0F6DDAF1" w14:textId="155488DB"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w:t>
            </w:r>
          </w:p>
        </w:tc>
        <w:tc>
          <w:tcPr>
            <w:tcW w:w="2370" w:type="dxa"/>
            <w:shd w:val="clear" w:color="auto" w:fill="E8E8E8" w:themeFill="background2"/>
            <w:noWrap/>
            <w:vAlign w:val="bottom"/>
          </w:tcPr>
          <w:p w14:paraId="047516D0" w14:textId="6712F0EE" w:rsidR="00A24BAE" w:rsidRPr="00F5139B" w:rsidRDefault="00A24BAE" w:rsidP="00A24BAE">
            <w:pPr>
              <w:jc w:val="right"/>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3917.269</w:t>
            </w:r>
          </w:p>
        </w:tc>
      </w:tr>
    </w:tbl>
    <w:p w14:paraId="540E74B0" w14:textId="055C8127" w:rsidR="00DA14F4" w:rsidRPr="00D01184" w:rsidRDefault="00DA14F4" w:rsidP="00DA14F4">
      <w:pPr>
        <w:pStyle w:val="Heading2"/>
      </w:pPr>
      <w:r>
        <w:t xml:space="preserve">Method </w:t>
      </w:r>
      <w:r>
        <w:t>D</w:t>
      </w:r>
      <w:r>
        <w:t xml:space="preserve">: </w:t>
      </w:r>
      <w:r>
        <w:t>Miscellaneous</w:t>
      </w:r>
    </w:p>
    <w:p w14:paraId="5F54D223" w14:textId="4167DBE2" w:rsidR="00DA14F4" w:rsidRDefault="001C58B8" w:rsidP="00FD1CB6">
      <w:r>
        <w:t>This analysis would not be complete without various supplementary tools engineered to give context to the primary metrics of clustering, regression, and ratios. Additional tools included</w:t>
      </w:r>
      <w:r w:rsidR="00800007">
        <w:t xml:space="preserve"> continental correlation</w:t>
      </w:r>
      <w:r>
        <w:t xml:space="preserve"> consisting of a o</w:t>
      </w:r>
      <w:r w:rsidRPr="001C58B8">
        <w:t>ne-way ANOVA to test whether export/HDI ratios differ by continent</w:t>
      </w:r>
      <w:r>
        <w:t xml:space="preserve">, </w:t>
      </w:r>
      <w:r>
        <w:t>heatmap and scatter plot</w:t>
      </w:r>
      <w:r>
        <w:t>s</w:t>
      </w:r>
      <w:r>
        <w:t xml:space="preserve"> (2D and 3D) plotting of exports against HDI, histograms for HDI magnitude prevalence</w:t>
      </w:r>
      <w:r>
        <w:t>, and a filtering tool for HDI/exports that also calculated the HDI to Exports-per-capita ratio.</w:t>
      </w:r>
    </w:p>
    <w:p w14:paraId="4088EE05" w14:textId="0F879466" w:rsidR="00480444" w:rsidRDefault="00480444" w:rsidP="00196A2B">
      <w:pPr>
        <w:pStyle w:val="Heading1"/>
      </w:pPr>
      <w:r>
        <w:lastRenderedPageBreak/>
        <w:t>Conclusions</w:t>
      </w:r>
    </w:p>
    <w:p w14:paraId="60200204" w14:textId="77777777" w:rsidR="00480444" w:rsidRDefault="00480444" w:rsidP="00480444">
      <w:r>
        <w:t xml:space="preserve">We find the certain resource exports correlated well with HDI, while others are not. When resource exports are correlated with HDI, deviations or secondary trends are important for determining any hypothesis of </w:t>
      </w:r>
      <w:r>
        <w:rPr>
          <w:i/>
          <w:iCs/>
        </w:rPr>
        <w:t>resource curse</w:t>
      </w:r>
      <w:r>
        <w:t xml:space="preserve"> or differentiating </w:t>
      </w:r>
      <w:r>
        <w:rPr>
          <w:i/>
          <w:iCs/>
        </w:rPr>
        <w:t>resource-driven growth</w:t>
      </w:r>
      <w:r>
        <w:t>. Clustering can be further used to pick out groups of outliers or notable countries over time, which can translate into further case analysis over a generalized group.</w:t>
      </w:r>
    </w:p>
    <w:p w14:paraId="46FA493E" w14:textId="77777777" w:rsidR="00480444" w:rsidRDefault="00480444" w:rsidP="00480444">
      <w:r>
        <w:t xml:space="preserve">Oil had the most major evidence of the </w:t>
      </w:r>
      <w:r>
        <w:rPr>
          <w:i/>
          <w:iCs/>
        </w:rPr>
        <w:t>resource curse</w:t>
      </w:r>
      <w:r>
        <w:t xml:space="preserve">, with an entirely separate curve for high exporters and several lower-HDI outliers. Closer inspection yields instances of corruption or malfeasance in most countries outlined in those patterns. Rare earth metals followed a new hypothesis, as high exports of such did not appear to drive growth but rather decreased paradoxically as exports increased. Ores, wheat, and wood together mostly followed the same </w:t>
      </w:r>
      <m:oMath>
        <m:r>
          <w:rPr>
            <w:rFonts w:ascii="Cambria Math" w:hAnsi="Cambria Math"/>
          </w:rPr>
          <m:t>log</m:t>
        </m:r>
      </m:oMath>
      <w:r>
        <w:t xml:space="preserve"> pattern of increasing HDI if exports increased, as would be expected of such more generalized and less valuable exports.</w:t>
      </w:r>
    </w:p>
    <w:p w14:paraId="0AD897AF" w14:textId="77777777" w:rsidR="00480444" w:rsidRDefault="00480444" w:rsidP="00480444">
      <w:r>
        <w:t>Further efforts on this exploratory topic should mostly focus less on additional clustering or more accurate regression, but rather on:</w:t>
      </w:r>
    </w:p>
    <w:p w14:paraId="323FC4FB" w14:textId="77777777" w:rsidR="00480444" w:rsidRDefault="00480444" w:rsidP="00480444">
      <w:pPr>
        <w:pStyle w:val="ListParagraph"/>
        <w:numPr>
          <w:ilvl w:val="0"/>
          <w:numId w:val="5"/>
        </w:numPr>
      </w:pPr>
      <w:r>
        <w:t>The development of a more accurate metric or ratio to quantify the prevalence of possible “</w:t>
      </w:r>
      <w:r>
        <w:rPr>
          <w:i/>
          <w:iCs/>
        </w:rPr>
        <w:t>resource curse</w:t>
      </w:r>
      <w:r>
        <w:t>.” The current cropped HDI-exports/</w:t>
      </w:r>
      <w:proofErr w:type="spellStart"/>
      <w:r>
        <w:t>capita</w:t>
      </w:r>
      <w:proofErr w:type="spellEnd"/>
      <w:r>
        <w:t xml:space="preserve"> ratio is not very useful nor specific and requires extensive manual adjustment to the point where personal bias may entirely dictate results.</w:t>
      </w:r>
    </w:p>
    <w:p w14:paraId="537491B2" w14:textId="5DE22D47" w:rsidR="00480444" w:rsidRDefault="00480444" w:rsidP="00480444">
      <w:pPr>
        <w:pStyle w:val="ListParagraph"/>
        <w:numPr>
          <w:ilvl w:val="0"/>
          <w:numId w:val="5"/>
        </w:numPr>
      </w:pPr>
      <w:r>
        <w:t xml:space="preserve">Improvement of heatmap processes. </w:t>
      </w:r>
      <w:r w:rsidR="003A2DAE">
        <w:t>Although the heatmap holds little in the way of analytical rigor, it serves as an excellent vehicle for visualizing results when properly scaled.</w:t>
      </w:r>
    </w:p>
    <w:p w14:paraId="3A064290" w14:textId="35B2CBB5" w:rsidR="00480444" w:rsidRDefault="00480444" w:rsidP="00480444">
      <w:pPr>
        <w:pStyle w:val="ListParagraph"/>
        <w:numPr>
          <w:ilvl w:val="0"/>
          <w:numId w:val="5"/>
        </w:numPr>
      </w:pPr>
      <w:r>
        <w:t xml:space="preserve">Automatic fitting. All hyperparameters were manually adjusted according to calculations and intuition, leading to a very human-fraught analysis best characterized as exploratory. Automatic cropping detection such as percentage cropping has already been implemented, as well as various scaling algorithms such as min-max. Much </w:t>
      </w:r>
      <w:r w:rsidR="00DA14F4">
        <w:t>work</w:t>
      </w:r>
      <w:r>
        <w:t xml:space="preserve"> </w:t>
      </w:r>
      <w:r w:rsidR="00DA14F4">
        <w:t>needs</w:t>
      </w:r>
      <w:r>
        <w:t xml:space="preserve"> to be done </w:t>
      </w:r>
      <w:r>
        <w:rPr>
          <w:i/>
          <w:iCs/>
        </w:rPr>
        <w:t>objectively</w:t>
      </w:r>
      <w:r>
        <w:t xml:space="preserve"> to properly achieve a meaningful high R</w:t>
      </w:r>
      <w:r w:rsidRPr="00BC20FF">
        <w:rPr>
          <w:vertAlign w:val="superscript"/>
        </w:rPr>
        <w:t>2</w:t>
      </w:r>
      <w:r>
        <w:t xml:space="preserve"> value.</w:t>
      </w:r>
    </w:p>
    <w:p w14:paraId="6B633990" w14:textId="4371CD85" w:rsidR="00E6421B" w:rsidRDefault="00480444">
      <w:r>
        <w:t xml:space="preserve">Overall, the numerous tools (especially clustering and regression) developed in this project proved to be extremely enlightening in this exploratory study. Other HDI-export comparison tools included such as numerical correlation functions (countries and continents), heatmaps, histograms, and 2D/3D plots (not mentioned) are incredibly valuable for visualization to understand why some countries and regions remain afflicted by poverty despite </w:t>
      </w:r>
      <w:r w:rsidR="00DA14F4">
        <w:t>apparent</w:t>
      </w:r>
      <w:r>
        <w:t xml:space="preserve"> abundant wealth.</w:t>
      </w:r>
    </w:p>
    <w:sectPr w:rsidR="00E6421B">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ng, Xuena" w:date="2025-08-26T17:49:00Z" w:initials="XW">
    <w:p w14:paraId="052E4B14" w14:textId="77777777" w:rsidR="00480444" w:rsidRDefault="00480444" w:rsidP="00480444">
      <w:pPr>
        <w:pStyle w:val="CommentText"/>
      </w:pPr>
      <w:r>
        <w:rPr>
          <w:rStyle w:val="CommentReference"/>
        </w:rPr>
        <w:annotationRef/>
      </w:r>
      <w:r>
        <w:t>Spell out HDI for first time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2E4B1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533471" w16cex:dateUtc="2025-08-27T0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2E4B14" w16cid:durableId="185334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0724C" w14:textId="77777777" w:rsidR="00482D85" w:rsidRDefault="00482D85" w:rsidP="00E6421B">
      <w:pPr>
        <w:spacing w:after="0" w:line="240" w:lineRule="auto"/>
      </w:pPr>
      <w:r>
        <w:separator/>
      </w:r>
    </w:p>
  </w:endnote>
  <w:endnote w:type="continuationSeparator" w:id="0">
    <w:p w14:paraId="1313DDDE" w14:textId="77777777" w:rsidR="00482D85" w:rsidRDefault="00482D85" w:rsidP="00E64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83FFA" w14:textId="61C75E27" w:rsidR="00D3584B" w:rsidRPr="00D3584B" w:rsidRDefault="00D3584B">
    <w:pPr>
      <w:pStyle w:val="Footer"/>
      <w:rPr>
        <w:rStyle w:val="SubtleReference"/>
      </w:rPr>
    </w:pPr>
    <w:r w:rsidRPr="00D3584B">
      <w:rPr>
        <w:rStyle w:val="SubtleReference"/>
      </w:rPr>
      <w:t>1</w:t>
    </w:r>
    <w:r>
      <w:rPr>
        <w:rStyle w:val="SubtleReference"/>
      </w:rPr>
      <w:t xml:space="preserve"> - </w:t>
    </w:r>
    <w:r w:rsidRPr="00D3584B">
      <w:rPr>
        <w:rStyle w:val="SubtleReference"/>
      </w:rPr>
      <w:t>https://comtradeplus.un.org/</w:t>
    </w:r>
  </w:p>
  <w:p w14:paraId="697B536D" w14:textId="3FCF2DC8" w:rsidR="00D3584B" w:rsidRPr="00D3584B" w:rsidRDefault="00D3584B">
    <w:pPr>
      <w:pStyle w:val="Footer"/>
      <w:rPr>
        <w:rStyle w:val="SubtleReference"/>
      </w:rPr>
    </w:pPr>
    <w:r w:rsidRPr="00D3584B">
      <w:rPr>
        <w:rStyle w:val="SubtleReference"/>
      </w:rPr>
      <w:t>2</w:t>
    </w:r>
    <w:r>
      <w:rPr>
        <w:rStyle w:val="SubtleReference"/>
      </w:rPr>
      <w:t xml:space="preserve"> - </w:t>
    </w:r>
    <w:r w:rsidRPr="00D3584B">
      <w:rPr>
        <w:rStyle w:val="SubtleReference"/>
      </w:rPr>
      <w:t>https://databank.worldbank.org/source/population-estimates-and-projections#</w:t>
    </w:r>
  </w:p>
  <w:p w14:paraId="141571B1" w14:textId="12D82384" w:rsidR="00D3584B" w:rsidRPr="00D3584B" w:rsidRDefault="00D3584B">
    <w:pPr>
      <w:pStyle w:val="Footer"/>
      <w:rPr>
        <w:rStyle w:val="SubtleReference"/>
      </w:rPr>
    </w:pPr>
    <w:r w:rsidRPr="00D3584B">
      <w:rPr>
        <w:rStyle w:val="SubtleReference"/>
      </w:rPr>
      <w:t>3</w:t>
    </w:r>
    <w:r>
      <w:rPr>
        <w:rStyle w:val="SubtleReference"/>
      </w:rPr>
      <w:t xml:space="preserve"> - </w:t>
    </w:r>
    <w:r w:rsidRPr="00D3584B">
      <w:rPr>
        <w:rStyle w:val="SubtleReference"/>
      </w:rPr>
      <w:t>https://hdr.undp.org/data-center/human-development-index#/indicies/HDI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2B69" w14:textId="6FFFA563" w:rsidR="00D3584B" w:rsidRDefault="00D35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07996" w14:textId="77777777" w:rsidR="00482D85" w:rsidRDefault="00482D85" w:rsidP="00E6421B">
      <w:pPr>
        <w:spacing w:after="0" w:line="240" w:lineRule="auto"/>
      </w:pPr>
      <w:r>
        <w:separator/>
      </w:r>
    </w:p>
  </w:footnote>
  <w:footnote w:type="continuationSeparator" w:id="0">
    <w:p w14:paraId="1B26F8DC" w14:textId="77777777" w:rsidR="00482D85" w:rsidRDefault="00482D85" w:rsidP="00E642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16FD1"/>
    <w:multiLevelType w:val="hybridMultilevel"/>
    <w:tmpl w:val="DC9CE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7F6B79"/>
    <w:multiLevelType w:val="multilevel"/>
    <w:tmpl w:val="7C32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4484E"/>
    <w:multiLevelType w:val="multilevel"/>
    <w:tmpl w:val="56C6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346395"/>
    <w:multiLevelType w:val="multilevel"/>
    <w:tmpl w:val="0B76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126B29"/>
    <w:multiLevelType w:val="multilevel"/>
    <w:tmpl w:val="B6A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447066">
    <w:abstractNumId w:val="3"/>
  </w:num>
  <w:num w:numId="2" w16cid:durableId="21395709">
    <w:abstractNumId w:val="2"/>
  </w:num>
  <w:num w:numId="3" w16cid:durableId="27992324">
    <w:abstractNumId w:val="4"/>
  </w:num>
  <w:num w:numId="4" w16cid:durableId="1005933956">
    <w:abstractNumId w:val="1"/>
  </w:num>
  <w:num w:numId="5" w16cid:durableId="4206132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g, Xuena">
    <w15:presenceInfo w15:providerId="AD" w15:userId="S::xuenaw@amgen.com::b5c328e5-4712-4afe-ac27-287c47d20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5C"/>
    <w:rsid w:val="00032451"/>
    <w:rsid w:val="00041F77"/>
    <w:rsid w:val="0004272A"/>
    <w:rsid w:val="00063F6B"/>
    <w:rsid w:val="000829BA"/>
    <w:rsid w:val="000D2FF3"/>
    <w:rsid w:val="000E28DA"/>
    <w:rsid w:val="00101D5F"/>
    <w:rsid w:val="00136092"/>
    <w:rsid w:val="00142F8D"/>
    <w:rsid w:val="00196A2B"/>
    <w:rsid w:val="001C58B8"/>
    <w:rsid w:val="001E3D7C"/>
    <w:rsid w:val="001E612E"/>
    <w:rsid w:val="002046E0"/>
    <w:rsid w:val="00245009"/>
    <w:rsid w:val="00252AA7"/>
    <w:rsid w:val="00255D1D"/>
    <w:rsid w:val="002C1EE2"/>
    <w:rsid w:val="002C44C2"/>
    <w:rsid w:val="003266D2"/>
    <w:rsid w:val="00327AE3"/>
    <w:rsid w:val="003A2DAE"/>
    <w:rsid w:val="003A61E6"/>
    <w:rsid w:val="003C3B61"/>
    <w:rsid w:val="00427847"/>
    <w:rsid w:val="00480444"/>
    <w:rsid w:val="00482D85"/>
    <w:rsid w:val="0049121C"/>
    <w:rsid w:val="004D347A"/>
    <w:rsid w:val="004E4AD5"/>
    <w:rsid w:val="004F7CFE"/>
    <w:rsid w:val="0050187E"/>
    <w:rsid w:val="005750D5"/>
    <w:rsid w:val="005B4AAD"/>
    <w:rsid w:val="005B62A3"/>
    <w:rsid w:val="0060285F"/>
    <w:rsid w:val="00613C15"/>
    <w:rsid w:val="00636DE6"/>
    <w:rsid w:val="00693A70"/>
    <w:rsid w:val="006942DA"/>
    <w:rsid w:val="006D0F4D"/>
    <w:rsid w:val="006E5A13"/>
    <w:rsid w:val="006F3143"/>
    <w:rsid w:val="0071015C"/>
    <w:rsid w:val="00765D8C"/>
    <w:rsid w:val="00785550"/>
    <w:rsid w:val="0079491F"/>
    <w:rsid w:val="007D703A"/>
    <w:rsid w:val="007F3B99"/>
    <w:rsid w:val="00800007"/>
    <w:rsid w:val="0083404E"/>
    <w:rsid w:val="00854E63"/>
    <w:rsid w:val="00873A80"/>
    <w:rsid w:val="008860DE"/>
    <w:rsid w:val="00891461"/>
    <w:rsid w:val="008B1487"/>
    <w:rsid w:val="008C72BA"/>
    <w:rsid w:val="008F3F1A"/>
    <w:rsid w:val="00901618"/>
    <w:rsid w:val="009165C3"/>
    <w:rsid w:val="00964D98"/>
    <w:rsid w:val="00974D0B"/>
    <w:rsid w:val="009846DF"/>
    <w:rsid w:val="009B3DF7"/>
    <w:rsid w:val="009B638A"/>
    <w:rsid w:val="009F358D"/>
    <w:rsid w:val="00A0184A"/>
    <w:rsid w:val="00A24BAE"/>
    <w:rsid w:val="00A2738B"/>
    <w:rsid w:val="00AD78FD"/>
    <w:rsid w:val="00AF47C7"/>
    <w:rsid w:val="00AF71B5"/>
    <w:rsid w:val="00B31A47"/>
    <w:rsid w:val="00B71735"/>
    <w:rsid w:val="00BC20FF"/>
    <w:rsid w:val="00C261E6"/>
    <w:rsid w:val="00C7649B"/>
    <w:rsid w:val="00CA49F4"/>
    <w:rsid w:val="00CB64EE"/>
    <w:rsid w:val="00CB777E"/>
    <w:rsid w:val="00CC0534"/>
    <w:rsid w:val="00CD753A"/>
    <w:rsid w:val="00CE4FA4"/>
    <w:rsid w:val="00D01184"/>
    <w:rsid w:val="00D25382"/>
    <w:rsid w:val="00D3584B"/>
    <w:rsid w:val="00D42F00"/>
    <w:rsid w:val="00DA1341"/>
    <w:rsid w:val="00DA14F4"/>
    <w:rsid w:val="00DC358C"/>
    <w:rsid w:val="00DF722A"/>
    <w:rsid w:val="00E014A2"/>
    <w:rsid w:val="00E01DD9"/>
    <w:rsid w:val="00E12DFA"/>
    <w:rsid w:val="00E14865"/>
    <w:rsid w:val="00E27D44"/>
    <w:rsid w:val="00E46C53"/>
    <w:rsid w:val="00E561ED"/>
    <w:rsid w:val="00E61813"/>
    <w:rsid w:val="00E6421B"/>
    <w:rsid w:val="00EB4B63"/>
    <w:rsid w:val="00EC5B92"/>
    <w:rsid w:val="00F220FF"/>
    <w:rsid w:val="00F5139B"/>
    <w:rsid w:val="00F652E2"/>
    <w:rsid w:val="00F93A8B"/>
    <w:rsid w:val="00FC11EF"/>
    <w:rsid w:val="00FD1CB6"/>
    <w:rsid w:val="00FD716C"/>
    <w:rsid w:val="00FE4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2C203"/>
  <w15:chartTrackingRefBased/>
  <w15:docId w15:val="{EA29D52C-C44B-4A40-9D14-08565D27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444"/>
  </w:style>
  <w:style w:type="paragraph" w:styleId="Heading1">
    <w:name w:val="heading 1"/>
    <w:basedOn w:val="Normal"/>
    <w:next w:val="Normal"/>
    <w:link w:val="Heading1Char"/>
    <w:uiPriority w:val="9"/>
    <w:qFormat/>
    <w:rsid w:val="00710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0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0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0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0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0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10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15C"/>
    <w:rPr>
      <w:rFonts w:eastAsiaTheme="majorEastAsia" w:cstheme="majorBidi"/>
      <w:color w:val="272727" w:themeColor="text1" w:themeTint="D8"/>
    </w:rPr>
  </w:style>
  <w:style w:type="paragraph" w:styleId="Title">
    <w:name w:val="Title"/>
    <w:basedOn w:val="Normal"/>
    <w:next w:val="Normal"/>
    <w:link w:val="TitleChar"/>
    <w:uiPriority w:val="10"/>
    <w:qFormat/>
    <w:rsid w:val="00710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15C"/>
    <w:pPr>
      <w:spacing w:before="160"/>
      <w:jc w:val="center"/>
    </w:pPr>
    <w:rPr>
      <w:i/>
      <w:iCs/>
      <w:color w:val="404040" w:themeColor="text1" w:themeTint="BF"/>
    </w:rPr>
  </w:style>
  <w:style w:type="character" w:customStyle="1" w:styleId="QuoteChar">
    <w:name w:val="Quote Char"/>
    <w:basedOn w:val="DefaultParagraphFont"/>
    <w:link w:val="Quote"/>
    <w:uiPriority w:val="29"/>
    <w:rsid w:val="0071015C"/>
    <w:rPr>
      <w:i/>
      <w:iCs/>
      <w:color w:val="404040" w:themeColor="text1" w:themeTint="BF"/>
    </w:rPr>
  </w:style>
  <w:style w:type="paragraph" w:styleId="ListParagraph">
    <w:name w:val="List Paragraph"/>
    <w:basedOn w:val="Normal"/>
    <w:uiPriority w:val="34"/>
    <w:qFormat/>
    <w:rsid w:val="0071015C"/>
    <w:pPr>
      <w:ind w:left="720"/>
      <w:contextualSpacing/>
    </w:pPr>
  </w:style>
  <w:style w:type="character" w:styleId="IntenseEmphasis">
    <w:name w:val="Intense Emphasis"/>
    <w:basedOn w:val="DefaultParagraphFont"/>
    <w:uiPriority w:val="21"/>
    <w:qFormat/>
    <w:rsid w:val="0071015C"/>
    <w:rPr>
      <w:i/>
      <w:iCs/>
      <w:color w:val="0F4761" w:themeColor="accent1" w:themeShade="BF"/>
    </w:rPr>
  </w:style>
  <w:style w:type="paragraph" w:styleId="IntenseQuote">
    <w:name w:val="Intense Quote"/>
    <w:basedOn w:val="Normal"/>
    <w:next w:val="Normal"/>
    <w:link w:val="IntenseQuoteChar"/>
    <w:uiPriority w:val="30"/>
    <w:qFormat/>
    <w:rsid w:val="00710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15C"/>
    <w:rPr>
      <w:i/>
      <w:iCs/>
      <w:color w:val="0F4761" w:themeColor="accent1" w:themeShade="BF"/>
    </w:rPr>
  </w:style>
  <w:style w:type="character" w:styleId="IntenseReference">
    <w:name w:val="Intense Reference"/>
    <w:basedOn w:val="DefaultParagraphFont"/>
    <w:uiPriority w:val="32"/>
    <w:qFormat/>
    <w:rsid w:val="0071015C"/>
    <w:rPr>
      <w:b/>
      <w:bCs/>
      <w:smallCaps/>
      <w:color w:val="0F4761" w:themeColor="accent1" w:themeShade="BF"/>
      <w:spacing w:val="5"/>
    </w:rPr>
  </w:style>
  <w:style w:type="table" w:styleId="TableGrid">
    <w:name w:val="Table Grid"/>
    <w:basedOn w:val="TableNormal"/>
    <w:uiPriority w:val="39"/>
    <w:rsid w:val="00082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E4AD5"/>
    <w:rPr>
      <w:color w:val="666666"/>
    </w:rPr>
  </w:style>
  <w:style w:type="paragraph" w:styleId="Revision">
    <w:name w:val="Revision"/>
    <w:hidden/>
    <w:uiPriority w:val="99"/>
    <w:semiHidden/>
    <w:rsid w:val="00245009"/>
    <w:pPr>
      <w:spacing w:after="0" w:line="240" w:lineRule="auto"/>
    </w:pPr>
  </w:style>
  <w:style w:type="character" w:styleId="CommentReference">
    <w:name w:val="annotation reference"/>
    <w:basedOn w:val="DefaultParagraphFont"/>
    <w:uiPriority w:val="99"/>
    <w:semiHidden/>
    <w:unhideWhenUsed/>
    <w:rsid w:val="00245009"/>
    <w:rPr>
      <w:sz w:val="16"/>
      <w:szCs w:val="16"/>
    </w:rPr>
  </w:style>
  <w:style w:type="paragraph" w:styleId="CommentText">
    <w:name w:val="annotation text"/>
    <w:basedOn w:val="Normal"/>
    <w:link w:val="CommentTextChar"/>
    <w:uiPriority w:val="99"/>
    <w:unhideWhenUsed/>
    <w:rsid w:val="00245009"/>
    <w:pPr>
      <w:spacing w:line="240" w:lineRule="auto"/>
    </w:pPr>
    <w:rPr>
      <w:sz w:val="20"/>
      <w:szCs w:val="20"/>
    </w:rPr>
  </w:style>
  <w:style w:type="character" w:customStyle="1" w:styleId="CommentTextChar">
    <w:name w:val="Comment Text Char"/>
    <w:basedOn w:val="DefaultParagraphFont"/>
    <w:link w:val="CommentText"/>
    <w:uiPriority w:val="99"/>
    <w:rsid w:val="00245009"/>
    <w:rPr>
      <w:sz w:val="20"/>
      <w:szCs w:val="20"/>
    </w:rPr>
  </w:style>
  <w:style w:type="paragraph" w:styleId="CommentSubject">
    <w:name w:val="annotation subject"/>
    <w:basedOn w:val="CommentText"/>
    <w:next w:val="CommentText"/>
    <w:link w:val="CommentSubjectChar"/>
    <w:uiPriority w:val="99"/>
    <w:semiHidden/>
    <w:unhideWhenUsed/>
    <w:rsid w:val="00245009"/>
    <w:rPr>
      <w:b/>
      <w:bCs/>
    </w:rPr>
  </w:style>
  <w:style w:type="character" w:customStyle="1" w:styleId="CommentSubjectChar">
    <w:name w:val="Comment Subject Char"/>
    <w:basedOn w:val="CommentTextChar"/>
    <w:link w:val="CommentSubject"/>
    <w:uiPriority w:val="99"/>
    <w:semiHidden/>
    <w:rsid w:val="00245009"/>
    <w:rPr>
      <w:b/>
      <w:bCs/>
      <w:sz w:val="20"/>
      <w:szCs w:val="20"/>
    </w:rPr>
  </w:style>
  <w:style w:type="character" w:styleId="Hyperlink">
    <w:name w:val="Hyperlink"/>
    <w:basedOn w:val="DefaultParagraphFont"/>
    <w:uiPriority w:val="99"/>
    <w:unhideWhenUsed/>
    <w:rsid w:val="00765D8C"/>
    <w:rPr>
      <w:color w:val="467886" w:themeColor="hyperlink"/>
      <w:u w:val="single"/>
    </w:rPr>
  </w:style>
  <w:style w:type="character" w:styleId="UnresolvedMention">
    <w:name w:val="Unresolved Mention"/>
    <w:basedOn w:val="DefaultParagraphFont"/>
    <w:uiPriority w:val="99"/>
    <w:semiHidden/>
    <w:unhideWhenUsed/>
    <w:rsid w:val="00765D8C"/>
    <w:rPr>
      <w:color w:val="605E5C"/>
      <w:shd w:val="clear" w:color="auto" w:fill="E1DFDD"/>
    </w:rPr>
  </w:style>
  <w:style w:type="paragraph" w:styleId="Header">
    <w:name w:val="header"/>
    <w:basedOn w:val="Normal"/>
    <w:link w:val="HeaderChar"/>
    <w:uiPriority w:val="99"/>
    <w:unhideWhenUsed/>
    <w:rsid w:val="00E642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21B"/>
  </w:style>
  <w:style w:type="paragraph" w:styleId="Footer">
    <w:name w:val="footer"/>
    <w:basedOn w:val="Normal"/>
    <w:link w:val="FooterChar"/>
    <w:uiPriority w:val="99"/>
    <w:unhideWhenUsed/>
    <w:rsid w:val="00E642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21B"/>
  </w:style>
  <w:style w:type="character" w:styleId="SubtleReference">
    <w:name w:val="Subtle Reference"/>
    <w:basedOn w:val="DefaultParagraphFont"/>
    <w:uiPriority w:val="31"/>
    <w:qFormat/>
    <w:rsid w:val="00D3584B"/>
    <w:rPr>
      <w:smallCaps/>
      <w:color w:val="5A5A5A" w:themeColor="text1" w:themeTint="A5"/>
    </w:rPr>
  </w:style>
  <w:style w:type="character" w:styleId="FollowedHyperlink">
    <w:name w:val="FollowedHyperlink"/>
    <w:basedOn w:val="DefaultParagraphFont"/>
    <w:uiPriority w:val="99"/>
    <w:semiHidden/>
    <w:unhideWhenUsed/>
    <w:rsid w:val="00D358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91AC8-940B-4128-80C2-1ED643234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9</Pages>
  <Words>2618</Words>
  <Characters>14926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Cai</dc:creator>
  <cp:keywords/>
  <dc:description/>
  <cp:lastModifiedBy>Richard Cai</cp:lastModifiedBy>
  <cp:revision>79</cp:revision>
  <dcterms:created xsi:type="dcterms:W3CDTF">2025-08-26T02:13:00Z</dcterms:created>
  <dcterms:modified xsi:type="dcterms:W3CDTF">2025-10-22T17:05:00Z</dcterms:modified>
</cp:coreProperties>
</file>