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$11.90 (−21%). The market prices NCLH on net yield (ticket and onboard revenue, less commissions and onboard costs, per available berth-day), and the share price assumes net yield climbs back above its 2025 level. We think it falls again in 2027, for two reasons. First, NCL is losing the Caribbean to Royal Caribbean and Carnival, whose private islands and ships fill at full price, so NCL has to fill its ships by cutting fares; this is competition, not the war, and its own new island and ships have not fixed it. Our scrape of 4,783 itineraries from a public fare tracker shows NCL’s 1H27 Caribbean fares down 14.5% while its rivals hold theirs, which lowers ticket price per passenger day (KPI 1). Second, NCL’s Best Price Guarantee gives guests no reason to book early, so management’s plan to rebuild prices by selling cabins early will not work. NCL’s deposits, from its SEC filings, already show the booking shortfall, and since COVID deposits have reached net yield about four quarters later; that lowers 2027 occupancy (KPI 2) and keeps 2H27 prices down. Our 2027 EBITDA of $2.47B is $221M below the Street’s $2.69B, and these two reasons account for almost all of the gap. Our EPS is $0.95; consensus of $1.46–1.67 is further off because it has not absorbed the September interest guide.</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Returns differ: 2025 return on capital was about 16% at Royal and 12% at Carnival, against about 10% at NCLH, close to its cost of capital.</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it models 2027 revenue of $10.6B and EBITDA of $2.69B, and the $18.80 average target needs $2.9B.</w:t>
      </w:r>
    </w:p>
    <w:p>
      <w:pPr>
        <w:widowControl/>
        <w:spacing w:after="40"/>
        <w:jc w:val="both"/>
      </w:pPr>
      <w:r>
        <w:t xml:space="preserve">Sentiment has turned faster than estimates. Ratings are 4 Buy, 15 Hold and 0 Sell (11, 4 and 0 a year ago) and short interest is 20.7% of float, yet consensus 2027 EPS moved only two cents when NCLH guided 2027 interest $0.35 a share higher on September 30; at the Street’s own EBITDA and the guided interest, EPS is about $1.41. The bull argument is that the selloff was oil and the sector. Our regression puts 54% of the decline there, but NCLH moved no more than Carnival on the biggest oil days, and the NCL-specific 46% came on six company news days and did not reverse.</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560320" cy="1945843"/>
                    </a:xfrm>
                    <a:prstGeom prst="rect">
                      <a:avLst/>
                    </a:prstGeom>
                  </pic:spPr>
                </pic:pic>
              </a:graphicData>
            </a:graphic>
          </wp:anchor>
        </w:drawing>
      </w:r>
      <w:r>
        <w:rPr>
          <w:b/>
        </w:rPr>
        <w:t xml:space="preserve">Thesis 1: NCL is cutting prices because it is losing share in the Caribbean, and the cuts reach 1H27 revenue.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which also added Caribbean ships,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and $118 at Royal, and 71% of its Caribbean itineraries sit at record-low fares against 45% at both rivals. Oceania and Regent show no cuts, so the problem is the NCL brand.</w:t>
      </w:r>
    </w:p>
    <w:p>
      <w:pPr>
        <w:widowControl/>
        <w:spacing w:after="40"/>
        <w:jc w:val="both"/>
      </w:pPr>
      <w:r>
        <w:t xml:space="preserve">Lowest fares are not realized prices, but realized prices are moving the same way: NCLH’s ticket revenue per passenger day fell 5.6% in 1H26. For the model, the cuts matter only for cabins NCL has not yet sold. With a normal booking curve and the booking shortfall from Thesis 2, about 45% of 1Q27 and 55% of 2Q27 cabins are still unsold, and 74% of NCL-brand capacity sails in the Caribbean in 1Q27. We weight the NCL brand at 65% of ticket revenue: if Oceania and Regent sell near their lowest fares, as all-suite ships tend to, NCL must make up about 66% of the $265 of ticket revenue per passenger day NCLH reported for 2025. That takes 1H27 ticket price (KPI 1) to −2.6% y/y against −1.1% in the consensus case. The same data, with Q4 sailings cut 36%, puts 4Q26 net yield at −7.0%, half a point below the implied guide. The main risk is that the cuts reverse before guests book; we re-run the fare panel monthly.</w:t>
      </w:r>
    </w:p>
    <w:p>
      <w:pPr>
        <w:widowControl/>
        <w:spacing w:before="40" w:after="40"/>
        <w:jc w:val="both"/>
      </w:pPr>
      <w:r>
        <w:rPr>
          <w:b/>
        </w:rPr>
        <w:t xml:space="preserve">Thesis 2: NCL’s booking shortfall is already in its deposits, and deposits reach net yield about a year later. </w:t>
      </w:r>
      <w:r>
        <w:t xml:space="preserve">The consensus case has net yield up about 3% in 2H27, helped by easy comparisons and by base-loading: opening sailings at lower fares and raising them as ships fill. That needs guests who book early because they expect prices to rise. NCL’s Best Price Guarantee removes the reason to: before final payment a booked guest can move to any lower fare, and after it a guest on a cruise of six nights or more gets an upgrade or future-cruise credit for the difference, while Royal offers nothing after final payment. NCL has also shown guests that it cuts late: 77% of its 4Q26 Caribbean sailings of seven nights or more have been cut 20% or more. Filling ships late with price has costs beyond the fare: in 1Q26 occupancy rose 2.3 points, but net yield still fell 1.0% and onboard revenue per passenger day fell 2.9%, because guests who buy on discount spend less on board.</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377440" cy="1854403"/>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377440" cy="1854403"/>
                    </a:xfrm>
                    <a:prstGeom prst="rect">
                      <a:avLst/>
                    </a:prstGeom>
                  </pic:spPr>
                </pic:pic>
              </a:graphicData>
            </a:graphic>
          </wp:anchor>
        </w:drawing>
      </w:r>
      <w:r>
        <w:t xml:space="preserve">The shortfall is already visible. Deposits per future berth-day are down 8.3% y/y, the seventh decline in a row, while Royal’s and Carnival’s are growing, and NCL says it is “below its optimal booked position for the next 12 months.” This is not a shift to shorter cruises, which book later: about a third of 4Q26 Caribbean itineraries are 3–5 nights at NCL, Royal and Carnival alike, and NCL is cutting both lengths. The lag from deposits to net yield is also predictable. Guests pay deposits when they book, so deposits move first. Before COVID the lead was one to two quarters. Since COVID guests book further ahead (advance ticket sales are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the 3Q26 guide and 4Q26 implied figure fit as well (Exhibit 3). On that lag, the March and June readings fall on 1Q27 and 2Q27, the quarters consensus expects to recover. A simple fit over those eight quarters points to 1H27 net yield of about −4%, against −2.6% in our model and −0.2% in the consensus case.</w:t>
      </w:r>
    </w:p>
    <w:p>
      <w:pPr>
        <w:widowControl/>
        <w:spacing w:after="40"/>
        <w:jc w:val="both"/>
      </w:pPr>
      <w:r>
        <w:t xml:space="preserve">In the model we size the shortfall from deposits: if booked fares fell as much as realized fares, about 3 points fewer cabins are booked; if booked fares were flat, about 8. We use 5. We assume 20% of those cabins sail empty, about half of what the 2026 link between deposits and occupancy implies, and the rest sell late at NCL’s current close-in discount of about 25%. That puts 2027 occupancy (KPI 2) at 102.1%, a point below the consensus case, takes about 0.9 points off 2H27 ticket price and holds onboard spending growth to 2% against 3.5% (it fell 0.3% in 2025 and rose about 1% in 1H26).</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Each data set moves one KPI in our quarterly net yield build (net yield = occupancy × revenue per passenger day). Our consensus case reproduces the Street’s 2027 revenue ($10.6B) and, at run-rate unit costs, its EBITDA ($2.68B against $2.69B). We use the same costs, so the whole $208M gap to our $2.47B is revenue that the fare panel and deposits point to (Exhibit 4). Consensus EPS needs more: unit costs falling 0.5% in 2027, worth another $107M, on top of the Street’s EBITDA.</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Alternative data → model input</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Fare panel → 4Q26 net yield (exit rate)</w:t>
                  </w:r>
                </w:p>
              </w:tc>
              <w:tc>
                <w:tcPr>
                  <w:tcW w:w="1150" w:type="dxa"/>
                  <w:vAlign w:val="center"/>
                </w:tcPr>
                <w:p>
                  <w:pPr>
                    <w:spacing w:after="0"/>
                    <w:jc w:val="center"/>
                  </w:pPr>
                  <w:r>
                    <w:rPr>
                      <w:sz w:val="15"/>
                    </w:rPr>
                    <w:t xml:space="preserve">−6.0%</w:t>
                  </w:r>
                </w:p>
              </w:tc>
              <w:tc>
                <w:tcPr>
                  <w:tcW w:w="1150" w:type="dxa"/>
                  <w:vAlign w:val="center"/>
                </w:tcPr>
                <w:p>
                  <w:pPr>
                    <w:spacing w:after="0"/>
                    <w:jc w:val="center"/>
                  </w:pPr>
                  <w:r>
                    <w:rPr>
                      <w:sz w:val="15"/>
                    </w:rPr>
                    <w:t xml:space="preserve">−7.0%</w:t>
                  </w:r>
                </w:p>
              </w:tc>
              <w:tc>
                <w:tcPr>
                  <w:tcW w:w="1000" w:type="dxa"/>
                  <w:vAlign w:val="center"/>
                </w:tcPr>
                <w:p>
                  <w:pPr>
                    <w:spacing w:after="0"/>
                    <w:jc w:val="center"/>
                  </w:pPr>
                  <w:r>
                    <w:rPr>
                      <w:sz w:val="15"/>
                    </w:rPr>
                    <w:t xml:space="preserve">−29</w:t>
                  </w:r>
                </w:p>
              </w:tc>
            </w:tr>
            <w:tr>
              <w:trPr>
                <w:cantSplit/>
              </w:trPr>
              <w:tc>
                <w:tcPr>
                  <w:tcW w:w="2700" w:type="dxa"/>
                  <w:vAlign w:val="center"/>
                </w:tcPr>
                <w:p>
                  <w:pPr>
                    <w:spacing w:after="0"/>
                  </w:pPr>
                  <w:r>
                    <w:rPr>
                      <w:sz w:val="15"/>
                    </w:rPr>
                    <w:t xml:space="preserve">Fare panel → KPI 1: 1H27 ticket price y/y</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Deposits → KPI 1: 2H27 ticket price y/y</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Deposits → KPI 2: 2027 occupancy</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Both →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shd w:val="clear" w:color="auto" w:fill="F2F2F2"/>
                  <w:vAlign w:val="center"/>
                </w:tcPr>
                <w:p>
                  <w:pPr>
                    <w:spacing w:after="0"/>
                  </w:pPr>
                  <w:r>
                    <w:rPr>
                      <w:b/>
                      <w:sz w:val="15"/>
                    </w:rPr>
                    <w:t xml:space="preserve">2027 EBITDA (run-rate unit costs in both)</w:t>
                  </w:r>
                </w:p>
              </w:tc>
              <w:tc>
                <w:tcPr>
                  <w:tcW w:w="1150" w:type="dxa"/>
                  <w:shd w:val="clear" w:color="auto" w:fill="F2F2F2"/>
                  <w:vAlign w:val="center"/>
                </w:tcPr>
                <w:p>
                  <w:pPr>
                    <w:spacing w:after="0"/>
                    <w:jc w:val="center"/>
                  </w:pPr>
                  <w:r>
                    <w:rPr>
                      <w:b/>
                      <w:sz w:val="15"/>
                    </w:rPr>
                    <w:t xml:space="preserve">$2.68B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−208</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8.5x forward multiple, less $15.9B of year-end net debt. Our $2.47B gives $10.82 a share (−28%), and a DCF of 2027–30 cash flows gives $8.26. Each point of 2027 ticket price is worth about $0.90 a share and each point of occupancy about $1.40. If consensus EPS is right, which needs the Street’s revenue and falling unit costs, and the stock re-rates to 9x, it is worth about $19.70 (+31%); if discounting spreads into 2H27, about $6.20 (−59%). Weighted 25/50/25, value is about $11.90 (−21%). The multiple is the main valuation risk: at 9.0x our EBITDA is worth about $13.70 (−9%). We use today’s multiple because NCLH’s has moved with net yield, falling from 10.0x to 8.7x between September 2025 and March 2026 as net yield turned negative. If cost savings let unit costs fall 0.5%, value rises to about $12.80 (−15%).</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EPS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$19.74</w:t>
            </w:r>
          </w:p>
        </w:tc>
        <w:tc>
          <w:tcPr>
            <w:tcW w:w="1000" w:type="dxa"/>
            <w:vAlign w:val="center"/>
          </w:tcPr>
          <w:p>
            <w:pPr>
              <w:spacing w:after="0"/>
              <w:jc w:val="center"/>
            </w:pPr>
            <w:r>
              <w:rPr>
                <w:sz w:val="15"/>
              </w:rPr>
              <w:t xml:space="preserve">+31%</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$10.82</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$6.24</w:t>
            </w:r>
          </w:p>
        </w:tc>
        <w:tc>
          <w:tcPr>
            <w:tcW w:w="1000" w:type="dxa"/>
            <w:vAlign w:val="center"/>
          </w:tcPr>
          <w:p>
            <w:pPr>
              <w:spacing w:after="0"/>
              <w:jc w:val="center"/>
            </w:pPr>
            <w:r>
              <w:rPr>
                <w:sz w:val="15"/>
              </w:rPr>
              <w:t xml:space="preserve">−59%</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$11.90</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Catalysts and when we would cover: </w:t>
      </w:r>
      <w:r>
        <w:t xml:space="preserve">November 4 (3Q26): earnings should beat ($0.90 guided against $0.83), but those cruises were sold before the cuts; the number to watch is September 30 advance ticket sales, which we expect at $2.94B (−7% y/y). Late February: the first 2027 guide, which we expect at or below flat net yield against +1.6% in the consensus case. May 2027: 1Q27 results, where we model occupancy of 101.8% and ticket price per passenger day down 2.8%. We would cover on the data, whatever the price: advance ticket sales of $3.11B or more, a fare-panel re-run showing NCL’s 1H27 Caribbean cuts back near peers’, or a 2027 guide above +1%.</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Elliott could push for a sale, though net debt above 5x EBITDA makes a buyout hard to finance. We could also be early: in this cycle deposits turned about a year before net yield.</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action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