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20"/>
      </w:pPr>
    </w:p>
    <w:p>
      <w:pPr>
        <w:spacing w:after="80"/>
      </w:pPr>
      <w:r>
        <w:rPr>
          <w:rFonts w:ascii="微软雅黑" w:hAnsi="微软雅黑" w:eastAsia="微软雅黑"/>
          <w:b/>
          <w:color w:val="202B38"/>
          <w:sz w:val="46"/>
        </w:rPr>
        <w:t>后端开发工作总结报告</w:t>
      </w:r>
    </w:p>
    <w:p>
      <w:pPr>
        <w:spacing w:after="320"/>
      </w:pPr>
      <w:r>
        <w:rPr>
          <w:rFonts w:ascii="微软雅黑" w:hAnsi="微软雅黑" w:eastAsia="微软雅黑"/>
          <w:color w:val="646C76"/>
          <w:sz w:val="28"/>
        </w:rPr>
        <w:t>SwapCampus 校园闲置物品交易平台</w:t>
      </w:r>
    </w:p>
    <w:p>
      <w:pPr>
        <w:spacing w:after="40"/>
      </w:pPr>
      <w:r>
        <w:rPr>
          <w:rFonts w:ascii="微软雅黑" w:hAnsi="微软雅黑" w:eastAsia="微软雅黑"/>
          <w:b/>
          <w:color w:val="1F4D78"/>
          <w:sz w:val="21"/>
        </w:rPr>
        <w:t>课程：</w:t>
      </w:r>
      <w:r>
        <w:rPr>
          <w:rFonts w:ascii="宋体" w:hAnsi="宋体" w:eastAsia="宋体"/>
          <w:color w:val="202B38"/>
          <w:sz w:val="21"/>
        </w:rPr>
        <w:t>软件工程（课程设计）</w:t>
      </w:r>
    </w:p>
    <w:p>
      <w:pPr>
        <w:spacing w:after="40"/>
      </w:pPr>
      <w:r>
        <w:rPr>
          <w:rFonts w:ascii="微软雅黑" w:hAnsi="微软雅黑" w:eastAsia="微软雅黑"/>
          <w:b/>
          <w:color w:val="1F4D78"/>
          <w:sz w:val="21"/>
        </w:rPr>
        <w:t>项目：</w:t>
      </w:r>
      <w:r>
        <w:rPr>
          <w:rFonts w:ascii="宋体" w:hAnsi="宋体" w:eastAsia="宋体"/>
          <w:color w:val="202B38"/>
          <w:sz w:val="21"/>
        </w:rPr>
        <w:t>SwapCampus 校园闲置物品交易平台</w:t>
      </w:r>
    </w:p>
    <w:p>
      <w:pPr>
        <w:spacing w:after="40"/>
      </w:pPr>
      <w:r>
        <w:rPr>
          <w:rFonts w:ascii="微软雅黑" w:hAnsi="微软雅黑" w:eastAsia="微软雅黑"/>
          <w:b/>
          <w:color w:val="1F4D78"/>
          <w:sz w:val="21"/>
        </w:rPr>
        <w:t>姓名：</w:t>
      </w:r>
      <w:r>
        <w:rPr>
          <w:rFonts w:ascii="宋体" w:hAnsi="宋体" w:eastAsia="宋体"/>
          <w:color w:val="202B38"/>
          <w:sz w:val="21"/>
        </w:rPr>
        <w:t>陈宣妤</w:t>
      </w:r>
    </w:p>
    <w:p>
      <w:pPr>
        <w:spacing w:after="40"/>
      </w:pPr>
      <w:r>
        <w:rPr>
          <w:rFonts w:ascii="微软雅黑" w:hAnsi="微软雅黑" w:eastAsia="微软雅黑"/>
          <w:b/>
          <w:color w:val="1F4D78"/>
          <w:sz w:val="21"/>
        </w:rPr>
        <w:t>班级 / 学号：</w:t>
      </w:r>
      <w:r>
        <w:rPr>
          <w:rFonts w:ascii="宋体" w:hAnsi="宋体" w:eastAsia="宋体"/>
          <w:color w:val="202B38"/>
          <w:sz w:val="21"/>
        </w:rPr>
        <w:t>计算机23-1 / 221701111</w:t>
      </w:r>
    </w:p>
    <w:p>
      <w:pPr>
        <w:spacing w:after="40"/>
      </w:pPr>
      <w:r>
        <w:rPr>
          <w:rFonts w:ascii="微软雅黑" w:hAnsi="微软雅黑" w:eastAsia="微软雅黑"/>
          <w:b/>
          <w:color w:val="1F4D78"/>
          <w:sz w:val="21"/>
        </w:rPr>
        <w:t>小组：</w:t>
      </w:r>
      <w:r>
        <w:rPr>
          <w:rFonts w:ascii="宋体" w:hAnsi="宋体" w:eastAsia="宋体"/>
          <w:color w:val="202B38"/>
          <w:sz w:val="21"/>
        </w:rPr>
        <w:t>G18 张文乐小组</w:t>
      </w:r>
    </w:p>
    <w:p>
      <w:pPr>
        <w:spacing w:after="40"/>
      </w:pPr>
      <w:r>
        <w:rPr>
          <w:rFonts w:ascii="微软雅黑" w:hAnsi="微软雅黑" w:eastAsia="微软雅黑"/>
          <w:b/>
          <w:color w:val="1F4D78"/>
          <w:sz w:val="21"/>
        </w:rPr>
        <w:t>主要职责：</w:t>
      </w:r>
      <w:r>
        <w:rPr>
          <w:rFonts w:ascii="宋体" w:hAnsi="宋体" w:eastAsia="宋体"/>
          <w:color w:val="202B38"/>
          <w:sz w:val="21"/>
        </w:rPr>
        <w:t>需求分析、概要设计、详细设计及后端核心业务完善</w:t>
      </w:r>
    </w:p>
    <w:p>
      <w:pPr>
        <w:spacing w:after="40"/>
      </w:pPr>
      <w:r>
        <w:rPr>
          <w:rFonts w:ascii="微软雅黑" w:hAnsi="微软雅黑" w:eastAsia="微软雅黑"/>
          <w:b/>
          <w:color w:val="1F4D78"/>
          <w:sz w:val="21"/>
        </w:rPr>
        <w:t>报告日期：</w:t>
      </w:r>
      <w:r>
        <w:rPr>
          <w:rFonts w:ascii="宋体" w:hAnsi="宋体" w:eastAsia="宋体"/>
          <w:color w:val="202B38"/>
          <w:sz w:val="21"/>
        </w:rPr>
        <w:t>2026-06-14</w:t>
      </w:r>
    </w:p>
    <w:p>
      <w:pPr>
        <w:spacing w:before="240" w:after="240"/>
        <w:pBdr>
          <w:bottom w:val="single" w:sz="8" w:space="1" w:color="2E74B5"/>
        </w:pBdr>
      </w:pPr>
    </w:p>
    <w:p>
      <w:pPr>
        <w:pStyle w:val="Heading1"/>
      </w:pPr>
      <w:r>
        <w:t>一、工作概述</w:t>
      </w:r>
    </w:p>
    <w:p>
      <w:pPr>
        <w:spacing w:line="300" w:lineRule="auto" w:after="140"/>
        <w:ind w:firstLine="440"/>
        <w:jc w:val="both"/>
      </w:pPr>
      <w:r>
        <w:rPr>
          <w:rFonts w:ascii="宋体" w:hAnsi="宋体" w:eastAsia="宋体"/>
          <w:color w:val="202B38"/>
          <w:sz w:val="22"/>
        </w:rPr>
        <w:t>本次课程设计中，我主要承担 SwapCampus 项目的需求分析、概要设计、详细设计以及后端核心业务完善工作。代码部分以现有 Spring Boot 项目为基础，根据需求规格、教师修改意见和小组项目计划，对注册认证、商品与收藏、线下订单、举报处置等业务进行了补全和加固，并配合完成 Pull Request、持续集成和主分支合并。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/>
                <w:color w:val="1F4D78"/>
                <w:sz w:val="21"/>
              </w:rPr>
              <w:t>成果摘要</w:t>
            </w:r>
          </w:p>
          <w:p>
            <w:pPr>
              <w:spacing w:after="0" w:line="288" w:lineRule="auto"/>
            </w:pPr>
            <w:r>
              <w:rPr>
                <w:rFonts w:ascii="宋体" w:hAnsi="宋体" w:eastAsia="宋体"/>
                <w:color w:val="202B38"/>
                <w:sz w:val="21"/>
              </w:rPr>
              <w:t>后端业务提交涉及 11 个 Java 文件，新增 365 行、删除 28 行；新增 ReportController、ReportRequest、ReportService、WalletMapper 4 个核心文件。相关代码通过 PR #1 合并至 main，Backend、Frontend 与 Docker CI 最终全部通过。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72"/>
        <w:gridCol w:w="5903"/>
        <w:gridCol w:w="1584"/>
      </w:tblGrid>
      <w:tr>
        <w:tc>
          <w:tcPr>
            <w:tcW w:type="dxa" w:w="1872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1F4D78"/>
                <w:sz w:val="20"/>
              </w:rPr>
              <w:t>成果类别</w:t>
            </w:r>
          </w:p>
        </w:tc>
        <w:tc>
          <w:tcPr>
            <w:tcW w:type="dxa" w:w="5903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1F4D78"/>
                <w:sz w:val="20"/>
              </w:rPr>
              <w:t>具体产出</w:t>
            </w:r>
          </w:p>
        </w:tc>
        <w:tc>
          <w:tcPr>
            <w:tcW w:type="dxa" w:w="1584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1F4D78"/>
                <w:sz w:val="20"/>
              </w:rPr>
              <w:t>状态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color w:val="202B38"/>
                <w:sz w:val="19"/>
              </w:rPr>
              <w:t>需求与设计</w:t>
            </w:r>
          </w:p>
        </w:tc>
        <w:tc>
          <w:tcPr>
            <w:tcW w:type="dxa" w:w="5903"/>
            <w:vAlign w:val="center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color w:val="202B38"/>
                <w:sz w:val="19"/>
              </w:rPr>
              <w:t>需求规格说明、概要设计、详细设计及配套架构图</w:t>
            </w:r>
          </w:p>
        </w:tc>
        <w:tc>
          <w:tcPr>
            <w:tcW w:type="dxa" w:w="1584"/>
            <w:vAlign w:val="center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color w:val="202B38"/>
                <w:sz w:val="19"/>
              </w:rPr>
              <w:t>已完成并合入 main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color w:val="202B38"/>
                <w:sz w:val="19"/>
              </w:rPr>
              <w:t>后端功能</w:t>
            </w:r>
          </w:p>
        </w:tc>
        <w:tc>
          <w:tcPr>
            <w:tcW w:type="dxa" w:w="5903"/>
            <w:vAlign w:val="center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color w:val="202B38"/>
                <w:sz w:val="19"/>
              </w:rPr>
              <w:t>注册、钱包、商品、收藏、订单、举报与管理处置</w:t>
            </w:r>
          </w:p>
        </w:tc>
        <w:tc>
          <w:tcPr>
            <w:tcW w:type="dxa" w:w="1584"/>
            <w:vAlign w:val="center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color w:val="202B38"/>
                <w:sz w:val="19"/>
              </w:rPr>
              <w:t>已完成并合入 main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color w:val="202B38"/>
                <w:sz w:val="19"/>
              </w:rPr>
              <w:t>工程验证</w:t>
            </w:r>
          </w:p>
        </w:tc>
        <w:tc>
          <w:tcPr>
            <w:tcW w:type="dxa" w:w="5903"/>
            <w:vAlign w:val="center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color w:val="202B38"/>
                <w:sz w:val="19"/>
              </w:rPr>
              <w:t>Maven 编译、前端构建、GitHub Actions、Docker 镜像构建</w:t>
            </w:r>
          </w:p>
        </w:tc>
        <w:tc>
          <w:tcPr>
            <w:tcW w:type="dxa" w:w="1584"/>
            <w:vAlign w:val="center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color w:val="202B38"/>
                <w:sz w:val="19"/>
              </w:rPr>
              <w:t>全部通过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color w:val="202B38"/>
                <w:sz w:val="19"/>
              </w:rPr>
              <w:t>协作交付</w:t>
            </w:r>
          </w:p>
        </w:tc>
        <w:tc>
          <w:tcPr>
            <w:tcW w:type="dxa" w:w="5903"/>
            <w:vAlign w:val="center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color w:val="202B38"/>
                <w:sz w:val="19"/>
              </w:rPr>
              <w:t>分支管理、提交、Pull Request、冲突处理及合并</w:t>
            </w:r>
          </w:p>
        </w:tc>
        <w:tc>
          <w:tcPr>
            <w:tcW w:type="dxa" w:w="1584"/>
            <w:vAlign w:val="center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color w:val="202B38"/>
                <w:sz w:val="19"/>
              </w:rPr>
              <w:t>已完成</w:t>
            </w:r>
          </w:p>
        </w:tc>
      </w:tr>
    </w:tbl>
    <w:p>
      <w:pPr>
        <w:spacing w:after="40"/>
      </w:pPr>
    </w:p>
    <w:p>
      <w:pPr>
        <w:pStyle w:val="Heading1"/>
      </w:pPr>
      <w:r>
        <w:t>二、主要实现功能</w:t>
      </w:r>
    </w:p>
    <w:p>
      <w:pPr>
        <w:pStyle w:val="Heading2"/>
      </w:pPr>
      <w:r>
        <w:t>2.1 用户注册、身份校验与钱包初始化</w:t>
      </w:r>
    </w:p>
    <w:p>
      <w:pPr>
        <w:spacing w:line="300" w:lineRule="auto" w:after="140"/>
        <w:ind w:firstLine="440"/>
        <w:jc w:val="both"/>
      </w:pPr>
      <w:r>
        <w:rPr>
          <w:rFonts w:ascii="宋体" w:hAnsi="宋体" w:eastAsia="宋体"/>
          <w:color w:val="202B38"/>
          <w:sz w:val="22"/>
        </w:rPr>
        <w:t>在原有注册流程基础上，增加学号和用户名唯一性检查。AuthService 在创建用户前分别调用 UserMapper.findByStudentId 和用户名查询逻辑，发现重复信息时直接返回明确的业务错误，避免同一学号被重复注册。注册请求同时要求手机号和邮箱至少填写一项，以便后续联系和账号管理。</w:t>
      </w:r>
    </w:p>
    <w:p>
      <w:pPr>
        <w:spacing w:line="300" w:lineRule="auto" w:after="140"/>
        <w:ind w:firstLine="440"/>
        <w:jc w:val="both"/>
      </w:pPr>
      <w:r>
        <w:rPr>
          <w:rFonts w:ascii="宋体" w:hAnsi="宋体" w:eastAsia="宋体"/>
          <w:color w:val="202B38"/>
          <w:sz w:val="22"/>
        </w:rPr>
        <w:t>用户密码使用 BCrypt 加密后写入数据库，注册成功后通过新增的 WalletMapper 自动初始化钱包记录。用户写入与钱包初始化位于同一事务中，任一步骤发生异常均整体回滚，避免出现用户已创建但钱包缺失的数据不一致问题。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/>
                <w:color w:val="1F4D78"/>
                <w:sz w:val="21"/>
              </w:rPr>
              <w:t>设计重点</w:t>
            </w:r>
          </w:p>
          <w:p>
            <w:pPr>
              <w:spacing w:after="0" w:line="288" w:lineRule="auto"/>
            </w:pPr>
            <w:r>
              <w:rPr>
                <w:rFonts w:ascii="宋体" w:hAnsi="宋体" w:eastAsia="宋体"/>
                <w:color w:val="202B38"/>
                <w:sz w:val="21"/>
              </w:rPr>
              <w:t>学号唯一性能够防止重复注册，但不能独立证明注册者就是学号本人。真实上线时仍应接入学校统一身份认证、校园邮箱验证或人工审核。本项目在课程范围内明确保留了这一安全边界。</w:t>
            </w:r>
          </w:p>
        </w:tc>
      </w:tr>
    </w:tbl>
    <w:p>
      <w:pPr>
        <w:spacing w:after="40"/>
      </w:pPr>
    </w:p>
    <w:p>
      <w:pPr>
        <w:pStyle w:val="Heading2"/>
      </w:pPr>
      <w:r>
        <w:t>2.2 商品发布、检索与收藏功能</w:t>
      </w:r>
    </w:p>
    <w:p>
      <w:pPr>
        <w:spacing w:line="300" w:lineRule="auto" w:after="140"/>
        <w:ind w:firstLine="440"/>
        <w:jc w:val="both"/>
      </w:pPr>
      <w:r>
        <w:rPr>
          <w:rFonts w:ascii="宋体" w:hAnsi="宋体" w:eastAsia="宋体"/>
          <w:color w:val="202B38"/>
          <w:sz w:val="22"/>
        </w:rPr>
        <w:t>完善 GoodsRequest 与 GoodsService 的参数校验，对商品标题、价格、成色、图片数量、交易方式和交易地点进行后端统一验证。图片数量超过限制、价格无效或交易方式不符合约定时，由服务端直接拒绝请求，避免仅依赖前端校验造成绕过风险。</w:t>
      </w:r>
    </w:p>
    <w:p>
      <w:pPr>
        <w:spacing w:line="300" w:lineRule="auto" w:after="140"/>
        <w:ind w:firstLine="440"/>
        <w:jc w:val="both"/>
      </w:pPr>
      <w:r>
        <w:rPr>
          <w:rFonts w:ascii="宋体" w:hAnsi="宋体" w:eastAsia="宋体"/>
          <w:color w:val="202B38"/>
          <w:sz w:val="22"/>
        </w:rPr>
        <w:t>商品交易方式围绕线下交易场景设计，支持 FACE、PICKUP、LOCKER 和 BOTH 等约定方式。系统只协助用户发布信息、沟通和确认交易，不承担在线支付、资金托管或交易担保，符合教师提出的“线上功能过多，改为线下交易”的建议。</w:t>
      </w:r>
    </w:p>
    <w:p>
      <w:pPr>
        <w:spacing w:line="300" w:lineRule="auto" w:after="140"/>
        <w:ind w:firstLine="440"/>
        <w:jc w:val="both"/>
      </w:pPr>
      <w:r>
        <w:rPr>
          <w:rFonts w:ascii="宋体" w:hAnsi="宋体" w:eastAsia="宋体"/>
          <w:color w:val="202B38"/>
          <w:sz w:val="22"/>
        </w:rPr>
        <w:t>新增当前用户收藏商品的分页查询接口 GET /api/goods/favorites，并在 GoodsMapper 中实现收藏记录与商品数据关联查询。同时对 sortBy 和 sortOrder 进行白名单归一化，只允许 price、created_at、asc 和 desc 等合法值，降低动态排序带来的 SQL 注入风险。</w:t>
      </w:r>
    </w:p>
    <w:p>
      <w:pPr>
        <w:pStyle w:val="Heading2"/>
      </w:pPr>
      <w:r>
        <w:t>2.3 线下订单与信用分结算</w:t>
      </w:r>
    </w:p>
    <w:p>
      <w:pPr>
        <w:spacing w:line="300" w:lineRule="auto" w:after="140"/>
        <w:ind w:firstLine="440"/>
        <w:jc w:val="both"/>
      </w:pPr>
      <w:r>
        <w:rPr>
          <w:rFonts w:ascii="宋体" w:hAnsi="宋体" w:eastAsia="宋体"/>
          <w:color w:val="202B38"/>
          <w:sz w:val="22"/>
        </w:rPr>
        <w:t>完善订单创建逻辑，校验商品存在、处于在售状态且买家不能购买自己发布的商品。订单保存交易方式、约定地点和约定时间，其中 meetTime 支持带时区 ISO-8601 和本地日期时间两种格式解析，格式无效时返回可读的参数错误。</w:t>
      </w:r>
    </w:p>
    <w:p>
      <w:pPr>
        <w:spacing w:line="300" w:lineRule="auto" w:after="140"/>
        <w:ind w:firstLine="440"/>
        <w:jc w:val="both"/>
      </w:pPr>
      <w:r>
        <w:rPr>
          <w:rFonts w:ascii="宋体" w:hAnsi="宋体" w:eastAsia="宋体"/>
          <w:color w:val="202B38"/>
          <w:sz w:val="22"/>
        </w:rPr>
        <w:t>订单采用买卖双方确认机制。只有买家和卖家均完成确认，订单才从进行中状态转为完成状态，同时记录 completedAt。信用分只在订单首次完成时结算，利用订单状态和完成时间进行幂等判断，防止重复点击确认造成双方信用分重复增加。</w:t>
      </w:r>
    </w:p>
    <w:p>
      <w:pPr>
        <w:spacing w:line="300" w:lineRule="auto" w:after="140"/>
        <w:ind w:firstLine="440"/>
        <w:jc w:val="both"/>
      </w:pPr>
      <w:r>
        <w:rPr>
          <w:rFonts w:ascii="宋体" w:hAnsi="宋体" w:eastAsia="宋体"/>
          <w:color w:val="202B38"/>
          <w:sz w:val="22"/>
        </w:rPr>
        <w:t>取消订单时同步恢复商品在售状态，并通过事务保证订单状态与商品状态的一致性。该设计形成了“下单—线下沟通—双方确认—信用结算”的完整闭环。</w:t>
      </w:r>
    </w:p>
    <w:p>
      <w:pPr>
        <w:pStyle w:val="Heading2"/>
      </w:pPr>
      <w:r>
        <w:t>2.4 举报提交与管理员处置</w:t>
      </w:r>
    </w:p>
    <w:p>
      <w:pPr>
        <w:spacing w:line="300" w:lineRule="auto" w:after="140"/>
        <w:ind w:firstLine="440"/>
        <w:jc w:val="both"/>
      </w:pPr>
      <w:r>
        <w:rPr>
          <w:rFonts w:ascii="宋体" w:hAnsi="宋体" w:eastAsia="宋体"/>
          <w:color w:val="202B38"/>
          <w:sz w:val="22"/>
        </w:rPr>
        <w:t>新增 ReportController、ReportRequest 和 ReportService，实现登录用户提交举报的接口。举报信息包含举报人、被举报商品或用户、举报原因及详细说明，服务层负责校验举报目标和保存待处理记录。</w:t>
      </w:r>
    </w:p>
    <w:p>
      <w:pPr>
        <w:spacing w:line="300" w:lineRule="auto" w:after="140"/>
        <w:ind w:firstLine="440"/>
        <w:jc w:val="both"/>
      </w:pPr>
      <w:r>
        <w:rPr>
          <w:rFonts w:ascii="宋体" w:hAnsi="宋体" w:eastAsia="宋体"/>
          <w:color w:val="202B38"/>
          <w:sz w:val="22"/>
        </w:rPr>
        <w:t>管理员可分页查看举报记录并进行处理。举报成立时，系统可以下架关联商品、扣减被举报用户信用分，并保存处理人、处理时间和处理备注；举报驳回时同样记录处理结果。举报处理过程使用事务，保证举报状态、商品状态和信用分变更的一致性与可追溯性。</w:t>
      </w:r>
    </w:p>
    <w:p>
      <w:pPr>
        <w:pStyle w:val="Heading2"/>
      </w:pPr>
      <w:r>
        <w:t>2.5 管理端业务衔接</w:t>
      </w:r>
    </w:p>
    <w:p>
      <w:pPr>
        <w:spacing w:line="300" w:lineRule="auto" w:after="140"/>
        <w:ind w:firstLine="440"/>
        <w:jc w:val="both"/>
      </w:pPr>
      <w:r>
        <w:rPr>
          <w:rFonts w:ascii="宋体" w:hAnsi="宋体" w:eastAsia="宋体"/>
          <w:color w:val="202B38"/>
          <w:sz w:val="22"/>
        </w:rPr>
        <w:t>调整 AdminController，将原先分散的举报处理逻辑统一交由 ReportService 管理，使控制器主要负责请求接收、权限验证和响应封装，业务规则集中在服务层。该调整降低了控制器复杂度，也便于后续编写单元测试和扩展处罚规则。</w:t>
      </w:r>
    </w:p>
    <w:p>
      <w:pPr>
        <w:pStyle w:val="Heading1"/>
      </w:pPr>
      <w:r>
        <w:t>三、技术选型总结</w:t>
      </w:r>
    </w:p>
    <w:p>
      <w:pPr>
        <w:spacing w:line="300" w:lineRule="auto" w:after="140"/>
        <w:ind w:firstLine="440"/>
        <w:jc w:val="both"/>
      </w:pPr>
      <w:r>
        <w:rPr>
          <w:rFonts w:ascii="宋体" w:hAnsi="宋体" w:eastAsia="宋体"/>
          <w:color w:val="202B38"/>
          <w:sz w:val="22"/>
        </w:rPr>
        <w:t>本项目的技术选型以“适合课程设计规模、复用仓库现有基础、降低团队协作成本、能够稳定交付”为原则。项目没有为了展示技术而拆分微服务，而是采用 Spring Boot 分层单体架构，在有限周期内优先保证核心交易流程、数据一致性和持续集成质量。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55"/>
        <w:gridCol w:w="2448"/>
        <w:gridCol w:w="2088"/>
        <w:gridCol w:w="4320"/>
      </w:tblGrid>
      <w:tr>
        <w:tc>
          <w:tcPr>
            <w:tcW w:type="dxa" w:w="1655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1F4D78"/>
                <w:sz w:val="20"/>
              </w:rPr>
              <w:t>技术领域</w:t>
            </w:r>
          </w:p>
        </w:tc>
        <w:tc>
          <w:tcPr>
            <w:tcW w:type="dxa" w:w="2448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1F4D78"/>
                <w:sz w:val="20"/>
              </w:rPr>
              <w:t>最终选型</w:t>
            </w:r>
          </w:p>
        </w:tc>
        <w:tc>
          <w:tcPr>
            <w:tcW w:type="dxa" w:w="2088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1F4D78"/>
                <w:sz w:val="20"/>
              </w:rPr>
              <w:t>对比方案</w:t>
            </w:r>
          </w:p>
        </w:tc>
        <w:tc>
          <w:tcPr>
            <w:tcW w:type="dxa" w:w="432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1F4D78"/>
                <w:sz w:val="20"/>
              </w:rPr>
              <w:t>选型原因与实际落地</w:t>
            </w:r>
          </w:p>
        </w:tc>
      </w:tr>
      <w:tr>
        <w:tc>
          <w:tcPr>
            <w:tcW w:type="dxa" w:w="1655"/>
            <w:vAlign w:val="center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color w:val="202B38"/>
                <w:sz w:val="19"/>
              </w:rPr>
              <w:t>后端架构</w:t>
            </w:r>
          </w:p>
        </w:tc>
        <w:tc>
          <w:tcPr>
            <w:tcW w:type="dxa" w:w="2448"/>
            <w:vAlign w:val="center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color w:val="202B38"/>
                <w:sz w:val="19"/>
              </w:rPr>
              <w:t>Spring Boot 3.2 分层单体</w:t>
            </w:r>
          </w:p>
        </w:tc>
        <w:tc>
          <w:tcPr>
            <w:tcW w:type="dxa" w:w="2088"/>
            <w:vAlign w:val="center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color w:val="202B38"/>
                <w:sz w:val="19"/>
              </w:rPr>
              <w:t>微服务架构</w:t>
            </w:r>
          </w:p>
        </w:tc>
        <w:tc>
          <w:tcPr>
            <w:tcW w:type="dxa" w:w="4320"/>
            <w:vAlign w:val="center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color w:val="202B38"/>
                <w:sz w:val="19"/>
              </w:rPr>
              <w:t>团队规模和开发周期有限，单体架构便于统一事务、调试和部署；通过 Controller、Service、Mapper 分层控制模块耦合。</w:t>
            </w:r>
          </w:p>
        </w:tc>
      </w:tr>
      <w:tr>
        <w:tc>
          <w:tcPr>
            <w:tcW w:type="dxa" w:w="1655"/>
            <w:vAlign w:val="center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color w:val="202B38"/>
                <w:sz w:val="19"/>
              </w:rPr>
              <w:t>编程语言</w:t>
            </w:r>
          </w:p>
        </w:tc>
        <w:tc>
          <w:tcPr>
            <w:tcW w:type="dxa" w:w="2448"/>
            <w:vAlign w:val="center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color w:val="202B38"/>
                <w:sz w:val="19"/>
              </w:rPr>
              <w:t>Java 17</w:t>
            </w:r>
          </w:p>
        </w:tc>
        <w:tc>
          <w:tcPr>
            <w:tcW w:type="dxa" w:w="2088"/>
            <w:vAlign w:val="center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color w:val="202B38"/>
                <w:sz w:val="19"/>
              </w:rPr>
              <w:t>Node.js、Python</w:t>
            </w:r>
          </w:p>
        </w:tc>
        <w:tc>
          <w:tcPr>
            <w:tcW w:type="dxa" w:w="4320"/>
            <w:vAlign w:val="center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color w:val="202B38"/>
                <w:sz w:val="19"/>
              </w:rPr>
              <w:t>与原仓库技术栈一致，静态类型有利于多人协作和接口重构，Spring 生态可直接支持安全、事务和持久化。</w:t>
            </w:r>
          </w:p>
        </w:tc>
      </w:tr>
      <w:tr>
        <w:tc>
          <w:tcPr>
            <w:tcW w:type="dxa" w:w="1655"/>
            <w:vAlign w:val="center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color w:val="202B38"/>
                <w:sz w:val="19"/>
              </w:rPr>
              <w:t>数据访问</w:t>
            </w:r>
          </w:p>
        </w:tc>
        <w:tc>
          <w:tcPr>
            <w:tcW w:type="dxa" w:w="2448"/>
            <w:vAlign w:val="center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color w:val="202B38"/>
                <w:sz w:val="19"/>
              </w:rPr>
              <w:t>MyBatis-Plus</w:t>
            </w:r>
          </w:p>
        </w:tc>
        <w:tc>
          <w:tcPr>
            <w:tcW w:type="dxa" w:w="2088"/>
            <w:vAlign w:val="center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color w:val="202B38"/>
                <w:sz w:val="19"/>
              </w:rPr>
              <w:t>Spring Data JPA、原生 JDBC</w:t>
            </w:r>
          </w:p>
        </w:tc>
        <w:tc>
          <w:tcPr>
            <w:tcW w:type="dxa" w:w="4320"/>
            <w:vAlign w:val="center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color w:val="202B38"/>
                <w:sz w:val="19"/>
              </w:rPr>
              <w:t>在保留 SQL 可控性的同时减少基础 CRUD 代码，适合商品筛选、分页、状态更新等关系型业务。</w:t>
            </w:r>
          </w:p>
        </w:tc>
      </w:tr>
      <w:tr>
        <w:tc>
          <w:tcPr>
            <w:tcW w:type="dxa" w:w="1655"/>
            <w:vAlign w:val="center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color w:val="202B38"/>
                <w:sz w:val="19"/>
              </w:rPr>
              <w:t>数据库</w:t>
            </w:r>
          </w:p>
        </w:tc>
        <w:tc>
          <w:tcPr>
            <w:tcW w:type="dxa" w:w="2448"/>
            <w:vAlign w:val="center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color w:val="202B38"/>
                <w:sz w:val="19"/>
              </w:rPr>
              <w:t>MySQL 8 / InnoDB</w:t>
            </w:r>
          </w:p>
        </w:tc>
        <w:tc>
          <w:tcPr>
            <w:tcW w:type="dxa" w:w="2088"/>
            <w:vAlign w:val="center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color w:val="202B38"/>
                <w:sz w:val="19"/>
              </w:rPr>
              <w:t>PostgreSQL、MongoDB</w:t>
            </w:r>
          </w:p>
        </w:tc>
        <w:tc>
          <w:tcPr>
            <w:tcW w:type="dxa" w:w="4320"/>
            <w:vAlign w:val="center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color w:val="202B38"/>
                <w:sz w:val="19"/>
              </w:rPr>
              <w:t>用户、商品、订单和举报之间关系明确，需要事务、唯一约束与索引；MySQL 也与团队 Docker 环境一致。</w:t>
            </w:r>
          </w:p>
        </w:tc>
      </w:tr>
      <w:tr>
        <w:tc>
          <w:tcPr>
            <w:tcW w:type="dxa" w:w="1655"/>
            <w:vAlign w:val="center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color w:val="202B38"/>
                <w:sz w:val="19"/>
              </w:rPr>
              <w:t>身份认证</w:t>
            </w:r>
          </w:p>
        </w:tc>
        <w:tc>
          <w:tcPr>
            <w:tcW w:type="dxa" w:w="2448"/>
            <w:vAlign w:val="center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color w:val="202B38"/>
                <w:sz w:val="19"/>
              </w:rPr>
              <w:t>Spring Security + JWT</w:t>
            </w:r>
          </w:p>
        </w:tc>
        <w:tc>
          <w:tcPr>
            <w:tcW w:type="dxa" w:w="2088"/>
            <w:vAlign w:val="center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color w:val="202B38"/>
                <w:sz w:val="19"/>
              </w:rPr>
              <w:t>Session、OAuth2</w:t>
            </w:r>
          </w:p>
        </w:tc>
        <w:tc>
          <w:tcPr>
            <w:tcW w:type="dxa" w:w="4320"/>
            <w:vAlign w:val="center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color w:val="202B38"/>
                <w:sz w:val="19"/>
              </w:rPr>
              <w:t>前后端分离场景下 JWT 无状态、易于横向扩展；通过安全上下文统一取得当前用户并区分管理员权限。</w:t>
            </w:r>
          </w:p>
        </w:tc>
      </w:tr>
      <w:tr>
        <w:tc>
          <w:tcPr>
            <w:tcW w:type="dxa" w:w="1655"/>
            <w:vAlign w:val="center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color w:val="202B38"/>
                <w:sz w:val="19"/>
              </w:rPr>
              <w:t>密码存储</w:t>
            </w:r>
          </w:p>
        </w:tc>
        <w:tc>
          <w:tcPr>
            <w:tcW w:type="dxa" w:w="2448"/>
            <w:vAlign w:val="center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color w:val="202B38"/>
                <w:sz w:val="19"/>
              </w:rPr>
              <w:t>BCrypt</w:t>
            </w:r>
          </w:p>
        </w:tc>
        <w:tc>
          <w:tcPr>
            <w:tcW w:type="dxa" w:w="2088"/>
            <w:vAlign w:val="center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color w:val="202B38"/>
                <w:sz w:val="19"/>
              </w:rPr>
              <w:t>明文、MD5、直接 SHA</w:t>
            </w:r>
          </w:p>
        </w:tc>
        <w:tc>
          <w:tcPr>
            <w:tcW w:type="dxa" w:w="4320"/>
            <w:vAlign w:val="center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color w:val="202B38"/>
                <w:sz w:val="19"/>
              </w:rPr>
              <w:t>BCrypt 自带盐值和计算成本，可降低彩虹表及暴力破解风险，符合用户密码存储的基本安全要求。</w:t>
            </w:r>
          </w:p>
        </w:tc>
      </w:tr>
      <w:tr>
        <w:tc>
          <w:tcPr>
            <w:tcW w:type="dxa" w:w="1655"/>
            <w:vAlign w:val="center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color w:val="202B38"/>
                <w:sz w:val="19"/>
              </w:rPr>
              <w:t>图片存储</w:t>
            </w:r>
          </w:p>
        </w:tc>
        <w:tc>
          <w:tcPr>
            <w:tcW w:type="dxa" w:w="2448"/>
            <w:vAlign w:val="center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color w:val="202B38"/>
                <w:sz w:val="19"/>
              </w:rPr>
              <w:t>MinIO 对象存储</w:t>
            </w:r>
          </w:p>
        </w:tc>
        <w:tc>
          <w:tcPr>
            <w:tcW w:type="dxa" w:w="2088"/>
            <w:vAlign w:val="center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color w:val="202B38"/>
                <w:sz w:val="19"/>
              </w:rPr>
              <w:t>数据库 BLOB、本地目录</w:t>
            </w:r>
          </w:p>
        </w:tc>
        <w:tc>
          <w:tcPr>
            <w:tcW w:type="dxa" w:w="4320"/>
            <w:vAlign w:val="center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color w:val="202B38"/>
                <w:sz w:val="19"/>
              </w:rPr>
              <w:t>避免大文件进入业务数据库，也避免本地路径绑定单台机器；可通过 Docker 统一开发和部署环境。</w:t>
            </w:r>
          </w:p>
        </w:tc>
      </w:tr>
      <w:tr>
        <w:tc>
          <w:tcPr>
            <w:tcW w:type="dxa" w:w="1655"/>
            <w:vAlign w:val="center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color w:val="202B38"/>
                <w:sz w:val="19"/>
              </w:rPr>
              <w:t>即时通信</w:t>
            </w:r>
          </w:p>
        </w:tc>
        <w:tc>
          <w:tcPr>
            <w:tcW w:type="dxa" w:w="2448"/>
            <w:vAlign w:val="center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color w:val="202B38"/>
                <w:sz w:val="19"/>
              </w:rPr>
              <w:t>STOMP over WebSocket</w:t>
            </w:r>
          </w:p>
        </w:tc>
        <w:tc>
          <w:tcPr>
            <w:tcW w:type="dxa" w:w="2088"/>
            <w:vAlign w:val="center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color w:val="202B38"/>
                <w:sz w:val="19"/>
              </w:rPr>
              <w:t>HTTP 轮询、原生 WebSocket</w:t>
            </w:r>
          </w:p>
        </w:tc>
        <w:tc>
          <w:tcPr>
            <w:tcW w:type="dxa" w:w="4320"/>
            <w:vAlign w:val="center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color w:val="202B38"/>
                <w:sz w:val="19"/>
              </w:rPr>
              <w:t>STOMP 提供订阅目的地和消息路由语义，并能与 Spring 消息组件衔接，适合订单沟通场景。</w:t>
            </w:r>
          </w:p>
        </w:tc>
      </w:tr>
      <w:tr>
        <w:tc>
          <w:tcPr>
            <w:tcW w:type="dxa" w:w="1655"/>
            <w:vAlign w:val="center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color w:val="202B38"/>
                <w:sz w:val="19"/>
              </w:rPr>
              <w:t>构建交付</w:t>
            </w:r>
          </w:p>
        </w:tc>
        <w:tc>
          <w:tcPr>
            <w:tcW w:type="dxa" w:w="2448"/>
            <w:vAlign w:val="center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color w:val="202B38"/>
                <w:sz w:val="19"/>
              </w:rPr>
              <w:t>Maven + GitHub Actions + Docker</w:t>
            </w:r>
          </w:p>
        </w:tc>
        <w:tc>
          <w:tcPr>
            <w:tcW w:type="dxa" w:w="2088"/>
            <w:vAlign w:val="center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color w:val="202B38"/>
                <w:sz w:val="19"/>
              </w:rPr>
              <w:t>人工打包与部署</w:t>
            </w:r>
          </w:p>
        </w:tc>
        <w:tc>
          <w:tcPr>
            <w:tcW w:type="dxa" w:w="4320"/>
            <w:vAlign w:val="center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color w:val="202B38"/>
                <w:sz w:val="19"/>
              </w:rPr>
              <w:t>实现后端、前端和镜像构建的自动检查，使 PR 在合并前暴露编译、依赖、初始化脚本和容器配置问题。</w:t>
            </w:r>
          </w:p>
        </w:tc>
      </w:tr>
    </w:tbl>
    <w:p>
      <w:pPr>
        <w:spacing w:after="40"/>
      </w:pPr>
    </w:p>
    <w:p>
      <w:pPr>
        <w:pStyle w:val="Heading2"/>
      </w:pPr>
      <w:r>
        <w:t>3.1 核心技能点及其应用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44"/>
        <w:gridCol w:w="5472"/>
        <w:gridCol w:w="1944"/>
      </w:tblGrid>
      <w:tr>
        <w:tc>
          <w:tcPr>
            <w:tcW w:type="dxa" w:w="1944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1F4D78"/>
                <w:sz w:val="20"/>
              </w:rPr>
              <w:t>技术/技能</w:t>
            </w:r>
          </w:p>
        </w:tc>
        <w:tc>
          <w:tcPr>
            <w:tcW w:type="dxa" w:w="5472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1F4D78"/>
                <w:sz w:val="20"/>
              </w:rPr>
              <w:t>具体应用</w:t>
            </w:r>
          </w:p>
        </w:tc>
        <w:tc>
          <w:tcPr>
            <w:tcW w:type="dxa" w:w="1944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1F4D78"/>
                <w:sz w:val="20"/>
              </w:rPr>
              <w:t>体现的能力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color w:val="202B38"/>
                <w:sz w:val="19"/>
              </w:rPr>
              <w:t>Java 17 / Spring Boot</w:t>
            </w:r>
          </w:p>
        </w:tc>
        <w:tc>
          <w:tcPr>
            <w:tcW w:type="dxa" w:w="5472"/>
            <w:vAlign w:val="center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color w:val="202B38"/>
                <w:sz w:val="19"/>
              </w:rPr>
              <w:t>实现 Controller、Service、DTO、Mapper 等分层代码</w:t>
            </w:r>
          </w:p>
        </w:tc>
        <w:tc>
          <w:tcPr>
            <w:tcW w:type="dxa" w:w="1944"/>
            <w:vAlign w:val="center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color w:val="202B38"/>
                <w:sz w:val="19"/>
              </w:rPr>
              <w:t>后端工程结构与业务开发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color w:val="202B38"/>
                <w:sz w:val="19"/>
              </w:rPr>
              <w:t>Spring Security / JWT</w:t>
            </w:r>
          </w:p>
        </w:tc>
        <w:tc>
          <w:tcPr>
            <w:tcW w:type="dxa" w:w="5472"/>
            <w:vAlign w:val="center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color w:val="202B38"/>
                <w:sz w:val="19"/>
              </w:rPr>
              <w:t>登录用户身份获取、普通用户与管理员权限区分</w:t>
            </w:r>
          </w:p>
        </w:tc>
        <w:tc>
          <w:tcPr>
            <w:tcW w:type="dxa" w:w="1944"/>
            <w:vAlign w:val="center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color w:val="202B38"/>
                <w:sz w:val="19"/>
              </w:rPr>
              <w:t>认证授权与接口安全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color w:val="202B38"/>
                <w:sz w:val="19"/>
              </w:rPr>
              <w:t>MyBatis-Plus / MySQL</w:t>
            </w:r>
          </w:p>
        </w:tc>
        <w:tc>
          <w:tcPr>
            <w:tcW w:type="dxa" w:w="5472"/>
            <w:vAlign w:val="center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color w:val="202B38"/>
                <w:sz w:val="19"/>
              </w:rPr>
              <w:t>用户、商品、订单、收藏、钱包、举报数据访问</w:t>
            </w:r>
          </w:p>
        </w:tc>
        <w:tc>
          <w:tcPr>
            <w:tcW w:type="dxa" w:w="1944"/>
            <w:vAlign w:val="center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color w:val="202B38"/>
                <w:sz w:val="19"/>
              </w:rPr>
              <w:t>关系型数据建模与持久化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color w:val="202B38"/>
                <w:sz w:val="19"/>
              </w:rPr>
              <w:t>事务管理</w:t>
            </w:r>
          </w:p>
        </w:tc>
        <w:tc>
          <w:tcPr>
            <w:tcW w:type="dxa" w:w="5472"/>
            <w:vAlign w:val="center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color w:val="202B38"/>
                <w:sz w:val="19"/>
              </w:rPr>
              <w:t>注册与钱包、订单与商品、举报与处罚同步提交或回滚</w:t>
            </w:r>
          </w:p>
        </w:tc>
        <w:tc>
          <w:tcPr>
            <w:tcW w:type="dxa" w:w="1944"/>
            <w:vAlign w:val="center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color w:val="202B38"/>
                <w:sz w:val="19"/>
              </w:rPr>
              <w:t>数据一致性设计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color w:val="202B38"/>
                <w:sz w:val="19"/>
              </w:rPr>
              <w:t>RESTful API</w:t>
            </w:r>
          </w:p>
        </w:tc>
        <w:tc>
          <w:tcPr>
            <w:tcW w:type="dxa" w:w="5472"/>
            <w:vAlign w:val="center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color w:val="202B38"/>
                <w:sz w:val="19"/>
              </w:rPr>
              <w:t>收藏列表、举报提交、订单确认、后台处理接口</w:t>
            </w:r>
          </w:p>
        </w:tc>
        <w:tc>
          <w:tcPr>
            <w:tcW w:type="dxa" w:w="1944"/>
            <w:vAlign w:val="center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color w:val="202B38"/>
                <w:sz w:val="19"/>
              </w:rPr>
              <w:t>接口契约与资源设计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color w:val="202B38"/>
                <w:sz w:val="19"/>
              </w:rPr>
              <w:t>参数校验与异常处理</w:t>
            </w:r>
          </w:p>
        </w:tc>
        <w:tc>
          <w:tcPr>
            <w:tcW w:type="dxa" w:w="5472"/>
            <w:vAlign w:val="center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color w:val="202B38"/>
                <w:sz w:val="19"/>
              </w:rPr>
              <w:t>业务边界校验、日期解析、重复注册和非法状态拦截</w:t>
            </w:r>
          </w:p>
        </w:tc>
        <w:tc>
          <w:tcPr>
            <w:tcW w:type="dxa" w:w="1944"/>
            <w:vAlign w:val="center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color w:val="202B38"/>
                <w:sz w:val="19"/>
              </w:rPr>
              <w:t>健壮性与可维护性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color w:val="202B38"/>
                <w:sz w:val="19"/>
              </w:rPr>
              <w:t>SQL 安全</w:t>
            </w:r>
          </w:p>
        </w:tc>
        <w:tc>
          <w:tcPr>
            <w:tcW w:type="dxa" w:w="5472"/>
            <w:vAlign w:val="center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color w:val="202B38"/>
                <w:sz w:val="19"/>
              </w:rPr>
              <w:t>排序字段和方向使用白名单，不直接拼接任意输入</w:t>
            </w:r>
          </w:p>
        </w:tc>
        <w:tc>
          <w:tcPr>
            <w:tcW w:type="dxa" w:w="1944"/>
            <w:vAlign w:val="center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color w:val="202B38"/>
                <w:sz w:val="19"/>
              </w:rPr>
              <w:t>安全编码意识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color w:val="202B38"/>
                <w:sz w:val="19"/>
              </w:rPr>
              <w:t>幂等控制</w:t>
            </w:r>
          </w:p>
        </w:tc>
        <w:tc>
          <w:tcPr>
            <w:tcW w:type="dxa" w:w="5472"/>
            <w:vAlign w:val="center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color w:val="202B38"/>
                <w:sz w:val="19"/>
              </w:rPr>
              <w:t>订单完成和信用分只结算一次</w:t>
            </w:r>
          </w:p>
        </w:tc>
        <w:tc>
          <w:tcPr>
            <w:tcW w:type="dxa" w:w="1944"/>
            <w:vAlign w:val="center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color w:val="202B38"/>
                <w:sz w:val="19"/>
              </w:rPr>
              <w:t>状态机与重复请求处理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color w:val="202B38"/>
                <w:sz w:val="19"/>
              </w:rPr>
              <w:t>Git / Pull Request</w:t>
            </w:r>
          </w:p>
        </w:tc>
        <w:tc>
          <w:tcPr>
            <w:tcW w:type="dxa" w:w="5472"/>
            <w:vAlign w:val="center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color w:val="202B38"/>
                <w:sz w:val="19"/>
              </w:rPr>
              <w:t>分支同步、Cherry-pick、冲突分析、PR 合并</w:t>
            </w:r>
          </w:p>
        </w:tc>
        <w:tc>
          <w:tcPr>
            <w:tcW w:type="dxa" w:w="1944"/>
            <w:vAlign w:val="center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color w:val="202B38"/>
                <w:sz w:val="19"/>
              </w:rPr>
              <w:t>团队协作与版本管理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color w:val="202B38"/>
                <w:sz w:val="19"/>
              </w:rPr>
              <w:t>GitHub Actions / Docker</w:t>
            </w:r>
          </w:p>
        </w:tc>
        <w:tc>
          <w:tcPr>
            <w:tcW w:type="dxa" w:w="5472"/>
            <w:vAlign w:val="center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color w:val="202B38"/>
                <w:sz w:val="19"/>
              </w:rPr>
              <w:t>排查 CI、数据库初始化、Buildx 和镜像发布问题</w:t>
            </w:r>
          </w:p>
        </w:tc>
        <w:tc>
          <w:tcPr>
            <w:tcW w:type="dxa" w:w="1944"/>
            <w:vAlign w:val="center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color w:val="202B38"/>
                <w:sz w:val="19"/>
              </w:rPr>
              <w:t>工程化交付与故障定位</w:t>
            </w:r>
          </w:p>
        </w:tc>
      </w:tr>
    </w:tbl>
    <w:p>
      <w:pPr>
        <w:spacing w:after="40"/>
      </w:pPr>
    </w:p>
    <w:p>
      <w:pPr>
        <w:pStyle w:val="Heading1"/>
      </w:pPr>
      <w:r>
        <w:t>四、工作难点与解决方案</w:t>
      </w:r>
    </w:p>
    <w:p>
      <w:pPr>
        <w:pStyle w:val="Heading2"/>
      </w:pPr>
      <w:r>
        <w:t>4.1 难点一：学号唯一校验与身份冒用边界</w:t>
      </w:r>
    </w:p>
    <w:p>
      <w:pPr>
        <w:spacing w:line="300" w:lineRule="auto" w:after="140"/>
        <w:ind w:firstLine="440"/>
        <w:jc w:val="both"/>
      </w:pPr>
      <w:r>
        <w:rPr>
          <w:rFonts w:ascii="宋体" w:hAnsi="宋体" w:eastAsia="宋体"/>
          <w:color w:val="202B38"/>
          <w:sz w:val="22"/>
        </w:rPr>
        <w:t>难点：指导教师提出“如何避免盗用别人的学号”。单纯检查用户名无法阻止同一学号重复注册，而“学号唯一”本身也不能证明注册者就是学号本人。解法：在 AuthService 注册流程中同时查询用户名和 studentId，发现重复立即拒绝；数据库层再使用 UNIQUE 约束作为并发场景下的最终兜底，并要求手机号或邮箱至少填写一项。效果：当前实现能够防止重复学号进入系统。边界：若要验证真实身份，后续仍需接入校园统一认证、校园邮箱验证码或人工审核，报告中明确区分了“唯一性”和“真实性”。</w:t>
      </w:r>
    </w:p>
    <w:p>
      <w:pPr>
        <w:pStyle w:val="Heading2"/>
      </w:pPr>
      <w:r>
        <w:t>4.2 难点二：注册与钱包初始化的数据一致性</w:t>
      </w:r>
    </w:p>
    <w:p>
      <w:pPr>
        <w:spacing w:line="300" w:lineRule="auto" w:after="140"/>
        <w:ind w:firstLine="440"/>
        <w:jc w:val="both"/>
      </w:pPr>
      <w:r>
        <w:rPr>
          <w:rFonts w:ascii="宋体" w:hAnsi="宋体" w:eastAsia="宋体"/>
          <w:color w:val="202B38"/>
          <w:sz w:val="22"/>
        </w:rPr>
        <w:t>难点：注册需要同时写入用户和钱包两张表。如果用户已创建但钱包初始化失败，系统会留下无法正常交易的残缺账号。解法：新增 WalletMapper，在同一个 Service 事务中先创建用户，再以生成的用户主键初始化钱包；任一步骤抛出异常时整体回滚。效果：用户与钱包形成原子操作，避免部分成功产生脏数据，也为后续余额或信用资产扩展保留稳定的数据基础。</w:t>
      </w:r>
    </w:p>
    <w:p>
      <w:pPr>
        <w:pStyle w:val="Heading2"/>
      </w:pPr>
      <w:r>
        <w:t>4.3 难点三：线下订单状态流转与重复确认</w:t>
      </w:r>
    </w:p>
    <w:p>
      <w:pPr>
        <w:spacing w:line="300" w:lineRule="auto" w:after="140"/>
        <w:ind w:firstLine="440"/>
        <w:jc w:val="both"/>
      </w:pPr>
      <w:r>
        <w:rPr>
          <w:rFonts w:ascii="宋体" w:hAnsi="宋体" w:eastAsia="宋体"/>
          <w:color w:val="202B38"/>
          <w:sz w:val="22"/>
        </w:rPr>
        <w:t>难点：项目按教师意见采用线下交易，没有第三方支付结果可以自动判断订单完成，需要买卖双方分别确认；网络重试或重复点击还可能造成订单重复完成、信用分重复增加，取消订单时也必须恢复商品状态。解法：为订单设置 buyerConfirm、sellerConfirm、status 和 completedAt 等状态信息，只有双方首次满足确认条件时才执行完成与信用结算；取消、确认、商品状态更新均放在事务中。效果：完成操作具备幂等性，订单、商品和信用分之间保持一致。</w:t>
      </w:r>
    </w:p>
    <w:p>
      <w:pPr>
        <w:pStyle w:val="Heading2"/>
      </w:pPr>
      <w:r>
        <w:t>4.4 难点四：动态排序需求与 SQL 注入风险</w:t>
      </w:r>
    </w:p>
    <w:p>
      <w:pPr>
        <w:spacing w:line="300" w:lineRule="auto" w:after="140"/>
        <w:ind w:firstLine="440"/>
        <w:jc w:val="both"/>
      </w:pPr>
      <w:r>
        <w:rPr>
          <w:rFonts w:ascii="宋体" w:hAnsi="宋体" w:eastAsia="宋体"/>
          <w:color w:val="202B38"/>
          <w:sz w:val="22"/>
        </w:rPr>
        <w:t>难点：商品列表需要按时间、价格等字段升降序排列，如果把前端传入的 sortBy 和 order 直接拼接到 SQL，可能形成注入入口；普通参数占位符又不能替代字段名。解法：GoodsService 仅接受预定义字段和 ASC、DESC 方向，GoodsMapper 根据白名单结果进入固定 SQL 分支，不执行任意输入。效果：保留动态排序能力，同时把可执行 SQL 结构限制在后端定义范围内。</w:t>
      </w:r>
    </w:p>
    <w:p>
      <w:pPr>
        <w:pStyle w:val="Heading2"/>
      </w:pPr>
      <w:r>
        <w:t>4.5 难点五：举报处理的多实体联动</w:t>
      </w:r>
    </w:p>
    <w:p>
      <w:pPr>
        <w:spacing w:line="300" w:lineRule="auto" w:after="140"/>
        <w:ind w:firstLine="440"/>
        <w:jc w:val="both"/>
      </w:pPr>
      <w:r>
        <w:rPr>
          <w:rFonts w:ascii="宋体" w:hAnsi="宋体" w:eastAsia="宋体"/>
          <w:color w:val="202B38"/>
          <w:sz w:val="22"/>
        </w:rPr>
        <w:t>难点：一次举报处理不仅要修改举报状态，还可能下架商品、扣减被举报用户信用分，并记录管理员、处理时间和备注。任何一步失败都会造成后台记录与前台状态不一致。解法：新增 ReportController、ReportRequest 和 ReportService，将规则集中在服务层，并使用事务统一提交举报、商品及用户变更；AdminController 只负责权限和协议处理。效果：形成从用户举报到管理员处置的治理闭环，处理结果可追踪，也降低了控制器复杂度。</w:t>
      </w:r>
    </w:p>
    <w:p>
      <w:pPr>
        <w:pStyle w:val="Heading2"/>
      </w:pPr>
      <w:r>
        <w:t>4.6 难点六：PR 冲突与 CI 连续失败排查</w:t>
      </w:r>
    </w:p>
    <w:p>
      <w:pPr>
        <w:spacing w:line="300" w:lineRule="auto" w:after="140"/>
        <w:ind w:firstLine="440"/>
        <w:jc w:val="both"/>
      </w:pPr>
      <w:r>
        <w:rPr>
          <w:rFonts w:ascii="宋体" w:hAnsi="宋体" w:eastAsia="宋体"/>
          <w:color w:val="202B38"/>
          <w:sz w:val="22"/>
        </w:rPr>
        <w:t>难点：原 Pull Request 同时受到主分支更新和仓库既有工程问题影响，CI 先后暴露 package-lock.json 缺失、Chat.vue 异步语法、Maven Wrapper 不完整、seed.sql 缺失及 Docker Buildx 未初始化等问题。解法：逐项阅读 GitHub Actions 的 job 与日志，基于最新 main 建立干净分支，只移植个人后端提交，并把公共工程问题拆成小型修复 PR；每次修改都由 PR 重新触发检查。效果：最终 Backend Build &amp; Test、Frontend Build、Docker Build &amp; Push 全部通过，也避免用强推覆盖组员代码。</w:t>
      </w:r>
    </w:p>
    <w:p>
      <w:pPr>
        <w:pStyle w:val="Heading1"/>
      </w:pPr>
      <w:r>
        <w:t>五、主要工作重点</w:t>
      </w:r>
    </w:p>
    <w:p>
      <w:pPr>
        <w:pStyle w:val="Heading2"/>
      </w:pPr>
      <w:r>
        <w:t>5.1 从需求到代码保持一致</w:t>
      </w:r>
    </w:p>
    <w:p>
      <w:pPr>
        <w:spacing w:line="300" w:lineRule="auto" w:after="140"/>
        <w:ind w:firstLine="440"/>
        <w:jc w:val="both"/>
      </w:pPr>
      <w:r>
        <w:rPr>
          <w:rFonts w:ascii="宋体" w:hAnsi="宋体" w:eastAsia="宋体"/>
          <w:color w:val="202B38"/>
          <w:sz w:val="22"/>
        </w:rPr>
        <w:t>编码前先对照需求规格、教师意见和项目计划，明确系统定位为校园线下交易协助平台。实现中避免扩展在线支付、证书和资金托管等超出课程范围的功能，并把交易地点、约定时间、聊天和双方确认作为核心。</w:t>
      </w:r>
    </w:p>
    <w:p>
      <w:pPr>
        <w:pStyle w:val="Heading2"/>
      </w:pPr>
      <w:r>
        <w:t>5.2 保证跨表数据一致性</w:t>
      </w:r>
    </w:p>
    <w:p>
      <w:pPr>
        <w:spacing w:line="300" w:lineRule="auto" w:after="140"/>
        <w:ind w:firstLine="440"/>
        <w:jc w:val="both"/>
      </w:pPr>
      <w:r>
        <w:rPr>
          <w:rFonts w:ascii="宋体" w:hAnsi="宋体" w:eastAsia="宋体"/>
          <w:color w:val="202B38"/>
          <w:sz w:val="22"/>
        </w:rPr>
        <w:t>涉及多个数据实体的业务均优先考虑事务边界。例如注册同时创建用户与钱包，取消订单同时恢复商品状态，举报成立同时更新举报、商品和用户信用分，避免部分成功导致脏数据。</w:t>
      </w:r>
    </w:p>
    <w:p>
      <w:pPr>
        <w:pStyle w:val="Heading2"/>
      </w:pPr>
      <w:r>
        <w:t>5.3 强化输入与状态校验</w:t>
      </w:r>
    </w:p>
    <w:p>
      <w:pPr>
        <w:spacing w:line="300" w:lineRule="auto" w:after="140"/>
        <w:ind w:firstLine="440"/>
        <w:jc w:val="both"/>
      </w:pPr>
      <w:r>
        <w:rPr>
          <w:rFonts w:ascii="宋体" w:hAnsi="宋体" w:eastAsia="宋体"/>
          <w:color w:val="202B38"/>
          <w:sz w:val="22"/>
        </w:rPr>
        <w:t>不仅依赖前端限制，而是在服务端再次验证图片数量、商品价格、交易方式、订单身份、订单状态和举报目标。服务端校验是系统可信边界，也是防止接口被直接调用绕过页面限制的关键。</w:t>
      </w:r>
    </w:p>
    <w:p>
      <w:pPr>
        <w:pStyle w:val="Heading2"/>
      </w:pPr>
      <w:r>
        <w:t>5.4 处理重复操作和并发风险</w:t>
      </w:r>
    </w:p>
    <w:p>
      <w:pPr>
        <w:spacing w:line="300" w:lineRule="auto" w:after="140"/>
        <w:ind w:firstLine="440"/>
        <w:jc w:val="both"/>
      </w:pPr>
      <w:r>
        <w:rPr>
          <w:rFonts w:ascii="宋体" w:hAnsi="宋体" w:eastAsia="宋体"/>
          <w:color w:val="202B38"/>
          <w:sz w:val="22"/>
        </w:rPr>
        <w:t>订单确认采用幂等判断，防止重复加分；商品下单前检查在售状态。课程项目当前并发规模较小，但设计中已识别数据库条件更新或行锁作为进一步增强方向。</w:t>
      </w:r>
    </w:p>
    <w:p>
      <w:pPr>
        <w:pStyle w:val="Heading2"/>
      </w:pPr>
      <w:r>
        <w:t>5.5 遵循分层与职责单一</w:t>
      </w:r>
    </w:p>
    <w:p>
      <w:pPr>
        <w:spacing w:line="300" w:lineRule="auto" w:after="140"/>
        <w:ind w:firstLine="440"/>
        <w:jc w:val="both"/>
      </w:pPr>
      <w:r>
        <w:rPr>
          <w:rFonts w:ascii="宋体" w:hAnsi="宋体" w:eastAsia="宋体"/>
          <w:color w:val="202B38"/>
          <w:sz w:val="22"/>
        </w:rPr>
        <w:t>Controller 负责协议层，Service 负责业务规则和事务，Mapper 负责数据库访问，DTO 负责请求数据。举报逻辑独立为 ReportService，避免管理员控制器继续膨胀。</w:t>
      </w:r>
    </w:p>
    <w:p>
      <w:pPr>
        <w:pStyle w:val="Heading1"/>
      </w:pPr>
      <w:r>
        <w:t>六、工作亮点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5400"/>
        <w:gridCol w:w="2160"/>
      </w:tblGrid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1F4D78"/>
                <w:sz w:val="20"/>
              </w:rPr>
              <w:t>亮点</w:t>
            </w:r>
          </w:p>
        </w:tc>
        <w:tc>
          <w:tcPr>
            <w:tcW w:type="dxa" w:w="54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1F4D78"/>
                <w:sz w:val="20"/>
              </w:rPr>
              <w:t>说明</w:t>
            </w:r>
          </w:p>
        </w:tc>
        <w:tc>
          <w:tcPr>
            <w:tcW w:type="dxa" w:w="21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1F4D78"/>
                <w:sz w:val="20"/>
              </w:rPr>
              <w:t>价值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color w:val="202B38"/>
                <w:sz w:val="19"/>
              </w:rPr>
              <w:t>完整业务闭环</w:t>
            </w:r>
          </w:p>
        </w:tc>
        <w:tc>
          <w:tcPr>
            <w:tcW w:type="dxa" w:w="5400"/>
            <w:vAlign w:val="center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color w:val="202B38"/>
                <w:sz w:val="19"/>
              </w:rPr>
              <w:t>注册、商品、收藏、线下订单、双方确认、信用结算、举报处置相互衔接</w:t>
            </w:r>
          </w:p>
        </w:tc>
        <w:tc>
          <w:tcPr>
            <w:tcW w:type="dxa" w:w="2160"/>
            <w:vAlign w:val="center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color w:val="202B38"/>
                <w:sz w:val="19"/>
              </w:rPr>
              <w:t>覆盖平台主要用户旅程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color w:val="202B38"/>
                <w:sz w:val="19"/>
              </w:rPr>
              <w:t>注册数据一致性</w:t>
            </w:r>
          </w:p>
        </w:tc>
        <w:tc>
          <w:tcPr>
            <w:tcW w:type="dxa" w:w="5400"/>
            <w:vAlign w:val="center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color w:val="202B38"/>
                <w:sz w:val="19"/>
              </w:rPr>
              <w:t>用户与钱包在同一事务初始化</w:t>
            </w:r>
          </w:p>
        </w:tc>
        <w:tc>
          <w:tcPr>
            <w:tcW w:type="dxa" w:w="2160"/>
            <w:vAlign w:val="center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color w:val="202B38"/>
                <w:sz w:val="19"/>
              </w:rPr>
              <w:t>避免残缺账号数据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color w:val="202B38"/>
                <w:sz w:val="19"/>
              </w:rPr>
              <w:t>学号唯一校验</w:t>
            </w:r>
          </w:p>
        </w:tc>
        <w:tc>
          <w:tcPr>
            <w:tcW w:type="dxa" w:w="5400"/>
            <w:vAlign w:val="center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color w:val="202B38"/>
                <w:sz w:val="19"/>
              </w:rPr>
              <w:t>业务层校验并建议数据库唯一索引兜底</w:t>
            </w:r>
          </w:p>
        </w:tc>
        <w:tc>
          <w:tcPr>
            <w:tcW w:type="dxa" w:w="2160"/>
            <w:vAlign w:val="center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color w:val="202B38"/>
                <w:sz w:val="19"/>
              </w:rPr>
              <w:t>回应教师对学号冒用的关注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color w:val="202B38"/>
                <w:sz w:val="19"/>
              </w:rPr>
              <w:t>安全排序</w:t>
            </w:r>
          </w:p>
        </w:tc>
        <w:tc>
          <w:tcPr>
            <w:tcW w:type="dxa" w:w="5400"/>
            <w:vAlign w:val="center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color w:val="202B38"/>
                <w:sz w:val="19"/>
              </w:rPr>
              <w:t>动态排序采用字段和方向白名单</w:t>
            </w:r>
          </w:p>
        </w:tc>
        <w:tc>
          <w:tcPr>
            <w:tcW w:type="dxa" w:w="2160"/>
            <w:vAlign w:val="center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color w:val="202B38"/>
                <w:sz w:val="19"/>
              </w:rPr>
              <w:t>降低 SQL 注入风险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color w:val="202B38"/>
                <w:sz w:val="19"/>
              </w:rPr>
              <w:t>订单幂等结算</w:t>
            </w:r>
          </w:p>
        </w:tc>
        <w:tc>
          <w:tcPr>
            <w:tcW w:type="dxa" w:w="5400"/>
            <w:vAlign w:val="center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color w:val="202B38"/>
                <w:sz w:val="19"/>
              </w:rPr>
              <w:t>完成时间与状态共同防止重复加分</w:t>
            </w:r>
          </w:p>
        </w:tc>
        <w:tc>
          <w:tcPr>
            <w:tcW w:type="dxa" w:w="2160"/>
            <w:vAlign w:val="center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color w:val="202B38"/>
                <w:sz w:val="19"/>
              </w:rPr>
              <w:t>保证信用数据准确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color w:val="202B38"/>
                <w:sz w:val="19"/>
              </w:rPr>
              <w:t>举报处罚联动</w:t>
            </w:r>
          </w:p>
        </w:tc>
        <w:tc>
          <w:tcPr>
            <w:tcW w:type="dxa" w:w="5400"/>
            <w:vAlign w:val="center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color w:val="202B38"/>
                <w:sz w:val="19"/>
              </w:rPr>
              <w:t>举报成立后可自动下架商品并扣分</w:t>
            </w:r>
          </w:p>
        </w:tc>
        <w:tc>
          <w:tcPr>
            <w:tcW w:type="dxa" w:w="2160"/>
            <w:vAlign w:val="center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color w:val="202B38"/>
                <w:sz w:val="19"/>
              </w:rPr>
              <w:t>形成平台治理闭环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color w:val="202B38"/>
                <w:sz w:val="19"/>
              </w:rPr>
              <w:t>工程化交付</w:t>
            </w:r>
          </w:p>
        </w:tc>
        <w:tc>
          <w:tcPr>
            <w:tcW w:type="dxa" w:w="5400"/>
            <w:vAlign w:val="center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color w:val="202B38"/>
                <w:sz w:val="19"/>
              </w:rPr>
              <w:t>通过 PR 和 CI 完成合并，Backend、Frontend、Docker 全绿</w:t>
            </w:r>
          </w:p>
        </w:tc>
        <w:tc>
          <w:tcPr>
            <w:tcW w:type="dxa" w:w="2160"/>
            <w:vAlign w:val="center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color w:val="202B38"/>
                <w:sz w:val="19"/>
              </w:rPr>
              <w:t>证明代码具备持续构建能力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color w:val="202B38"/>
                <w:sz w:val="19"/>
              </w:rPr>
              <w:t>文档与实现同步</w:t>
            </w:r>
          </w:p>
        </w:tc>
        <w:tc>
          <w:tcPr>
            <w:tcW w:type="dxa" w:w="5400"/>
            <w:vAlign w:val="center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color w:val="202B38"/>
                <w:sz w:val="19"/>
              </w:rPr>
              <w:t>概要设计、详细设计同步记录最终模块、接口和已知约束</w:t>
            </w:r>
          </w:p>
        </w:tc>
        <w:tc>
          <w:tcPr>
            <w:tcW w:type="dxa" w:w="2160"/>
            <w:vAlign w:val="center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color w:val="202B38"/>
                <w:sz w:val="19"/>
              </w:rPr>
              <w:t>提高可追溯性和答辩可信度</w:t>
            </w:r>
          </w:p>
        </w:tc>
      </w:tr>
    </w:tbl>
    <w:p>
      <w:pPr>
        <w:spacing w:after="40"/>
      </w:pPr>
    </w:p>
    <w:p>
      <w:pPr>
        <w:pStyle w:val="Heading1"/>
      </w:pPr>
      <w:r>
        <w:t>七、工程协作与问题解决</w:t>
      </w:r>
    </w:p>
    <w:p>
      <w:pPr>
        <w:spacing w:line="300" w:lineRule="auto" w:after="140"/>
        <w:ind w:firstLine="440"/>
        <w:jc w:val="both"/>
      </w:pPr>
      <w:r>
        <w:rPr>
          <w:rFonts w:ascii="宋体" w:hAnsi="宋体" w:eastAsia="宋体"/>
          <w:color w:val="202B38"/>
          <w:sz w:val="22"/>
        </w:rPr>
        <w:t>在提交过程中，原 Pull Request 曾出现 CI 失败和主分支并发更新。通过 GitHub Actions 日志逐步定位了前端缺少 package-lock.json、Chat.vue 非 async 函数使用 await、Maven Wrapper 文件不完整、数据库 seed.sql 缺失以及 Docker 未初始化 Buildx 等问题。</w:t>
      </w:r>
    </w:p>
    <w:p>
      <w:pPr>
        <w:spacing w:line="300" w:lineRule="auto" w:after="140"/>
        <w:ind w:firstLine="440"/>
        <w:jc w:val="both"/>
      </w:pPr>
      <w:r>
        <w:rPr>
          <w:rFonts w:ascii="宋体" w:hAnsi="宋体" w:eastAsia="宋体"/>
          <w:color w:val="202B38"/>
          <w:sz w:val="22"/>
        </w:rPr>
        <w:t>处理方式包括基于组长最新 main 重建干净分支、只移植个人后端提交、使用 Pull Request 触发组内 CI、在检查通过后合并，并针对主分支暴露的数据库和 Docker 问题分别创建小型修复 PR。最终 Backend Build &amp; Test、Frontend Build、Docker Build &amp; Push 三项检查全部成功。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/>
                <w:color w:val="1F4D78"/>
                <w:sz w:val="21"/>
              </w:rPr>
              <w:t>协作原则</w:t>
            </w:r>
          </w:p>
          <w:p>
            <w:pPr>
              <w:spacing w:after="0" w:line="288" w:lineRule="auto"/>
            </w:pPr>
            <w:r>
              <w:rPr>
                <w:rFonts w:ascii="宋体" w:hAnsi="宋体" w:eastAsia="宋体"/>
                <w:color w:val="202B38"/>
                <w:sz w:val="21"/>
              </w:rPr>
              <w:t>不直接覆盖组员代码，不绕过 PR 强推 main；每次修改均先同步远端、缩小变更范围、通过检查后再合并。这部分工作体现了版本控制、故障排查和团队协作能力。</w:t>
            </w:r>
          </w:p>
        </w:tc>
      </w:tr>
    </w:tbl>
    <w:p>
      <w:pPr>
        <w:spacing w:after="40"/>
      </w:pPr>
    </w:p>
    <w:p>
      <w:pPr>
        <w:pStyle w:val="Heading1"/>
      </w:pPr>
      <w:r>
        <w:t>八、成果证据与量化结果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4"/>
        <w:gridCol w:w="7056"/>
      </w:tblGrid>
      <w:tr>
        <w:tc>
          <w:tcPr>
            <w:tcW w:type="dxa" w:w="2304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1F4D78"/>
                <w:sz w:val="20"/>
              </w:rPr>
              <w:t>指标</w:t>
            </w:r>
          </w:p>
        </w:tc>
        <w:tc>
          <w:tcPr>
            <w:tcW w:type="dxa" w:w="7056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1F4D78"/>
                <w:sz w:val="20"/>
              </w:rPr>
              <w:t>结果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color w:val="202B38"/>
                <w:sz w:val="19"/>
              </w:rPr>
              <w:t>核心业务提交</w:t>
            </w:r>
          </w:p>
        </w:tc>
        <w:tc>
          <w:tcPr>
            <w:tcW w:type="dxa" w:w="7056"/>
            <w:vAlign w:val="center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color w:val="202B38"/>
                <w:sz w:val="19"/>
              </w:rPr>
              <w:t>feat: complete backend requirement workflows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color w:val="202B38"/>
                <w:sz w:val="19"/>
              </w:rPr>
              <w:t>后端改动规模</w:t>
            </w:r>
          </w:p>
        </w:tc>
        <w:tc>
          <w:tcPr>
            <w:tcW w:type="dxa" w:w="7056"/>
            <w:vAlign w:val="center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color w:val="202B38"/>
                <w:sz w:val="19"/>
              </w:rPr>
              <w:t>11 个文件，新增 365 行，删除 28 行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color w:val="202B38"/>
                <w:sz w:val="19"/>
              </w:rPr>
              <w:t>新增核心文件</w:t>
            </w:r>
          </w:p>
        </w:tc>
        <w:tc>
          <w:tcPr>
            <w:tcW w:type="dxa" w:w="7056"/>
            <w:vAlign w:val="center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color w:val="202B38"/>
                <w:sz w:val="19"/>
              </w:rPr>
              <w:t>ReportController、ReportRequest、ReportService、WalletMapper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color w:val="202B38"/>
                <w:sz w:val="19"/>
              </w:rPr>
              <w:t>主要修改文件</w:t>
            </w:r>
          </w:p>
        </w:tc>
        <w:tc>
          <w:tcPr>
            <w:tcW w:type="dxa" w:w="7056"/>
            <w:vAlign w:val="center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color w:val="202B38"/>
                <w:sz w:val="19"/>
              </w:rPr>
              <w:t>AdminController、GoodsController、GoodsRequest、GoodsMapper、AuthService、GoodsService、OrderService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color w:val="202B38"/>
                <w:sz w:val="19"/>
              </w:rPr>
              <w:t>代码合并</w:t>
            </w:r>
          </w:p>
        </w:tc>
        <w:tc>
          <w:tcPr>
            <w:tcW w:type="dxa" w:w="7056"/>
            <w:vAlign w:val="center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color w:val="202B38"/>
                <w:sz w:val="19"/>
              </w:rPr>
              <w:t>PR #1 已合并至 main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color w:val="202B38"/>
                <w:sz w:val="19"/>
              </w:rPr>
              <w:t>设计文档合并</w:t>
            </w:r>
          </w:p>
        </w:tc>
        <w:tc>
          <w:tcPr>
            <w:tcW w:type="dxa" w:w="7056"/>
            <w:vAlign w:val="center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color w:val="202B38"/>
                <w:sz w:val="19"/>
              </w:rPr>
              <w:t>D-03、D-04 通过 PR #7 合并至 main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color w:val="202B38"/>
                <w:sz w:val="19"/>
              </w:rPr>
              <w:t>最终 CI</w:t>
            </w:r>
          </w:p>
        </w:tc>
        <w:tc>
          <w:tcPr>
            <w:tcW w:type="dxa" w:w="7056"/>
            <w:vAlign w:val="center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color w:val="202B38"/>
                <w:sz w:val="19"/>
              </w:rPr>
              <w:t>Backend、Frontend、Docker 均通过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color w:val="202B38"/>
                <w:sz w:val="19"/>
              </w:rPr>
              <w:t>最终主分支</w:t>
            </w:r>
          </w:p>
        </w:tc>
        <w:tc>
          <w:tcPr>
            <w:tcW w:type="dxa" w:w="7056"/>
            <w:vAlign w:val="center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color w:val="202B38"/>
                <w:sz w:val="19"/>
              </w:rPr>
              <w:t>包含后端业务代码、SRS、概要设计和详细设计</w:t>
            </w:r>
          </w:p>
        </w:tc>
      </w:tr>
    </w:tbl>
    <w:p>
      <w:pPr>
        <w:spacing w:after="40"/>
      </w:pPr>
    </w:p>
    <w:p>
      <w:pPr>
        <w:pStyle w:val="Heading1"/>
      </w:pPr>
      <w:r>
        <w:t>九、不足与后续改进</w:t>
      </w:r>
    </w:p>
    <w:p>
      <w:pPr>
        <w:spacing w:line="300" w:lineRule="auto" w:after="140"/>
        <w:ind w:firstLine="440"/>
        <w:jc w:val="both"/>
      </w:pPr>
      <w:r>
        <w:rPr>
          <w:rFonts w:ascii="宋体" w:hAnsi="宋体" w:eastAsia="宋体"/>
          <w:color w:val="202B38"/>
          <w:sz w:val="22"/>
        </w:rPr>
        <w:t>第一，仓库目前缺少系统化的自动化测试源码。虽然 Maven 和 GitHub Actions 构建成功，但构建通过不等同于业务逻辑已经获得充分回归验证。后续应优先为 AuthService、GoodsService、OrderService 和 ReportService 增加单元测试与接口测试。</w:t>
      </w:r>
    </w:p>
    <w:p>
      <w:pPr>
        <w:spacing w:line="300" w:lineRule="auto" w:after="140"/>
        <w:ind w:firstLine="440"/>
        <w:jc w:val="both"/>
      </w:pPr>
      <w:r>
        <w:rPr>
          <w:rFonts w:ascii="宋体" w:hAnsi="宋体" w:eastAsia="宋体"/>
          <w:color w:val="202B38"/>
          <w:sz w:val="22"/>
        </w:rPr>
        <w:t>第二，HTTP 请求已使用 JWT 鉴权，但 STOMP WebSocket 连接层尚未增加 ChannelInterceptor 解析 JWT。正式部署前应在 CONNECT 帧中校验 Token，并确保消息发送者与 Principal 一致。</w:t>
      </w:r>
    </w:p>
    <w:p>
      <w:pPr>
        <w:spacing w:line="300" w:lineRule="auto" w:after="140"/>
        <w:ind w:firstLine="440"/>
        <w:jc w:val="both"/>
      </w:pPr>
      <w:r>
        <w:rPr>
          <w:rFonts w:ascii="宋体" w:hAnsi="宋体" w:eastAsia="宋体"/>
          <w:color w:val="202B38"/>
          <w:sz w:val="22"/>
        </w:rPr>
        <w:t>第三，学号唯一只能防止重复注册，不能证明注册人与学号真实对应。真实校园环境中应接入统一身份认证、校园邮箱验证码或人工审核机制。</w:t>
      </w:r>
    </w:p>
    <w:p>
      <w:pPr>
        <w:spacing w:line="300" w:lineRule="auto" w:after="140"/>
        <w:ind w:firstLine="440"/>
        <w:jc w:val="both"/>
      </w:pPr>
      <w:r>
        <w:rPr>
          <w:rFonts w:ascii="宋体" w:hAnsi="宋体" w:eastAsia="宋体"/>
          <w:color w:val="202B38"/>
          <w:sz w:val="22"/>
        </w:rPr>
        <w:t>第四，同一商品高并发下单仍可通过数据库条件更新、唯一约束或悲观锁进一步增强。课程项目流量有限，但这一风险已在详细设计中明确记录。</w:t>
      </w:r>
    </w:p>
    <w:p>
      <w:pPr>
        <w:pStyle w:val="Heading1"/>
      </w:pPr>
      <w:r>
        <w:t>十、个人收获</w:t>
      </w:r>
    </w:p>
    <w:p>
      <w:pPr>
        <w:spacing w:line="300" w:lineRule="auto" w:after="140"/>
        <w:ind w:firstLine="440"/>
        <w:jc w:val="both"/>
      </w:pPr>
      <w:r>
        <w:rPr>
          <w:rFonts w:ascii="宋体" w:hAnsi="宋体" w:eastAsia="宋体"/>
          <w:color w:val="202B38"/>
          <w:sz w:val="22"/>
        </w:rPr>
        <w:t>通过本次课程设计，我不仅完成了后端功能编码，也经历了从需求澄清、架构设计、详细设计、实现、构建、CI 排错到 Pull Request 合并的完整软件工程过程。相比单纯实现 CRUD，本次工作更强调业务状态、事务一致性、安全边界、幂等性和团队协作。</w:t>
      </w:r>
    </w:p>
    <w:p>
      <w:pPr>
        <w:spacing w:line="300" w:lineRule="auto" w:after="140"/>
        <w:ind w:firstLine="440"/>
        <w:jc w:val="both"/>
      </w:pPr>
      <w:r>
        <w:rPr>
          <w:rFonts w:ascii="宋体" w:hAnsi="宋体" w:eastAsia="宋体"/>
          <w:color w:val="202B38"/>
          <w:sz w:val="22"/>
        </w:rPr>
        <w:t>我进一步掌握了 Spring Boot 分层开发、MyBatis-Plus 数据访问、JWT 权限控制、事务设计、REST API 设计、Git 分支协作和 GitHub Actions 故障分析。最重要的收获是能够把需求中的问题转化为可验证的代码规则，并通过日志和版本历史定位真实工程问题。</w:t>
      </w:r>
    </w:p>
    <w:p>
      <w:pPr>
        <w:pStyle w:val="Heading1"/>
      </w:pPr>
      <w:r>
        <w:t>十一、总结</w:t>
      </w:r>
    </w:p>
    <w:p>
      <w:pPr>
        <w:spacing w:line="300" w:lineRule="auto" w:after="140"/>
        <w:ind w:firstLine="440"/>
        <w:jc w:val="both"/>
      </w:pPr>
      <w:r>
        <w:rPr>
          <w:rFonts w:ascii="宋体" w:hAnsi="宋体" w:eastAsia="宋体"/>
          <w:color w:val="202B38"/>
          <w:sz w:val="22"/>
        </w:rPr>
        <w:t>总体而言，我负责的后端工作已经形成较完整的业务实现和工程化交付成果。主要贡献集中在注册与钱包一致性、商品与收藏、线下订单状态流转、信用分幂等结算、举报治理闭环以及 CI/CD 协作。相关代码和设计文档均已通过 Pull Request 合并至主分支，并通过持续集成检查，达到了课程设计阶段的交付要求。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宋体" w:hAnsi="宋体" w:eastAsia="宋体"/>
        <w:color w:val="646C76"/>
        <w:sz w:val="18"/>
      </w:rPr>
      <w:t xml:space="preserve">第 </w:t>
      <w:fldChar w:fldCharType="begin"/>
      <w:instrText xml:space="preserve"> PAGE </w:instrText>
      <w:fldChar w:fldCharType="separate"/>
      <w:t>1</w:t>
      <w:fldChar w:fldCharType="end"/>
    </w:r>
    <w:r>
      <w:rPr>
        <w:rFonts w:ascii="宋体" w:hAnsi="宋体" w:eastAsia="宋体"/>
        <w:color w:val="646C76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微软雅黑" w:hAnsi="微软雅黑" w:eastAsia="微软雅黑"/>
        <w:color w:val="646C76"/>
        <w:sz w:val="18"/>
      </w:rPr>
      <w:t>SwapCampus 课程设计 | 后端开发工作总结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SwapCampus 后端开发工作总结报告</dc:title>
  <dc:subject>软件工程课程设计个人工作总结</dc:subject>
  <dc:creator>陈宣妤</dc:creator>
  <cp:keywords>SwapCampus, 后端开发, Spring Boot, 工作总结, 课程设计</cp:keywords>
  <dc:description>generated by python-docx</dc:description>
  <cp:lastModifiedBy>陈宣妤</cp:lastModifiedBy>
  <cp:revision>1</cp:revision>
  <dcterms:created xsi:type="dcterms:W3CDTF">2013-12-23T23:15:00Z</dcterms:created>
  <dcterms:modified xsi:type="dcterms:W3CDTF">2013-12-23T23:15:00Z</dcterms:modified>
  <cp:category/>
</cp:coreProperties>
</file>