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jpeg" ContentType="image/jpeg"/>
  <Default Extension="JPG" ContentType="image/.jpg"/>
  <Default Extension="wmf" ContentType="image/x-wmf"/>
  <Default Extension="wdp" ContentType="image/vnd.ms-photo"/>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10.vsdx" ContentType="application/vnd.ms-visio.drawing"/>
  <Override PartName="/word/embeddings/Microsoft_Visio___11.vsdx" ContentType="application/vnd.ms-visio.drawing"/>
  <Override PartName="/word/embeddings/Microsoft_Visio___12.vsdx" ContentType="application/vnd.ms-visio.drawing"/>
  <Override PartName="/word/embeddings/Microsoft_Visio___13.vsdx" ContentType="application/vnd.ms-visio.drawing"/>
  <Override PartName="/word/embeddings/Microsoft_Visio___14.vsdx" ContentType="application/vnd.ms-visio.drawing"/>
  <Override PartName="/word/embeddings/Microsoft_Visio___15.vsdx" ContentType="application/vnd.ms-visio.drawing"/>
  <Override PartName="/word/embeddings/Microsoft_Visio___16.vsdx" ContentType="application/vnd.ms-visio.drawing"/>
  <Override PartName="/word/embeddings/Microsoft_Visio___17.vsdx" ContentType="application/vnd.ms-visio.drawing"/>
  <Override PartName="/word/embeddings/Microsoft_Visio___18.vsdx" ContentType="application/vnd.ms-visio.drawing"/>
  <Override PartName="/word/embeddings/Microsoft_Visio___19.vsdx" ContentType="application/vnd.ms-visio.drawing"/>
  <Override PartName="/word/embeddings/Microsoft_Visio___2.vsdx" ContentType="application/vnd.ms-visio.drawing"/>
  <Override PartName="/word/embeddings/Microsoft_Visio___3.vsdx" ContentType="application/vnd.ms-visio.drawing"/>
  <Override PartName="/word/embeddings/Microsoft_Visio___4.vsdx" ContentType="application/vnd.ms-visio.drawing"/>
  <Override PartName="/word/embeddings/Microsoft_Visio___5.vsdx" ContentType="application/vnd.ms-visio.drawing"/>
  <Override PartName="/word/embeddings/Microsoft_Visio___6.vsdx" ContentType="application/vnd.ms-visio.drawing"/>
  <Override PartName="/word/embeddings/Microsoft_Visio___7.vsdx" ContentType="application/vnd.ms-visio.drawing"/>
  <Override PartName="/word/embeddings/Microsoft_Visio___8.vsdx" ContentType="application/vnd.ms-visio.drawing"/>
  <Override PartName="/word/embeddings/Microsoft_Visio___9.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11DE0C">
      <w:pPr>
        <w:widowControl/>
        <w:spacing w:before="100" w:beforeAutospacing="1" w:after="100" w:afterAutospacing="1" w:line="240" w:lineRule="auto"/>
        <w:jc w:val="center"/>
        <w:rPr>
          <w:rFonts w:ascii="黑体" w:hAnsi="宋体" w:eastAsia="黑体" w:cs="宋体"/>
          <w:kern w:val="0"/>
          <w:sz w:val="52"/>
          <w:szCs w:val="52"/>
        </w:rPr>
      </w:pPr>
      <w:bookmarkStart w:id="0" w:name="_Toc108970354"/>
      <w:bookmarkStart w:id="1" w:name="_Toc108972938"/>
      <w:r>
        <w:rPr>
          <w:rFonts w:hint="eastAsia" w:ascii="黑体" w:hAnsi="宋体" w:eastAsia="黑体" w:cs="宋体"/>
          <w:kern w:val="0"/>
          <w:sz w:val="52"/>
          <w:szCs w:val="52"/>
        </w:rPr>
        <w:fldChar w:fldCharType="begin"/>
      </w:r>
      <w:r>
        <w:rPr>
          <w:rFonts w:hint="eastAsia" w:ascii="黑体" w:hAnsi="宋体" w:eastAsia="黑体" w:cs="宋体"/>
          <w:kern w:val="0"/>
          <w:sz w:val="52"/>
          <w:szCs w:val="52"/>
        </w:rPr>
        <w:instrText xml:space="preserve"> MACROBUTTON MTEditEquationSection2 </w:instrText>
      </w:r>
      <w:r>
        <w:rPr>
          <w:rStyle w:val="77"/>
          <w:rFonts w:hint="eastAsia"/>
        </w:rPr>
        <w:instrText xml:space="preserve">Equation Chapter 1 Section 1</w:instrText>
      </w:r>
      <w:r>
        <w:rPr>
          <w:rFonts w:hint="eastAsia" w:ascii="黑体" w:hAnsi="宋体" w:eastAsia="黑体" w:cs="宋体"/>
          <w:kern w:val="0"/>
          <w:sz w:val="52"/>
          <w:szCs w:val="52"/>
        </w:rPr>
        <w:fldChar w:fldCharType="begin"/>
      </w:r>
      <w:r>
        <w:rPr>
          <w:rFonts w:hint="eastAsia" w:ascii="黑体" w:hAnsi="宋体" w:eastAsia="黑体" w:cs="宋体"/>
          <w:kern w:val="0"/>
          <w:sz w:val="52"/>
          <w:szCs w:val="52"/>
        </w:rPr>
        <w:instrText xml:space="preserve"> SEQ MTEqn \r \h \* MERGEFORMAT </w:instrText>
      </w:r>
      <w:r>
        <w:rPr>
          <w:rFonts w:hint="eastAsia" w:ascii="黑体" w:hAnsi="宋体" w:eastAsia="黑体" w:cs="宋体"/>
          <w:kern w:val="0"/>
          <w:sz w:val="52"/>
          <w:szCs w:val="52"/>
        </w:rPr>
        <w:fldChar w:fldCharType="end"/>
      </w:r>
      <w:r>
        <w:rPr>
          <w:rFonts w:hint="eastAsia" w:ascii="黑体" w:hAnsi="宋体" w:eastAsia="黑体" w:cs="宋体"/>
          <w:kern w:val="0"/>
          <w:sz w:val="52"/>
          <w:szCs w:val="52"/>
        </w:rPr>
        <w:fldChar w:fldCharType="begin"/>
      </w:r>
      <w:r>
        <w:rPr>
          <w:rFonts w:hint="eastAsia" w:ascii="黑体" w:hAnsi="宋体" w:eastAsia="黑体" w:cs="宋体"/>
          <w:kern w:val="0"/>
          <w:sz w:val="52"/>
          <w:szCs w:val="52"/>
        </w:rPr>
        <w:instrText xml:space="preserve"> SEQ MTSec \r 1 \h \* MERGEFORMAT </w:instrText>
      </w:r>
      <w:r>
        <w:rPr>
          <w:rFonts w:hint="eastAsia" w:ascii="黑体" w:hAnsi="宋体" w:eastAsia="黑体" w:cs="宋体"/>
          <w:kern w:val="0"/>
          <w:sz w:val="52"/>
          <w:szCs w:val="52"/>
        </w:rPr>
        <w:fldChar w:fldCharType="end"/>
      </w:r>
      <w:r>
        <w:rPr>
          <w:rFonts w:hint="eastAsia" w:ascii="黑体" w:hAnsi="宋体" w:eastAsia="黑体" w:cs="宋体"/>
          <w:kern w:val="0"/>
          <w:sz w:val="52"/>
          <w:szCs w:val="52"/>
        </w:rPr>
        <w:fldChar w:fldCharType="begin"/>
      </w:r>
      <w:r>
        <w:rPr>
          <w:rFonts w:hint="eastAsia" w:ascii="黑体" w:hAnsi="宋体" w:eastAsia="黑体" w:cs="宋体"/>
          <w:kern w:val="0"/>
          <w:sz w:val="52"/>
          <w:szCs w:val="52"/>
        </w:rPr>
        <w:instrText xml:space="preserve"> SEQ MTChap \r 1 \h \* MERGEFORMAT </w:instrText>
      </w:r>
      <w:r>
        <w:rPr>
          <w:rFonts w:hint="eastAsia" w:ascii="黑体" w:hAnsi="宋体" w:eastAsia="黑体" w:cs="宋体"/>
          <w:kern w:val="0"/>
          <w:sz w:val="52"/>
          <w:szCs w:val="52"/>
        </w:rPr>
        <w:fldChar w:fldCharType="end"/>
      </w:r>
      <w:r>
        <w:rPr>
          <w:rFonts w:hint="eastAsia" w:ascii="黑体" w:hAnsi="宋体" w:eastAsia="黑体" w:cs="宋体"/>
          <w:kern w:val="0"/>
          <w:sz w:val="52"/>
          <w:szCs w:val="52"/>
        </w:rPr>
        <w:fldChar w:fldCharType="end"/>
      </w:r>
      <w:r>
        <w:rPr>
          <w:rFonts w:ascii="黑体" w:hAnsi="宋体" w:eastAsia="黑体" w:cs="宋体"/>
          <w:kern w:val="0"/>
          <w:sz w:val="48"/>
          <w:szCs w:val="48"/>
        </w:rPr>
        <w:t>第</w:t>
      </w:r>
      <w:r>
        <w:rPr>
          <w:rFonts w:hint="eastAsia" w:ascii="黑体" w:hAnsi="宋体" w:eastAsia="黑体" w:cs="宋体"/>
          <w:kern w:val="0"/>
          <w:sz w:val="48"/>
          <w:szCs w:val="48"/>
        </w:rPr>
        <w:t>二十</w:t>
      </w:r>
      <w:r>
        <w:rPr>
          <w:rFonts w:hint="eastAsia" w:ascii="黑体" w:hAnsi="宋体" w:eastAsia="黑体" w:cs="宋体"/>
          <w:kern w:val="0"/>
          <w:sz w:val="48"/>
          <w:szCs w:val="48"/>
          <w:lang w:val="en-US" w:eastAsia="zh-CN"/>
        </w:rPr>
        <w:t>一</w:t>
      </w:r>
      <w:r>
        <w:rPr>
          <w:rFonts w:ascii="黑体" w:hAnsi="宋体" w:eastAsia="黑体" w:cs="宋体"/>
          <w:kern w:val="0"/>
          <w:sz w:val="48"/>
          <w:szCs w:val="48"/>
        </w:rPr>
        <w:t>届</w:t>
      </w:r>
      <w:r>
        <w:rPr>
          <w:rFonts w:hint="eastAsia" w:ascii="黑体" w:hAnsi="宋体" w:eastAsia="黑体" w:cs="宋体"/>
          <w:kern w:val="0"/>
          <w:sz w:val="48"/>
          <w:szCs w:val="48"/>
        </w:rPr>
        <w:t>中国研究生电子设计竞赛</w:t>
      </w:r>
    </w:p>
    <w:p w14:paraId="2E802709">
      <w:pPr>
        <w:widowControl/>
        <w:spacing w:line="240" w:lineRule="auto"/>
        <w:jc w:val="center"/>
        <w:rPr>
          <w:rFonts w:ascii="黑体" w:hAnsi="宋体" w:eastAsia="黑体" w:cs="宋体"/>
          <w:kern w:val="0"/>
          <w:sz w:val="52"/>
          <w:szCs w:val="52"/>
        </w:rPr>
      </w:pPr>
      <w:r>
        <w:rPr>
          <w:rFonts w:hint="eastAsia" w:ascii="黑体" w:hAnsi="宋体" w:eastAsia="黑体" w:cs="宋体"/>
          <w:kern w:val="0"/>
          <w:sz w:val="52"/>
          <w:szCs w:val="52"/>
        </w:rPr>
        <w:t>技术论文</w:t>
      </w:r>
    </w:p>
    <w:p w14:paraId="05665259">
      <w:pPr>
        <w:widowControl/>
        <w:spacing w:line="240" w:lineRule="auto"/>
        <w:ind w:firstLine="1040"/>
        <w:jc w:val="center"/>
        <w:rPr>
          <w:rFonts w:ascii="黑体" w:hAnsi="宋体" w:eastAsia="黑体" w:cs="宋体"/>
          <w:kern w:val="0"/>
          <w:sz w:val="52"/>
          <w:szCs w:val="52"/>
        </w:rPr>
      </w:pPr>
    </w:p>
    <w:p w14:paraId="4171DE26">
      <w:pPr>
        <w:widowControl/>
        <w:spacing w:line="240" w:lineRule="auto"/>
        <w:jc w:val="center"/>
        <w:rPr>
          <w:rFonts w:ascii="黑体" w:hAnsi="宋体" w:eastAsia="黑体" w:cs="宋体"/>
          <w:kern w:val="0"/>
          <w:sz w:val="36"/>
          <w:szCs w:val="36"/>
        </w:rPr>
      </w:pPr>
      <w:r>
        <w:rPr>
          <w:rFonts w:hint="eastAsia" w:ascii="黑体" w:hAnsi="宋体" w:eastAsia="黑体" w:cs="宋体"/>
          <w:kern w:val="0"/>
          <w:sz w:val="36"/>
          <w:szCs w:val="36"/>
        </w:rPr>
        <w:t>论文题目：</w:t>
      </w:r>
      <w:bookmarkStart w:id="2" w:name="_Hlk108620854"/>
      <w:r>
        <w:rPr>
          <w:rFonts w:hint="eastAsia" w:ascii="黑体" w:hAnsi="宋体" w:eastAsia="黑体" w:cs="宋体"/>
          <w:kern w:val="0"/>
          <w:sz w:val="36"/>
          <w:szCs w:val="36"/>
          <w:lang w:val="en-US" w:eastAsia="zh-CN"/>
        </w:rPr>
        <w:t>燃料电池电动车电源控制及管理</w:t>
      </w:r>
    </w:p>
    <w:bookmarkEnd w:id="2"/>
    <w:p w14:paraId="04C4E507">
      <w:pPr>
        <w:widowControl/>
        <w:spacing w:line="240" w:lineRule="auto"/>
        <w:ind w:firstLine="600"/>
        <w:jc w:val="center"/>
        <w:rPr>
          <w:rFonts w:hint="eastAsia" w:ascii="黑体" w:hAnsi="宋体" w:eastAsia="黑体" w:cs="宋体"/>
          <w:kern w:val="0"/>
          <w:sz w:val="36"/>
          <w:szCs w:val="36"/>
        </w:rPr>
      </w:pPr>
      <w:r>
        <w:rPr>
          <w:rFonts w:hint="eastAsia" w:ascii="黑体" w:hAnsi="宋体" w:eastAsia="黑体" w:cs="宋体"/>
          <w:kern w:val="0"/>
          <w:sz w:val="36"/>
          <w:szCs w:val="36"/>
        </w:rPr>
        <w:t>Fuel Cell Electric Vehicle Power Supply Control and Management</w:t>
      </w:r>
    </w:p>
    <w:p w14:paraId="45F9C250">
      <w:pPr>
        <w:widowControl/>
        <w:spacing w:line="240" w:lineRule="auto"/>
        <w:ind w:firstLine="600"/>
        <w:jc w:val="center"/>
        <w:rPr>
          <w:rFonts w:ascii="黑体" w:hAnsi="宋体" w:eastAsia="黑体" w:cs="宋体"/>
          <w:kern w:val="0"/>
          <w:sz w:val="30"/>
          <w:szCs w:val="30"/>
        </w:rPr>
      </w:pPr>
      <w:r>
        <w:rPr>
          <w:rFonts w:hint="eastAsia" w:ascii="黑体" w:hAnsi="宋体" w:eastAsia="黑体" w:cs="宋体"/>
          <w:kern w:val="0"/>
          <w:sz w:val="30"/>
          <w:szCs w:val="30"/>
        </w:rPr>
        <w:t>参赛单位：湖北工业大学</w:t>
      </w:r>
    </w:p>
    <w:p w14:paraId="19A052A1">
      <w:pPr>
        <w:widowControl/>
        <w:spacing w:line="240" w:lineRule="auto"/>
        <w:ind w:firstLine="600"/>
        <w:jc w:val="center"/>
        <w:rPr>
          <w:rFonts w:ascii="黑体" w:hAnsi="宋体" w:eastAsia="黑体" w:cs="宋体"/>
          <w:kern w:val="0"/>
          <w:sz w:val="30"/>
          <w:szCs w:val="30"/>
        </w:rPr>
      </w:pPr>
    </w:p>
    <w:p w14:paraId="368E9C9E">
      <w:pPr>
        <w:widowControl/>
        <w:spacing w:line="240" w:lineRule="auto"/>
        <w:ind w:firstLine="600"/>
        <w:jc w:val="center"/>
        <w:rPr>
          <w:rFonts w:hint="default" w:ascii="黑体" w:hAnsi="宋体" w:eastAsia="黑体" w:cs="宋体"/>
          <w:kern w:val="0"/>
          <w:sz w:val="30"/>
          <w:szCs w:val="30"/>
          <w:lang w:val="en-US" w:eastAsia="zh-CN"/>
        </w:rPr>
      </w:pPr>
      <w:r>
        <w:rPr>
          <w:rFonts w:hint="eastAsia" w:ascii="黑体" w:hAnsi="宋体" w:eastAsia="黑体" w:cs="宋体"/>
          <w:kern w:val="0"/>
          <w:sz w:val="30"/>
          <w:szCs w:val="30"/>
        </w:rPr>
        <w:t>队伍名称：</w:t>
      </w:r>
      <w:r>
        <w:rPr>
          <w:rFonts w:hint="eastAsia" w:ascii="黑体" w:hAnsi="宋体" w:eastAsia="黑体" w:cs="宋体"/>
          <w:kern w:val="0"/>
          <w:sz w:val="30"/>
          <w:szCs w:val="30"/>
          <w:lang w:val="en-US" w:eastAsia="zh-CN"/>
        </w:rPr>
        <w:t>氢能智控</w:t>
      </w:r>
    </w:p>
    <w:p w14:paraId="181B20BC">
      <w:pPr>
        <w:widowControl/>
        <w:spacing w:line="240" w:lineRule="auto"/>
        <w:ind w:firstLine="600"/>
        <w:jc w:val="center"/>
        <w:rPr>
          <w:rFonts w:ascii="黑体" w:hAnsi="宋体" w:eastAsia="黑体" w:cs="宋体"/>
          <w:kern w:val="0"/>
          <w:sz w:val="30"/>
          <w:szCs w:val="30"/>
        </w:rPr>
      </w:pPr>
    </w:p>
    <w:p w14:paraId="63C37CC6">
      <w:pPr>
        <w:widowControl/>
        <w:spacing w:line="240" w:lineRule="auto"/>
        <w:ind w:firstLine="600"/>
        <w:jc w:val="center"/>
        <w:rPr>
          <w:rFonts w:ascii="黑体" w:hAnsi="宋体" w:eastAsia="黑体" w:cs="宋体"/>
          <w:kern w:val="0"/>
          <w:sz w:val="30"/>
          <w:szCs w:val="30"/>
        </w:rPr>
      </w:pPr>
      <w:r>
        <w:rPr>
          <w:rFonts w:hint="eastAsia" w:ascii="黑体" w:hAnsi="宋体" w:eastAsia="黑体" w:cs="宋体"/>
          <w:kern w:val="0"/>
          <w:sz w:val="30"/>
          <w:szCs w:val="30"/>
        </w:rPr>
        <w:t>指导老师：全睿</w:t>
      </w:r>
    </w:p>
    <w:p w14:paraId="5D96A5C6">
      <w:pPr>
        <w:widowControl/>
        <w:spacing w:line="240" w:lineRule="auto"/>
        <w:ind w:firstLine="600"/>
        <w:jc w:val="center"/>
        <w:rPr>
          <w:rFonts w:ascii="黑体" w:hAnsi="宋体" w:eastAsia="黑体" w:cs="宋体"/>
          <w:kern w:val="0"/>
          <w:sz w:val="30"/>
          <w:szCs w:val="30"/>
        </w:rPr>
      </w:pPr>
    </w:p>
    <w:p w14:paraId="776281B5">
      <w:pPr>
        <w:widowControl/>
        <w:spacing w:line="240" w:lineRule="auto"/>
        <w:ind w:firstLine="600"/>
        <w:jc w:val="center"/>
        <w:rPr>
          <w:rFonts w:hint="eastAsia" w:ascii="黑体" w:hAnsi="宋体" w:eastAsia="黑体" w:cs="宋体"/>
          <w:kern w:val="0"/>
          <w:sz w:val="30"/>
          <w:szCs w:val="30"/>
          <w:lang w:eastAsia="zh-CN"/>
        </w:rPr>
      </w:pPr>
      <w:r>
        <w:rPr>
          <w:rFonts w:hint="eastAsia" w:ascii="黑体" w:hAnsi="宋体" w:eastAsia="黑体" w:cs="宋体"/>
          <w:kern w:val="0"/>
          <w:sz w:val="30"/>
          <w:szCs w:val="30"/>
        </w:rPr>
        <w:t xml:space="preserve">参赛队员： </w:t>
      </w:r>
      <w:r>
        <w:rPr>
          <w:rFonts w:hint="eastAsia" w:ascii="黑体" w:hAnsi="宋体" w:eastAsia="黑体" w:cs="宋体"/>
          <w:kern w:val="0"/>
          <w:sz w:val="30"/>
          <w:szCs w:val="30"/>
          <w:lang w:val="en-US" w:eastAsia="zh-CN"/>
        </w:rPr>
        <w:t>吕成武</w:t>
      </w:r>
      <w:r>
        <w:rPr>
          <w:rFonts w:hint="eastAsia" w:ascii="黑体" w:hAnsi="宋体" w:eastAsia="黑体" w:cs="宋体"/>
          <w:kern w:val="0"/>
          <w:sz w:val="30"/>
          <w:szCs w:val="30"/>
        </w:rPr>
        <w:t>，程功，</w:t>
      </w:r>
      <w:r>
        <w:rPr>
          <w:rFonts w:hint="eastAsia" w:ascii="黑体" w:hAnsi="宋体" w:eastAsia="黑体" w:cs="宋体"/>
          <w:kern w:val="0"/>
          <w:sz w:val="30"/>
          <w:szCs w:val="30"/>
          <w:lang w:val="en-US" w:eastAsia="zh-CN"/>
        </w:rPr>
        <w:t>曾维明</w:t>
      </w:r>
    </w:p>
    <w:p w14:paraId="1916E25C">
      <w:pPr>
        <w:widowControl/>
        <w:spacing w:line="240" w:lineRule="auto"/>
        <w:ind w:firstLine="600"/>
        <w:jc w:val="center"/>
        <w:rPr>
          <w:rFonts w:ascii="黑体" w:hAnsi="宋体" w:eastAsia="黑体" w:cs="宋体"/>
          <w:kern w:val="0"/>
          <w:sz w:val="30"/>
          <w:szCs w:val="30"/>
        </w:rPr>
      </w:pPr>
    </w:p>
    <w:p w14:paraId="1DF6A297">
      <w:pPr>
        <w:widowControl/>
        <w:spacing w:line="240" w:lineRule="auto"/>
        <w:ind w:firstLine="600"/>
        <w:jc w:val="center"/>
        <w:rPr>
          <w:rFonts w:hint="default" w:ascii="黑体" w:hAnsi="宋体" w:eastAsia="黑体" w:cs="宋体"/>
          <w:kern w:val="0"/>
          <w:sz w:val="30"/>
          <w:szCs w:val="30"/>
          <w:lang w:val="en-US" w:eastAsia="zh-CN"/>
        </w:rPr>
      </w:pPr>
      <w:r>
        <w:rPr>
          <w:rFonts w:hint="eastAsia" w:ascii="黑体" w:hAnsi="宋体" w:eastAsia="黑体" w:cs="宋体"/>
          <w:kern w:val="0"/>
          <w:sz w:val="30"/>
          <w:szCs w:val="30"/>
        </w:rPr>
        <w:t>完成时间：2</w:t>
      </w:r>
      <w:r>
        <w:rPr>
          <w:rFonts w:ascii="黑体" w:hAnsi="宋体" w:eastAsia="黑体" w:cs="宋体"/>
          <w:kern w:val="0"/>
          <w:sz w:val="30"/>
          <w:szCs w:val="30"/>
        </w:rPr>
        <w:t>02</w:t>
      </w:r>
      <w:r>
        <w:rPr>
          <w:rFonts w:hint="eastAsia" w:ascii="黑体" w:hAnsi="宋体" w:eastAsia="黑体" w:cs="宋体"/>
          <w:kern w:val="0"/>
          <w:sz w:val="30"/>
          <w:szCs w:val="30"/>
          <w:lang w:val="en-US" w:eastAsia="zh-CN"/>
        </w:rPr>
        <w:t>6</w:t>
      </w:r>
      <w:r>
        <w:rPr>
          <w:rFonts w:ascii="黑体" w:hAnsi="宋体" w:eastAsia="黑体" w:cs="宋体"/>
          <w:kern w:val="0"/>
          <w:sz w:val="30"/>
          <w:szCs w:val="30"/>
        </w:rPr>
        <w:t>.</w:t>
      </w:r>
      <w:r>
        <w:rPr>
          <w:rFonts w:hint="eastAsia" w:ascii="黑体" w:hAnsi="宋体" w:eastAsia="黑体" w:cs="宋体"/>
          <w:kern w:val="0"/>
          <w:sz w:val="30"/>
          <w:szCs w:val="30"/>
          <w:lang w:val="en-US" w:eastAsia="zh-CN"/>
        </w:rPr>
        <w:t>5</w:t>
      </w:r>
      <w:r>
        <w:rPr>
          <w:rFonts w:ascii="黑体" w:hAnsi="宋体" w:eastAsia="黑体" w:cs="宋体"/>
          <w:kern w:val="0"/>
          <w:sz w:val="30"/>
          <w:szCs w:val="30"/>
        </w:rPr>
        <w:t>.</w:t>
      </w:r>
      <w:r>
        <w:rPr>
          <w:rFonts w:hint="eastAsia" w:ascii="黑体" w:hAnsi="宋体" w:eastAsia="黑体" w:cs="宋体"/>
          <w:kern w:val="0"/>
          <w:sz w:val="30"/>
          <w:szCs w:val="30"/>
          <w:lang w:val="en-US" w:eastAsia="zh-CN"/>
        </w:rPr>
        <w:t>23</w:t>
      </w:r>
    </w:p>
    <w:p w14:paraId="19C8330E">
      <w:pPr>
        <w:sectPr>
          <w:headerReference r:id="rId5" w:type="default"/>
          <w:footerReference r:id="rId6" w:type="default"/>
          <w:pgSz w:w="11906" w:h="16838"/>
          <w:pgMar w:top="1440" w:right="1800" w:bottom="1440" w:left="1800" w:header="851" w:footer="992" w:gutter="0"/>
          <w:cols w:space="425" w:num="1"/>
          <w:docGrid w:type="lines" w:linePitch="326" w:charSpace="0"/>
        </w:sectPr>
      </w:pPr>
    </w:p>
    <w:p w14:paraId="305B5C68">
      <w:pPr>
        <w:widowControl/>
        <w:spacing w:after="163" w:afterLines="50"/>
        <w:jc w:val="center"/>
        <w:rPr>
          <w:rFonts w:cs="Times New Roman"/>
          <w:color w:val="2A2B2E"/>
          <w:szCs w:val="36"/>
        </w:rPr>
      </w:pPr>
      <w:bookmarkStart w:id="3" w:name="_Toc108620494"/>
      <w:r>
        <w:rPr>
          <w:rFonts w:hint="eastAsia" w:eastAsia="黑体" w:cs="Times New Roman"/>
          <w:b/>
          <w:bCs/>
          <w:color w:val="2A2B2E"/>
          <w:sz w:val="36"/>
          <w:szCs w:val="36"/>
        </w:rPr>
        <w:t>摘要</w:t>
      </w:r>
      <w:bookmarkEnd w:id="3"/>
    </w:p>
    <w:p w14:paraId="2BA8F2E4">
      <w:pPr>
        <w:ind w:firstLine="480"/>
        <w:rPr>
          <w:rFonts w:hint="eastAsia"/>
        </w:rPr>
      </w:pPr>
      <w:r>
        <w:rPr>
          <w:rFonts w:hint="eastAsia"/>
        </w:rPr>
        <w:t>在氢能动力系统快速发展的背景下，氢燃料电池作为清洁能源的核心转换装置，其电源管理系统的可靠性、实时性与智能化水平直接制约着燃料电池系统的安全运行与工程化应用。燃料电池本身具有能量转换效率高、环境友好等优势，但对电堆温度、氢气压差及输入电流等工作条件极为敏感，一旦管理不当极易引发膜干、反极甚至电堆失效等严重故障。与此同时，随着燃料电池应用场景的拓展，电源管理器不仅需要实现DC</w:t>
      </w:r>
      <w:r>
        <w:rPr>
          <w:rFonts w:hint="eastAsia"/>
        </w:rPr>
        <w:noBreakHyphen/>
      </w:r>
      <w:r>
        <w:rPr>
          <w:rFonts w:hint="eastAsia"/>
        </w:rPr>
        <w:t>DC功率变换与多源能量调度，还需集成外设驱动、状态监测及远程运维功能。因此，开展高可靠性、高集成度的燃料电池控制单元（FCU）研究，对于保障燃料电池系统安全运行、延长电堆寿命并推动氢能装备的规模化应用具有重要意义。</w:t>
      </w:r>
    </w:p>
    <w:p w14:paraId="44737F2C">
      <w:pPr>
        <w:ind w:firstLine="480"/>
        <w:rPr>
          <w:rFonts w:hint="eastAsia"/>
        </w:rPr>
      </w:pPr>
      <w:r>
        <w:rPr>
          <w:rFonts w:hint="eastAsia"/>
        </w:rPr>
        <w:t>目前主流的小功率燃料电池电源管理方案多采用分离式架构，存在接线复杂、功率链路与控制逻辑耦合度高、故障保护响应慢以及系统扩展性差等问题。在实际应用中，主功率DC</w:t>
      </w:r>
      <w:r>
        <w:rPr>
          <w:rFonts w:hint="eastAsia"/>
        </w:rPr>
        <w:noBreakHyphen/>
      </w:r>
      <w:r>
        <w:rPr>
          <w:rFonts w:hint="eastAsia"/>
        </w:rPr>
        <w:t>DC变换器与辅助电源、阀体驱动、温度/压力采集等模块各自独立设计，导致通信链路冗余、数据同步机制薄弱，且缺少智能化的状态监测与远程运维手段，难以满足车用及固定式发电系统对安全性、实时性和智能化的更高要求。</w:t>
      </w:r>
    </w:p>
    <w:p w14:paraId="6B7B3808">
      <w:pPr>
        <w:ind w:firstLine="480"/>
        <w:rPr>
          <w:rFonts w:hint="eastAsia"/>
        </w:rPr>
      </w:pPr>
      <w:r>
        <w:rPr>
          <w:rFonts w:hint="eastAsia"/>
        </w:rPr>
        <w:t>针对上述问题，本设计从功率拓扑、控制策略、通信架构及智能运维四个维度进行了创新设计，提出了一套集成化的300W氢燃料电池电源管理器方案。系统采用模块化架构，将主功率升压DC</w:t>
      </w:r>
      <w:r>
        <w:rPr>
          <w:rFonts w:hint="eastAsia"/>
        </w:rPr>
        <w:noBreakHyphen/>
      </w:r>
      <w:r>
        <w:rPr>
          <w:rFonts w:hint="eastAsia"/>
        </w:rPr>
        <w:t>DC（DCF，13~16V输入，48V输出，额定300W）、辅助电源（DCL，48V转12V/10A）及燃料电池控制单元（FCU）集成于同一控制器，显著降低了系统布线的复杂度并提升了功率密度。通信层面，自主设计了基于CAN总线与RS485的双模通信协议，实现FCU与上位机之间的实时数据交互与故障同步，保障了关键监测信息的一致性与低延迟。在控制策略方面，引入输入侧恒流闭环控制与输出侧限压保护的双闭环架构，结合基于电堆温度（NTC）的动态风扇调速及进/排氢阀的PWM脉冲吹扫机制，有效提升了燃料电池系统在不同工况下的运行稳定性与燃料经济性。此外，系统集成了ACC钥匙唤醒与硬件开关双重启停逻辑，支持离线记录及历史数据回溯，为现场调试与故障分析提供了便利。</w:t>
      </w:r>
    </w:p>
    <w:p w14:paraId="21A5BCCE">
      <w:pPr>
        <w:ind w:firstLine="480"/>
      </w:pPr>
      <w:r>
        <w:rPr>
          <w:rFonts w:hint="eastAsia"/>
        </w:rPr>
        <w:t>综上所述，本设计的300W氢燃料电池电源管理器突破了传统分离式架构的技术瓶颈，在功率集成、双闭环控制策略、多模通信及智能化运维方面实现了关键创新，为氢能动力系统的安全、高效、可靠运行提供了强有力的硬件与软件支撑。</w:t>
      </w:r>
    </w:p>
    <w:p w14:paraId="6E48E846">
      <w:pPr>
        <w:ind w:firstLine="482"/>
      </w:pPr>
      <w:r>
        <w:rPr>
          <w:rFonts w:hint="eastAsia"/>
          <w:b/>
          <w:bCs/>
        </w:rPr>
        <w:t>关键词：</w:t>
      </w:r>
      <w:r>
        <w:rPr>
          <w:rFonts w:hint="eastAsia"/>
          <w:b w:val="0"/>
          <w:bCs w:val="0"/>
        </w:rPr>
        <w:t>氢燃料电池；电源管理器；DC-DC变换器；FCU</w:t>
      </w:r>
      <w:r>
        <w:rPr>
          <w:b w:val="0"/>
          <w:bCs w:val="0"/>
        </w:rPr>
        <w:t xml:space="preserve"> </w:t>
      </w:r>
    </w:p>
    <w:p w14:paraId="7E03C388">
      <w:r>
        <w:br w:type="page"/>
      </w:r>
    </w:p>
    <w:p w14:paraId="71712D37">
      <w:pPr>
        <w:keepNext/>
        <w:keepLines/>
        <w:spacing w:before="340" w:after="330"/>
        <w:jc w:val="center"/>
        <w:rPr>
          <w:rFonts w:eastAsia="黑体" w:cs="Times New Roman"/>
          <w:b/>
          <w:bCs/>
          <w:sz w:val="36"/>
          <w:szCs w:val="28"/>
        </w:rPr>
      </w:pPr>
      <w:r>
        <w:rPr>
          <w:rFonts w:eastAsia="黑体" w:cs="Times New Roman"/>
          <w:b/>
          <w:bCs/>
          <w:sz w:val="36"/>
          <w:szCs w:val="28"/>
        </w:rPr>
        <w:t>ABSTRACT</w:t>
      </w:r>
    </w:p>
    <w:p w14:paraId="408A5150">
      <w:pPr>
        <w:ind w:firstLine="420" w:firstLineChars="0"/>
        <w:rPr>
          <w:b w:val="0"/>
          <w:bCs w:val="0"/>
        </w:rPr>
      </w:pPr>
      <w:r>
        <w:rPr>
          <w:b w:val="0"/>
          <w:bCs w:val="0"/>
        </w:rPr>
        <w:t>Against the backdrop of rapid advancements in hydrogen-powered systems, hydrogen fuel cells serve as the core energy conversion devices for clean energy. The reliability, real-time performance, and level of intelligence of their power management systems directly determine the safe operation and engineering applications of fuel cell systems. While fuel cells offer advantages such as high energy conversion efficiency and environmental friendliness, they are highly sensitive to operating conditions such as stack temperature, hydrogen pressure differential, and input current. Improper management can easily lead to serious failures, including membrane drying, reverse polarity, and even stack failure. At the same time, as fuel cell application scenarios expand, power management units must not only perform DC-DC power conversion and multi-source energy dispatch but also integrate peripheral device control, condition monitoring, and remote operation and maintenance functions. Therefore, conducting research on highly reliable and highly integrated fuel cell control units (FCUs) is of great significance for ensuring the safe operation of fuel cell systems, extending stack lifespan, and promoting the large-scale application of hydrogen energy equipment.</w:t>
      </w:r>
    </w:p>
    <w:p w14:paraId="0C545AF0">
      <w:pPr>
        <w:ind w:firstLine="420" w:firstLineChars="0"/>
        <w:rPr>
          <w:b w:val="0"/>
          <w:bCs w:val="0"/>
        </w:rPr>
      </w:pPr>
      <w:r>
        <w:rPr>
          <w:b w:val="0"/>
          <w:bCs w:val="0"/>
        </w:rPr>
        <w:t>Currently, mainstream low-power fuel cell power management solutions predominantly adopt a distributed architecture, which suffers from issues such as complex wiring, high coupling between power paths and control logic, slow fault protection response, and poor system scalability. In practical applications, the main DC-DC converter and auxiliary power modules—such as valve drivers and temperature/pressure sensors—are designed independently. This results in redundant communication links, weak data synchronization mechanisms, and a lack of intelligent condition monitoring and remote operation and maintenance capabilities, making it difficult to meet the higher requirements for safety, real-time performance, and intelligence in automotive and stationary power generation systems.</w:t>
      </w:r>
    </w:p>
    <w:p w14:paraId="43F4E375">
      <w:pPr>
        <w:rPr>
          <w:b w:val="0"/>
          <w:bCs w:val="0"/>
        </w:rPr>
      </w:pPr>
      <w:r>
        <w:rPr>
          <w:b w:val="0"/>
          <w:bCs w:val="0"/>
        </w:rPr>
        <w:t>To address these issues, this design incorporates innovative solutions across four dimensions—power topology, control strategy, communication architecture, and intelligent operation and maintenance—to propose an integrated 300W hydrogen fuel cell power management solution. The system adopts a modular architecture, integrating the main power boost DC-DC converter (DCF, 13–16 V input, 48 V output, rated 300 W), auxiliary power supply (DCL, 48 V to 12 V/10 A), and fuel cell control unit (FCU) into a single controller, significantly reducing system wiring complexity and enhancing power density. For communication, a dual-mode protocol based on CAN bus and RS485 was independently designed to enable real-time data exchange and fault synchronization between the FCU and the host computer, ensuring the consistency and low latency of critical monitoring information. In terms of control strategy, a dual-loop architecture combining constant-current closed-loop control on the input side and voltage-limiting protection on the output side was introduced. Combined with dynamic fan speed control based on stack temperature (NTC) and a PWM pulse purging mechanism for the hydrogen inlet/exhaust valves, this effectively improves the operational stability and fuel economy of the fuel cell system under various operating conditions. Additionally, the system integrates dual start-stop logic comprising both ACC key wake-up and a hardware switch, and includes a 4GB CAN data logger accessory to support offline recording and historical data retrieval, facilitating on-site debugging and fault analysis.</w:t>
      </w:r>
    </w:p>
    <w:p w14:paraId="4C3B5947">
      <w:pPr>
        <w:ind w:firstLine="420" w:firstLineChars="0"/>
        <w:rPr>
          <w:b w:val="0"/>
          <w:bCs w:val="0"/>
        </w:rPr>
      </w:pPr>
      <w:r>
        <w:rPr>
          <w:b w:val="0"/>
          <w:bCs w:val="0"/>
        </w:rPr>
        <w:t>In summary, the 300W hydrogen fuel cell power manager designed in this project overcomes the technical limitations of traditional discrete architectures. It achieves key innovations in power integration, dual-closed-loop control strategies, multi-mode communication, and intelligent operation and maintenance, providing robust hardware and software support for the safe, efficient, and reliable operation of hydrogen power systems.</w:t>
      </w:r>
    </w:p>
    <w:p w14:paraId="2BFD5B4C">
      <w:r>
        <w:rPr>
          <w:b/>
          <w:bCs/>
        </w:rPr>
        <w:t>Keywords:</w:t>
      </w:r>
      <w:r>
        <w:t xml:space="preserve"> </w:t>
      </w:r>
      <w:r>
        <w:rPr>
          <w:rFonts w:hint="eastAsia"/>
        </w:rPr>
        <w:t xml:space="preserve">Hydrogen fuel cell; Power management controller; DC-DC converter; FCU </w:t>
      </w:r>
      <w:r>
        <w:br w:type="page"/>
      </w:r>
    </w:p>
    <w:sdt>
      <w:sdtPr>
        <w:rPr>
          <w:rFonts w:ascii="Times New Roman" w:hAnsi="Times New Roman" w:eastAsia="宋体"/>
          <w:b w:val="0"/>
          <w:color w:val="auto"/>
          <w:kern w:val="2"/>
          <w:sz w:val="24"/>
          <w:szCs w:val="22"/>
          <w:lang w:val="zh-CN"/>
        </w:rPr>
        <w:id w:val="260569107"/>
        <w:docPartObj>
          <w:docPartGallery w:val="Table of Contents"/>
          <w:docPartUnique/>
        </w:docPartObj>
      </w:sdtPr>
      <w:sdtEndPr>
        <w:rPr>
          <w:rFonts w:ascii="Times New Roman" w:hAnsi="Times New Roman" w:eastAsia="黑体"/>
          <w:b w:val="0"/>
          <w:bCs/>
          <w:color w:val="auto"/>
          <w:kern w:val="2"/>
          <w:sz w:val="28"/>
          <w:szCs w:val="22"/>
          <w:lang w:val="zh-CN"/>
        </w:rPr>
      </w:sdtEndPr>
      <w:sdtContent>
        <w:p w14:paraId="31A43226">
          <w:pPr>
            <w:pStyle w:val="37"/>
            <w:adjustRightInd w:val="0"/>
            <w:snapToGrid w:val="0"/>
            <w:spacing w:before="0" w:after="0" w:line="240" w:lineRule="auto"/>
            <w:jc w:val="center"/>
            <w:rPr>
              <w:color w:val="auto"/>
              <w:sz w:val="30"/>
              <w:szCs w:val="30"/>
            </w:rPr>
          </w:pPr>
          <w:r>
            <w:rPr>
              <w:color w:val="auto"/>
              <w:sz w:val="30"/>
              <w:szCs w:val="30"/>
              <w:lang w:val="zh-CN"/>
            </w:rPr>
            <w:t>目</w:t>
          </w:r>
          <w:r>
            <w:rPr>
              <w:rFonts w:hint="eastAsia" w:ascii="宋体" w:hAnsi="宋体" w:eastAsia="宋体" w:cs="宋体"/>
              <w:color w:val="auto"/>
              <w:sz w:val="30"/>
              <w:szCs w:val="30"/>
              <w:lang w:val="zh-CN"/>
            </w:rPr>
            <w:t>录</w:t>
          </w:r>
        </w:p>
        <w:p w14:paraId="442E666A">
          <w:pPr>
            <w:pStyle w:val="16"/>
            <w:spacing w:line="380" w:lineRule="exact"/>
            <w:rPr>
              <w:rFonts w:asciiTheme="minorHAnsi" w:hAnsiTheme="minorHAnsi" w:eastAsiaTheme="minorEastAsia"/>
              <w:sz w:val="24"/>
              <w:szCs w:val="24"/>
              <w:lang w:val="en-US"/>
              <w14:ligatures w14:val="standardContextual"/>
            </w:rPr>
          </w:pPr>
          <w:r>
            <w:rPr>
              <w:b/>
            </w:rPr>
            <w:fldChar w:fldCharType="begin"/>
          </w:r>
          <w:r>
            <w:rPr>
              <w:b/>
            </w:rPr>
            <w:instrText xml:space="preserve"> TOC \o "1-3" \h \z \u </w:instrText>
          </w:r>
          <w:r>
            <w:rPr>
              <w:b/>
            </w:rPr>
            <w:fldChar w:fldCharType="separate"/>
          </w:r>
          <w:r>
            <w:fldChar w:fldCharType="begin"/>
          </w:r>
          <w:r>
            <w:instrText xml:space="preserve"> HYPERLINK \l "_Toc200699947" </w:instrText>
          </w:r>
          <w:r>
            <w:fldChar w:fldCharType="separate"/>
          </w:r>
          <w:r>
            <w:rPr>
              <w:rStyle w:val="30"/>
              <w:rFonts w:hint="eastAsia"/>
              <w:sz w:val="24"/>
              <w:szCs w:val="24"/>
            </w:rPr>
            <w:t>第1章 引言</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_Toc200699947 \h</w:instrText>
          </w:r>
          <w:r>
            <w:rPr>
              <w:rFonts w:hint="eastAsia"/>
              <w:sz w:val="24"/>
              <w:szCs w:val="24"/>
            </w:rPr>
            <w:instrText xml:space="preserve"> </w:instrText>
          </w:r>
          <w:r>
            <w:rPr>
              <w:rFonts w:hint="eastAsia"/>
              <w:sz w:val="24"/>
              <w:szCs w:val="24"/>
            </w:rPr>
            <w:fldChar w:fldCharType="separate"/>
          </w:r>
          <w:r>
            <w:rPr>
              <w:sz w:val="24"/>
              <w:szCs w:val="24"/>
            </w:rPr>
            <w:t>1</w:t>
          </w:r>
          <w:r>
            <w:rPr>
              <w:rFonts w:hint="eastAsia"/>
              <w:sz w:val="24"/>
              <w:szCs w:val="24"/>
            </w:rPr>
            <w:fldChar w:fldCharType="end"/>
          </w:r>
          <w:r>
            <w:rPr>
              <w:rFonts w:hint="eastAsia"/>
              <w:sz w:val="24"/>
              <w:szCs w:val="24"/>
            </w:rPr>
            <w:fldChar w:fldCharType="end"/>
          </w:r>
        </w:p>
        <w:p w14:paraId="431BBCA3">
          <w:pPr>
            <w:pStyle w:val="16"/>
            <w:spacing w:line="380" w:lineRule="exact"/>
            <w:rPr>
              <w:rFonts w:asciiTheme="minorHAnsi" w:hAnsiTheme="minorHAnsi" w:eastAsiaTheme="minorEastAsia"/>
              <w:sz w:val="24"/>
              <w:szCs w:val="24"/>
              <w:lang w:val="en-US"/>
              <w14:ligatures w14:val="standardContextual"/>
            </w:rPr>
          </w:pPr>
          <w:r>
            <w:fldChar w:fldCharType="begin"/>
          </w:r>
          <w:r>
            <w:instrText xml:space="preserve"> HYPERLINK \l "_Toc200699948" </w:instrText>
          </w:r>
          <w:r>
            <w:fldChar w:fldCharType="separate"/>
          </w:r>
          <w:r>
            <w:rPr>
              <w:rStyle w:val="30"/>
              <w:rFonts w:hint="eastAsia"/>
              <w:sz w:val="24"/>
              <w:szCs w:val="24"/>
            </w:rPr>
            <w:t>第2章 本文难点与创新点</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_Toc200699948 \h</w:instrText>
          </w:r>
          <w:r>
            <w:rPr>
              <w:rFonts w:hint="eastAsia"/>
              <w:sz w:val="24"/>
              <w:szCs w:val="24"/>
            </w:rPr>
            <w:instrText xml:space="preserve"> </w:instrText>
          </w:r>
          <w:r>
            <w:rPr>
              <w:rFonts w:hint="eastAsia"/>
              <w:sz w:val="24"/>
              <w:szCs w:val="24"/>
            </w:rPr>
            <w:fldChar w:fldCharType="separate"/>
          </w:r>
          <w:r>
            <w:rPr>
              <w:sz w:val="24"/>
              <w:szCs w:val="24"/>
            </w:rPr>
            <w:t>2</w:t>
          </w:r>
          <w:r>
            <w:rPr>
              <w:rFonts w:hint="eastAsia"/>
              <w:sz w:val="24"/>
              <w:szCs w:val="24"/>
            </w:rPr>
            <w:fldChar w:fldCharType="end"/>
          </w:r>
          <w:r>
            <w:rPr>
              <w:rFonts w:hint="eastAsia"/>
              <w:sz w:val="24"/>
              <w:szCs w:val="24"/>
            </w:rPr>
            <w:fldChar w:fldCharType="end"/>
          </w:r>
        </w:p>
        <w:p w14:paraId="1A2081AC">
          <w:pPr>
            <w:pStyle w:val="16"/>
            <w:spacing w:line="380" w:lineRule="exact"/>
            <w:rPr>
              <w:rFonts w:asciiTheme="minorHAnsi" w:hAnsiTheme="minorHAnsi" w:eastAsiaTheme="minorEastAsia"/>
              <w:sz w:val="24"/>
              <w:szCs w:val="24"/>
              <w:lang w:val="en-US"/>
              <w14:ligatures w14:val="standardContextual"/>
            </w:rPr>
          </w:pPr>
          <w:r>
            <w:fldChar w:fldCharType="begin"/>
          </w:r>
          <w:r>
            <w:instrText xml:space="preserve"> HYPERLINK \l "_Toc200699949" </w:instrText>
          </w:r>
          <w:r>
            <w:fldChar w:fldCharType="separate"/>
          </w:r>
          <w:r>
            <w:rPr>
              <w:rStyle w:val="30"/>
              <w:rFonts w:hint="eastAsia"/>
              <w:sz w:val="24"/>
              <w:szCs w:val="24"/>
            </w:rPr>
            <w:t>第3章 方案论证与硬件设计</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_Toc200699949 \h</w:instrText>
          </w:r>
          <w:r>
            <w:rPr>
              <w:rFonts w:hint="eastAsia"/>
              <w:sz w:val="24"/>
              <w:szCs w:val="24"/>
            </w:rPr>
            <w:instrText xml:space="preserve"> </w:instrText>
          </w:r>
          <w:r>
            <w:rPr>
              <w:rFonts w:hint="eastAsia"/>
              <w:sz w:val="24"/>
              <w:szCs w:val="24"/>
            </w:rPr>
            <w:fldChar w:fldCharType="separate"/>
          </w:r>
          <w:r>
            <w:rPr>
              <w:sz w:val="24"/>
              <w:szCs w:val="24"/>
            </w:rPr>
            <w:t>3</w:t>
          </w:r>
          <w:r>
            <w:rPr>
              <w:rFonts w:hint="eastAsia"/>
              <w:sz w:val="24"/>
              <w:szCs w:val="24"/>
            </w:rPr>
            <w:fldChar w:fldCharType="end"/>
          </w:r>
          <w:r>
            <w:rPr>
              <w:rFonts w:hint="eastAsia"/>
              <w:sz w:val="24"/>
              <w:szCs w:val="24"/>
            </w:rPr>
            <w:fldChar w:fldCharType="end"/>
          </w:r>
        </w:p>
        <w:p w14:paraId="6C1B6FC2">
          <w:pPr>
            <w:pStyle w:val="19"/>
            <w:spacing w:line="380" w:lineRule="exact"/>
            <w:ind w:left="480"/>
            <w:rPr>
              <w:rFonts w:asciiTheme="minorHAnsi" w:hAnsiTheme="minorHAnsi" w:eastAsiaTheme="minorEastAsia"/>
              <w:sz w:val="22"/>
              <w:szCs w:val="24"/>
              <w14:ligatures w14:val="standardContextual"/>
            </w:rPr>
          </w:pPr>
          <w:r>
            <w:fldChar w:fldCharType="begin"/>
          </w:r>
          <w:r>
            <w:instrText xml:space="preserve"> HYPERLINK \l "_Toc200699950" </w:instrText>
          </w:r>
          <w:r>
            <w:fldChar w:fldCharType="separate"/>
          </w:r>
          <w:r>
            <w:rPr>
              <w:rStyle w:val="30"/>
              <w:rFonts w:hint="eastAsia"/>
            </w:rPr>
            <w:t>3.1 方案设计</w:t>
          </w:r>
          <w:r>
            <w:rPr>
              <w:rFonts w:hint="eastAsia"/>
            </w:rPr>
            <w:tab/>
          </w:r>
          <w:r>
            <w:rPr>
              <w:rFonts w:hint="eastAsia"/>
            </w:rPr>
            <w:fldChar w:fldCharType="begin"/>
          </w:r>
          <w:r>
            <w:rPr>
              <w:rFonts w:hint="eastAsia"/>
            </w:rPr>
            <w:instrText xml:space="preserve"> </w:instrText>
          </w:r>
          <w:r>
            <w:instrText xml:space="preserve">PAGEREF _Toc200699950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739B623B">
          <w:pPr>
            <w:pStyle w:val="19"/>
            <w:spacing w:line="380" w:lineRule="exact"/>
            <w:ind w:left="480"/>
            <w:rPr>
              <w:rFonts w:asciiTheme="minorHAnsi" w:hAnsiTheme="minorHAnsi" w:eastAsiaTheme="minorEastAsia"/>
              <w:sz w:val="22"/>
              <w:szCs w:val="24"/>
              <w14:ligatures w14:val="standardContextual"/>
            </w:rPr>
          </w:pPr>
          <w:r>
            <w:fldChar w:fldCharType="begin"/>
          </w:r>
          <w:r>
            <w:instrText xml:space="preserve"> HYPERLINK \l "_Toc200699951" </w:instrText>
          </w:r>
          <w:r>
            <w:fldChar w:fldCharType="separate"/>
          </w:r>
          <w:r>
            <w:rPr>
              <w:rStyle w:val="30"/>
              <w:rFonts w:hint="eastAsia"/>
            </w:rPr>
            <w:t>3.2 主控单元硬件电路设计</w:t>
          </w:r>
          <w:r>
            <w:rPr>
              <w:rFonts w:hint="eastAsia"/>
            </w:rPr>
            <w:tab/>
          </w:r>
          <w:r>
            <w:rPr>
              <w:rFonts w:hint="eastAsia"/>
            </w:rPr>
            <w:fldChar w:fldCharType="begin"/>
          </w:r>
          <w:r>
            <w:rPr>
              <w:rFonts w:hint="eastAsia"/>
            </w:rPr>
            <w:instrText xml:space="preserve"> </w:instrText>
          </w:r>
          <w:r>
            <w:instrText xml:space="preserve">PAGEREF _Toc200699951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2B145BE9">
          <w:pPr>
            <w:pStyle w:val="10"/>
            <w:tabs>
              <w:tab w:val="right" w:leader="dot" w:pos="8296"/>
            </w:tabs>
            <w:spacing w:line="380" w:lineRule="exact"/>
            <w:ind w:left="960"/>
            <w:rPr>
              <w:rFonts w:asciiTheme="minorHAnsi" w:hAnsiTheme="minorHAnsi" w:eastAsiaTheme="minorEastAsia"/>
              <w:sz w:val="22"/>
              <w:szCs w:val="24"/>
              <w14:ligatures w14:val="standardContextual"/>
            </w:rPr>
          </w:pPr>
          <w:r>
            <w:fldChar w:fldCharType="begin"/>
          </w:r>
          <w:r>
            <w:instrText xml:space="preserve"> HYPERLINK \l "_Toc200699952" </w:instrText>
          </w:r>
          <w:r>
            <w:fldChar w:fldCharType="separate"/>
          </w:r>
          <w:r>
            <w:rPr>
              <w:rStyle w:val="30"/>
              <w:rFonts w:hint="eastAsia"/>
            </w:rPr>
            <w:t>3.2.1 芯片选择和硬件资源分配</w:t>
          </w:r>
          <w:r>
            <w:rPr>
              <w:rFonts w:hint="eastAsia"/>
            </w:rPr>
            <w:tab/>
          </w:r>
          <w:r>
            <w:rPr>
              <w:rFonts w:hint="eastAsia"/>
            </w:rPr>
            <w:fldChar w:fldCharType="begin"/>
          </w:r>
          <w:r>
            <w:rPr>
              <w:rFonts w:hint="eastAsia"/>
            </w:rPr>
            <w:instrText xml:space="preserve"> </w:instrText>
          </w:r>
          <w:r>
            <w:instrText xml:space="preserve">PAGEREF _Toc200699952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4716B177">
          <w:pPr>
            <w:pStyle w:val="10"/>
            <w:tabs>
              <w:tab w:val="right" w:leader="dot" w:pos="8296"/>
            </w:tabs>
            <w:spacing w:line="380" w:lineRule="exact"/>
            <w:ind w:left="960"/>
            <w:rPr>
              <w:rFonts w:asciiTheme="minorHAnsi" w:hAnsiTheme="minorHAnsi" w:eastAsiaTheme="minorEastAsia"/>
              <w:sz w:val="22"/>
              <w:szCs w:val="24"/>
              <w14:ligatures w14:val="standardContextual"/>
            </w:rPr>
          </w:pPr>
          <w:r>
            <w:fldChar w:fldCharType="begin"/>
          </w:r>
          <w:r>
            <w:instrText xml:space="preserve"> HYPERLINK \l "_Toc200699953" </w:instrText>
          </w:r>
          <w:r>
            <w:fldChar w:fldCharType="separate"/>
          </w:r>
          <w:r>
            <w:rPr>
              <w:rStyle w:val="30"/>
              <w:rFonts w:hint="eastAsia"/>
            </w:rPr>
            <w:t>3.2.2 CAN通信电路</w:t>
          </w:r>
          <w:r>
            <w:rPr>
              <w:rFonts w:hint="eastAsia"/>
            </w:rPr>
            <w:tab/>
          </w:r>
          <w:r>
            <w:rPr>
              <w:rFonts w:hint="eastAsia"/>
            </w:rPr>
            <w:fldChar w:fldCharType="begin"/>
          </w:r>
          <w:r>
            <w:rPr>
              <w:rFonts w:hint="eastAsia"/>
            </w:rPr>
            <w:instrText xml:space="preserve"> </w:instrText>
          </w:r>
          <w:r>
            <w:instrText xml:space="preserve">PAGEREF _Toc200699953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4CA3086F">
          <w:pPr>
            <w:pStyle w:val="10"/>
            <w:tabs>
              <w:tab w:val="right" w:leader="dot" w:pos="8296"/>
            </w:tabs>
            <w:spacing w:line="380" w:lineRule="exact"/>
            <w:ind w:left="960"/>
            <w:rPr>
              <w:rFonts w:asciiTheme="minorHAnsi" w:hAnsiTheme="minorHAnsi" w:eastAsiaTheme="minorEastAsia"/>
              <w:sz w:val="22"/>
              <w:szCs w:val="24"/>
              <w14:ligatures w14:val="standardContextual"/>
            </w:rPr>
          </w:pPr>
          <w:r>
            <w:fldChar w:fldCharType="begin"/>
          </w:r>
          <w:r>
            <w:instrText xml:space="preserve"> HYPERLINK \l "_Toc200699954" </w:instrText>
          </w:r>
          <w:r>
            <w:fldChar w:fldCharType="separate"/>
          </w:r>
          <w:r>
            <w:rPr>
              <w:rStyle w:val="30"/>
              <w:rFonts w:hint="eastAsia"/>
            </w:rPr>
            <w:t>3.2.3 GPS模块电路</w:t>
          </w:r>
          <w:r>
            <w:rPr>
              <w:rFonts w:hint="eastAsia"/>
            </w:rPr>
            <w:tab/>
          </w:r>
          <w:r>
            <w:rPr>
              <w:rFonts w:hint="eastAsia"/>
            </w:rPr>
            <w:fldChar w:fldCharType="begin"/>
          </w:r>
          <w:r>
            <w:rPr>
              <w:rFonts w:hint="eastAsia"/>
            </w:rPr>
            <w:instrText xml:space="preserve"> </w:instrText>
          </w:r>
          <w:r>
            <w:instrText xml:space="preserve">PAGEREF _Toc200699954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25875AE0">
          <w:pPr>
            <w:pStyle w:val="10"/>
            <w:tabs>
              <w:tab w:val="right" w:leader="dot" w:pos="8296"/>
            </w:tabs>
            <w:spacing w:line="380" w:lineRule="exact"/>
            <w:ind w:left="960"/>
            <w:rPr>
              <w:rFonts w:asciiTheme="minorHAnsi" w:hAnsiTheme="minorHAnsi" w:eastAsiaTheme="minorEastAsia"/>
              <w:sz w:val="22"/>
              <w:szCs w:val="24"/>
              <w14:ligatures w14:val="standardContextual"/>
            </w:rPr>
          </w:pPr>
          <w:r>
            <w:fldChar w:fldCharType="begin"/>
          </w:r>
          <w:r>
            <w:instrText xml:space="preserve"> HYPERLINK \l "_Toc200699955" </w:instrText>
          </w:r>
          <w:r>
            <w:fldChar w:fldCharType="separate"/>
          </w:r>
          <w:r>
            <w:rPr>
              <w:rStyle w:val="30"/>
              <w:rFonts w:hint="eastAsia"/>
            </w:rPr>
            <w:t>3.2.4 WiFi模块电路</w:t>
          </w:r>
          <w:r>
            <w:rPr>
              <w:rFonts w:hint="eastAsia"/>
            </w:rPr>
            <w:tab/>
          </w:r>
          <w:r>
            <w:rPr>
              <w:rFonts w:hint="eastAsia"/>
            </w:rPr>
            <w:fldChar w:fldCharType="begin"/>
          </w:r>
          <w:r>
            <w:rPr>
              <w:rFonts w:hint="eastAsia"/>
            </w:rPr>
            <w:instrText xml:space="preserve"> </w:instrText>
          </w:r>
          <w:r>
            <w:instrText xml:space="preserve">PAGEREF _Toc200699955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54B600F7">
          <w:pPr>
            <w:pStyle w:val="19"/>
            <w:spacing w:line="380" w:lineRule="exact"/>
            <w:ind w:left="480"/>
            <w:rPr>
              <w:rFonts w:asciiTheme="minorHAnsi" w:hAnsiTheme="minorHAnsi" w:eastAsiaTheme="minorEastAsia"/>
              <w:sz w:val="22"/>
              <w:szCs w:val="24"/>
              <w14:ligatures w14:val="standardContextual"/>
            </w:rPr>
          </w:pPr>
          <w:r>
            <w:fldChar w:fldCharType="begin"/>
          </w:r>
          <w:r>
            <w:instrText xml:space="preserve"> HYPERLINK \l "_Toc200699956" </w:instrText>
          </w:r>
          <w:r>
            <w:fldChar w:fldCharType="separate"/>
          </w:r>
          <w:r>
            <w:rPr>
              <w:rStyle w:val="30"/>
              <w:rFonts w:hint="eastAsia"/>
            </w:rPr>
            <w:t>3.3 从控单元硬件电路设计</w:t>
          </w:r>
          <w:r>
            <w:rPr>
              <w:rFonts w:hint="eastAsia"/>
            </w:rPr>
            <w:tab/>
          </w:r>
          <w:r>
            <w:rPr>
              <w:rFonts w:hint="eastAsia"/>
            </w:rPr>
            <w:fldChar w:fldCharType="begin"/>
          </w:r>
          <w:r>
            <w:rPr>
              <w:rFonts w:hint="eastAsia"/>
            </w:rPr>
            <w:instrText xml:space="preserve"> </w:instrText>
          </w:r>
          <w:r>
            <w:instrText xml:space="preserve">PAGEREF _Toc200699956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654FE968">
          <w:pPr>
            <w:pStyle w:val="10"/>
            <w:tabs>
              <w:tab w:val="right" w:leader="dot" w:pos="8296"/>
            </w:tabs>
            <w:spacing w:line="380" w:lineRule="exact"/>
            <w:ind w:left="960"/>
            <w:rPr>
              <w:rFonts w:asciiTheme="minorHAnsi" w:hAnsiTheme="minorHAnsi" w:eastAsiaTheme="minorEastAsia"/>
              <w:sz w:val="22"/>
              <w:szCs w:val="24"/>
              <w14:ligatures w14:val="standardContextual"/>
            </w:rPr>
          </w:pPr>
          <w:r>
            <w:fldChar w:fldCharType="begin"/>
          </w:r>
          <w:r>
            <w:instrText xml:space="preserve"> HYPERLINK \l "_Toc200699957" </w:instrText>
          </w:r>
          <w:r>
            <w:fldChar w:fldCharType="separate"/>
          </w:r>
          <w:r>
            <w:rPr>
              <w:rStyle w:val="30"/>
              <w:rFonts w:hint="eastAsia"/>
            </w:rPr>
            <w:t>3.3.1 电源电路</w:t>
          </w:r>
          <w:r>
            <w:rPr>
              <w:rFonts w:hint="eastAsia"/>
            </w:rPr>
            <w:tab/>
          </w:r>
          <w:r>
            <w:rPr>
              <w:rFonts w:hint="eastAsia"/>
            </w:rPr>
            <w:fldChar w:fldCharType="begin"/>
          </w:r>
          <w:r>
            <w:rPr>
              <w:rFonts w:hint="eastAsia"/>
            </w:rPr>
            <w:instrText xml:space="preserve"> </w:instrText>
          </w:r>
          <w:r>
            <w:instrText xml:space="preserve">PAGEREF _Toc200699957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45BA2747">
          <w:pPr>
            <w:pStyle w:val="10"/>
            <w:tabs>
              <w:tab w:val="right" w:leader="dot" w:pos="8296"/>
            </w:tabs>
            <w:spacing w:line="380" w:lineRule="exact"/>
            <w:ind w:left="960"/>
            <w:rPr>
              <w:rFonts w:asciiTheme="minorHAnsi" w:hAnsiTheme="minorHAnsi" w:eastAsiaTheme="minorEastAsia"/>
              <w:sz w:val="22"/>
              <w:szCs w:val="24"/>
              <w14:ligatures w14:val="standardContextual"/>
            </w:rPr>
          </w:pPr>
          <w:r>
            <w:fldChar w:fldCharType="begin"/>
          </w:r>
          <w:r>
            <w:instrText xml:space="preserve"> HYPERLINK \l "_Toc200699958" </w:instrText>
          </w:r>
          <w:r>
            <w:fldChar w:fldCharType="separate"/>
          </w:r>
          <w:r>
            <w:rPr>
              <w:rStyle w:val="30"/>
              <w:rFonts w:hint="eastAsia"/>
            </w:rPr>
            <w:t>3.3.2 最小系统电路</w:t>
          </w:r>
          <w:r>
            <w:rPr>
              <w:rFonts w:hint="eastAsia"/>
            </w:rPr>
            <w:tab/>
          </w:r>
          <w:r>
            <w:rPr>
              <w:rFonts w:hint="eastAsia"/>
            </w:rPr>
            <w:fldChar w:fldCharType="begin"/>
          </w:r>
          <w:r>
            <w:rPr>
              <w:rFonts w:hint="eastAsia"/>
            </w:rPr>
            <w:instrText xml:space="preserve"> </w:instrText>
          </w:r>
          <w:r>
            <w:instrText xml:space="preserve">PAGEREF _Toc200699958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1181A93C">
          <w:pPr>
            <w:pStyle w:val="10"/>
            <w:tabs>
              <w:tab w:val="right" w:leader="dot" w:pos="8296"/>
            </w:tabs>
            <w:spacing w:line="380" w:lineRule="exact"/>
            <w:ind w:left="960"/>
            <w:rPr>
              <w:rFonts w:asciiTheme="minorHAnsi" w:hAnsiTheme="minorHAnsi" w:eastAsiaTheme="minorEastAsia"/>
              <w:sz w:val="22"/>
              <w:szCs w:val="24"/>
              <w14:ligatures w14:val="standardContextual"/>
            </w:rPr>
          </w:pPr>
          <w:r>
            <w:fldChar w:fldCharType="begin"/>
          </w:r>
          <w:r>
            <w:instrText xml:space="preserve"> HYPERLINK \l "_Toc200699959" </w:instrText>
          </w:r>
          <w:r>
            <w:fldChar w:fldCharType="separate"/>
          </w:r>
          <w:r>
            <w:rPr>
              <w:rStyle w:val="30"/>
              <w:rFonts w:hint="eastAsia"/>
            </w:rPr>
            <w:t>3.3.3 电压采集及均衡电路设计</w:t>
          </w:r>
          <w:r>
            <w:rPr>
              <w:rFonts w:hint="eastAsia"/>
            </w:rPr>
            <w:tab/>
          </w:r>
          <w:r>
            <w:rPr>
              <w:rFonts w:hint="eastAsia"/>
            </w:rPr>
            <w:fldChar w:fldCharType="begin"/>
          </w:r>
          <w:r>
            <w:rPr>
              <w:rFonts w:hint="eastAsia"/>
            </w:rPr>
            <w:instrText xml:space="preserve"> </w:instrText>
          </w:r>
          <w:r>
            <w:instrText xml:space="preserve">PAGEREF _Toc200699959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6461F7D">
          <w:pPr>
            <w:pStyle w:val="10"/>
            <w:tabs>
              <w:tab w:val="right" w:leader="dot" w:pos="8296"/>
            </w:tabs>
            <w:spacing w:line="380" w:lineRule="exact"/>
            <w:ind w:left="960"/>
            <w:rPr>
              <w:rFonts w:asciiTheme="minorHAnsi" w:hAnsiTheme="minorHAnsi" w:eastAsiaTheme="minorEastAsia"/>
              <w:sz w:val="22"/>
              <w:szCs w:val="24"/>
              <w14:ligatures w14:val="standardContextual"/>
            </w:rPr>
          </w:pPr>
          <w:r>
            <w:fldChar w:fldCharType="begin"/>
          </w:r>
          <w:r>
            <w:instrText xml:space="preserve"> HYPERLINK \l "_Toc200699960" </w:instrText>
          </w:r>
          <w:r>
            <w:fldChar w:fldCharType="separate"/>
          </w:r>
          <w:r>
            <w:rPr>
              <w:rStyle w:val="30"/>
              <w:rFonts w:hint="eastAsia"/>
            </w:rPr>
            <w:t>3.3.4 电池组充放电电路</w:t>
          </w:r>
          <w:r>
            <w:rPr>
              <w:rFonts w:hint="eastAsia"/>
            </w:rPr>
            <w:tab/>
          </w:r>
          <w:r>
            <w:rPr>
              <w:rFonts w:hint="eastAsia"/>
            </w:rPr>
            <w:fldChar w:fldCharType="begin"/>
          </w:r>
          <w:r>
            <w:rPr>
              <w:rFonts w:hint="eastAsia"/>
            </w:rPr>
            <w:instrText xml:space="preserve"> </w:instrText>
          </w:r>
          <w:r>
            <w:instrText xml:space="preserve">PAGEREF _Toc200699960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3B32DD32">
          <w:pPr>
            <w:pStyle w:val="10"/>
            <w:tabs>
              <w:tab w:val="right" w:leader="dot" w:pos="8296"/>
            </w:tabs>
            <w:spacing w:line="380" w:lineRule="exact"/>
            <w:ind w:left="960"/>
            <w:rPr>
              <w:rFonts w:asciiTheme="minorHAnsi" w:hAnsiTheme="minorHAnsi" w:eastAsiaTheme="minorEastAsia"/>
              <w:sz w:val="22"/>
              <w:szCs w:val="24"/>
              <w14:ligatures w14:val="standardContextual"/>
            </w:rPr>
          </w:pPr>
          <w:r>
            <w:fldChar w:fldCharType="begin"/>
          </w:r>
          <w:r>
            <w:instrText xml:space="preserve"> HYPERLINK \l "_Toc200699961" </w:instrText>
          </w:r>
          <w:r>
            <w:fldChar w:fldCharType="separate"/>
          </w:r>
          <w:r>
            <w:rPr>
              <w:rStyle w:val="30"/>
              <w:rFonts w:hint="eastAsia"/>
            </w:rPr>
            <w:t>3.3.5 外部存储电路</w:t>
          </w:r>
          <w:r>
            <w:rPr>
              <w:rFonts w:hint="eastAsia"/>
            </w:rPr>
            <w:tab/>
          </w:r>
          <w:r>
            <w:rPr>
              <w:rFonts w:hint="eastAsia"/>
            </w:rPr>
            <w:fldChar w:fldCharType="begin"/>
          </w:r>
          <w:r>
            <w:rPr>
              <w:rFonts w:hint="eastAsia"/>
            </w:rPr>
            <w:instrText xml:space="preserve"> </w:instrText>
          </w:r>
          <w:r>
            <w:instrText xml:space="preserve">PAGEREF _Toc200699961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295C9863">
          <w:pPr>
            <w:pStyle w:val="19"/>
            <w:spacing w:line="380" w:lineRule="exact"/>
            <w:ind w:left="480"/>
            <w:rPr>
              <w:rFonts w:asciiTheme="minorHAnsi" w:hAnsiTheme="minorHAnsi" w:eastAsiaTheme="minorEastAsia"/>
              <w:sz w:val="22"/>
              <w:szCs w:val="24"/>
              <w14:ligatures w14:val="standardContextual"/>
            </w:rPr>
          </w:pPr>
          <w:r>
            <w:fldChar w:fldCharType="begin"/>
          </w:r>
          <w:r>
            <w:instrText xml:space="preserve"> HYPERLINK \l "_Toc200699962" </w:instrText>
          </w:r>
          <w:r>
            <w:fldChar w:fldCharType="separate"/>
          </w:r>
          <w:r>
            <w:rPr>
              <w:rStyle w:val="30"/>
              <w:rFonts w:hint="eastAsia"/>
            </w:rPr>
            <w:t>3.4 最终硬件实物</w:t>
          </w:r>
          <w:r>
            <w:rPr>
              <w:rFonts w:hint="eastAsia"/>
            </w:rPr>
            <w:tab/>
          </w:r>
          <w:r>
            <w:rPr>
              <w:rFonts w:hint="eastAsia"/>
            </w:rPr>
            <w:fldChar w:fldCharType="begin"/>
          </w:r>
          <w:r>
            <w:rPr>
              <w:rFonts w:hint="eastAsia"/>
            </w:rPr>
            <w:instrText xml:space="preserve"> </w:instrText>
          </w:r>
          <w:r>
            <w:instrText xml:space="preserve">PAGEREF _Toc200699962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604EE3E8">
          <w:pPr>
            <w:pStyle w:val="16"/>
            <w:spacing w:line="380" w:lineRule="exact"/>
            <w:rPr>
              <w:rFonts w:asciiTheme="minorHAnsi" w:hAnsiTheme="minorHAnsi" w:eastAsiaTheme="minorEastAsia"/>
              <w:sz w:val="24"/>
              <w:szCs w:val="24"/>
              <w:lang w:val="en-US"/>
              <w14:ligatures w14:val="standardContextual"/>
            </w:rPr>
          </w:pPr>
          <w:r>
            <w:fldChar w:fldCharType="begin"/>
          </w:r>
          <w:r>
            <w:instrText xml:space="preserve"> HYPERLINK \l "_Toc200699963" </w:instrText>
          </w:r>
          <w:r>
            <w:fldChar w:fldCharType="separate"/>
          </w:r>
          <w:r>
            <w:rPr>
              <w:rStyle w:val="30"/>
              <w:rFonts w:hint="eastAsia"/>
              <w:sz w:val="24"/>
              <w:szCs w:val="24"/>
            </w:rPr>
            <w:t>第4章 控制策略与软件设计</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_Toc200699963 \h</w:instrText>
          </w:r>
          <w:r>
            <w:rPr>
              <w:rFonts w:hint="eastAsia"/>
              <w:sz w:val="24"/>
              <w:szCs w:val="24"/>
            </w:rPr>
            <w:instrText xml:space="preserve"> </w:instrText>
          </w:r>
          <w:r>
            <w:rPr>
              <w:rFonts w:hint="eastAsia"/>
              <w:sz w:val="24"/>
              <w:szCs w:val="24"/>
            </w:rPr>
            <w:fldChar w:fldCharType="separate"/>
          </w:r>
          <w:r>
            <w:rPr>
              <w:sz w:val="24"/>
              <w:szCs w:val="24"/>
            </w:rPr>
            <w:t>13</w:t>
          </w:r>
          <w:r>
            <w:rPr>
              <w:rFonts w:hint="eastAsia"/>
              <w:sz w:val="24"/>
              <w:szCs w:val="24"/>
            </w:rPr>
            <w:fldChar w:fldCharType="end"/>
          </w:r>
          <w:r>
            <w:rPr>
              <w:rFonts w:hint="eastAsia"/>
              <w:sz w:val="24"/>
              <w:szCs w:val="24"/>
            </w:rPr>
            <w:fldChar w:fldCharType="end"/>
          </w:r>
        </w:p>
        <w:p w14:paraId="4D8A223B">
          <w:pPr>
            <w:pStyle w:val="19"/>
            <w:spacing w:line="380" w:lineRule="exact"/>
            <w:ind w:left="480"/>
            <w:rPr>
              <w:rFonts w:asciiTheme="minorHAnsi" w:hAnsiTheme="minorHAnsi" w:eastAsiaTheme="minorEastAsia"/>
              <w:sz w:val="22"/>
              <w:szCs w:val="24"/>
              <w14:ligatures w14:val="standardContextual"/>
            </w:rPr>
          </w:pPr>
          <w:r>
            <w:fldChar w:fldCharType="begin"/>
          </w:r>
          <w:r>
            <w:instrText xml:space="preserve"> HYPERLINK \l "_Toc200699964" </w:instrText>
          </w:r>
          <w:r>
            <w:fldChar w:fldCharType="separate"/>
          </w:r>
          <w:r>
            <w:rPr>
              <w:rStyle w:val="30"/>
              <w:rFonts w:hint="eastAsia"/>
            </w:rPr>
            <w:t>4.1 主程序设计</w:t>
          </w:r>
          <w:r>
            <w:rPr>
              <w:rFonts w:hint="eastAsia"/>
            </w:rPr>
            <w:tab/>
          </w:r>
          <w:r>
            <w:rPr>
              <w:rFonts w:hint="eastAsia"/>
            </w:rPr>
            <w:fldChar w:fldCharType="begin"/>
          </w:r>
          <w:r>
            <w:rPr>
              <w:rFonts w:hint="eastAsia"/>
            </w:rPr>
            <w:instrText xml:space="preserve"> </w:instrText>
          </w:r>
          <w:r>
            <w:instrText xml:space="preserve">PAGEREF _Toc200699964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4750214D">
          <w:pPr>
            <w:pStyle w:val="19"/>
            <w:spacing w:line="380" w:lineRule="exact"/>
            <w:ind w:left="480"/>
            <w:rPr>
              <w:rFonts w:asciiTheme="minorHAnsi" w:hAnsiTheme="minorHAnsi" w:eastAsiaTheme="minorEastAsia"/>
              <w:sz w:val="22"/>
              <w:szCs w:val="24"/>
              <w14:ligatures w14:val="standardContextual"/>
            </w:rPr>
          </w:pPr>
          <w:r>
            <w:fldChar w:fldCharType="begin"/>
          </w:r>
          <w:r>
            <w:instrText xml:space="preserve"> HYPERLINK \l "_Toc200699965" </w:instrText>
          </w:r>
          <w:r>
            <w:fldChar w:fldCharType="separate"/>
          </w:r>
          <w:r>
            <w:rPr>
              <w:rStyle w:val="30"/>
              <w:rFonts w:hint="eastAsia"/>
            </w:rPr>
            <w:t>4.2 数据采集程序设计</w:t>
          </w:r>
          <w:r>
            <w:rPr>
              <w:rFonts w:hint="eastAsia"/>
            </w:rPr>
            <w:tab/>
          </w:r>
          <w:r>
            <w:rPr>
              <w:rFonts w:hint="eastAsia"/>
            </w:rPr>
            <w:fldChar w:fldCharType="begin"/>
          </w:r>
          <w:r>
            <w:rPr>
              <w:rFonts w:hint="eastAsia"/>
            </w:rPr>
            <w:instrText xml:space="preserve"> </w:instrText>
          </w:r>
          <w:r>
            <w:instrText xml:space="preserve">PAGEREF _Toc200699965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681A6814">
          <w:pPr>
            <w:pStyle w:val="19"/>
            <w:spacing w:line="380" w:lineRule="exact"/>
            <w:ind w:left="480"/>
            <w:rPr>
              <w:rFonts w:asciiTheme="minorHAnsi" w:hAnsiTheme="minorHAnsi" w:eastAsiaTheme="minorEastAsia"/>
              <w:sz w:val="22"/>
              <w:szCs w:val="24"/>
              <w14:ligatures w14:val="standardContextual"/>
            </w:rPr>
          </w:pPr>
          <w:r>
            <w:fldChar w:fldCharType="begin"/>
          </w:r>
          <w:r>
            <w:instrText xml:space="preserve"> HYPERLINK \l "_Toc200699966" </w:instrText>
          </w:r>
          <w:r>
            <w:fldChar w:fldCharType="separate"/>
          </w:r>
          <w:r>
            <w:rPr>
              <w:rStyle w:val="30"/>
              <w:rFonts w:hint="eastAsia"/>
            </w:rPr>
            <w:t>4.3 通信交互和信息管理模块</w:t>
          </w:r>
          <w:r>
            <w:rPr>
              <w:rFonts w:hint="eastAsia"/>
            </w:rPr>
            <w:tab/>
          </w:r>
          <w:r>
            <w:rPr>
              <w:rFonts w:hint="eastAsia"/>
            </w:rPr>
            <w:fldChar w:fldCharType="begin"/>
          </w:r>
          <w:r>
            <w:rPr>
              <w:rFonts w:hint="eastAsia"/>
            </w:rPr>
            <w:instrText xml:space="preserve"> </w:instrText>
          </w:r>
          <w:r>
            <w:instrText xml:space="preserve">PAGEREF _Toc200699966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5817B0B0">
          <w:pPr>
            <w:pStyle w:val="19"/>
            <w:spacing w:line="380" w:lineRule="exact"/>
            <w:ind w:left="480"/>
            <w:rPr>
              <w:rFonts w:asciiTheme="minorHAnsi" w:hAnsiTheme="minorHAnsi" w:eastAsiaTheme="minorEastAsia"/>
              <w:sz w:val="22"/>
              <w:szCs w:val="24"/>
              <w14:ligatures w14:val="standardContextual"/>
            </w:rPr>
          </w:pPr>
          <w:r>
            <w:fldChar w:fldCharType="begin"/>
          </w:r>
          <w:r>
            <w:instrText xml:space="preserve"> HYPERLINK \l "_Toc200699967" </w:instrText>
          </w:r>
          <w:r>
            <w:fldChar w:fldCharType="separate"/>
          </w:r>
          <w:r>
            <w:rPr>
              <w:rStyle w:val="30"/>
              <w:rFonts w:hint="eastAsia"/>
            </w:rPr>
            <w:t>4.4 CAN协议交互程序</w:t>
          </w:r>
          <w:r>
            <w:rPr>
              <w:rFonts w:hint="eastAsia"/>
            </w:rPr>
            <w:tab/>
          </w:r>
          <w:r>
            <w:rPr>
              <w:rFonts w:hint="eastAsia"/>
            </w:rPr>
            <w:fldChar w:fldCharType="begin"/>
          </w:r>
          <w:r>
            <w:rPr>
              <w:rFonts w:hint="eastAsia"/>
            </w:rPr>
            <w:instrText xml:space="preserve"> </w:instrText>
          </w:r>
          <w:r>
            <w:instrText xml:space="preserve">PAGEREF _Toc200699967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1FE23F95">
          <w:pPr>
            <w:pStyle w:val="19"/>
            <w:spacing w:line="380" w:lineRule="exact"/>
            <w:ind w:left="480"/>
            <w:rPr>
              <w:rFonts w:asciiTheme="minorHAnsi" w:hAnsiTheme="minorHAnsi" w:eastAsiaTheme="minorEastAsia"/>
              <w:sz w:val="22"/>
              <w:szCs w:val="24"/>
              <w14:ligatures w14:val="standardContextual"/>
            </w:rPr>
          </w:pPr>
          <w:r>
            <w:fldChar w:fldCharType="begin"/>
          </w:r>
          <w:r>
            <w:instrText xml:space="preserve"> HYPERLINK \l "_Toc200699968" </w:instrText>
          </w:r>
          <w:r>
            <w:fldChar w:fldCharType="separate"/>
          </w:r>
          <w:r>
            <w:rPr>
              <w:rStyle w:val="30"/>
              <w:rFonts w:hint="eastAsia"/>
            </w:rPr>
            <w:t>4.5 SOC估算程序</w:t>
          </w:r>
          <w:r>
            <w:rPr>
              <w:rFonts w:hint="eastAsia"/>
            </w:rPr>
            <w:tab/>
          </w:r>
          <w:r>
            <w:rPr>
              <w:rFonts w:hint="eastAsia"/>
            </w:rPr>
            <w:fldChar w:fldCharType="begin"/>
          </w:r>
          <w:r>
            <w:rPr>
              <w:rFonts w:hint="eastAsia"/>
            </w:rPr>
            <w:instrText xml:space="preserve"> </w:instrText>
          </w:r>
          <w:r>
            <w:instrText xml:space="preserve">PAGEREF _Toc200699968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45AE0355">
          <w:pPr>
            <w:pStyle w:val="19"/>
            <w:spacing w:line="380" w:lineRule="exact"/>
            <w:ind w:left="480"/>
            <w:rPr>
              <w:rFonts w:asciiTheme="minorHAnsi" w:hAnsiTheme="minorHAnsi" w:eastAsiaTheme="minorEastAsia"/>
              <w:sz w:val="22"/>
              <w:szCs w:val="24"/>
              <w14:ligatures w14:val="standardContextual"/>
            </w:rPr>
          </w:pPr>
          <w:r>
            <w:fldChar w:fldCharType="begin"/>
          </w:r>
          <w:r>
            <w:instrText xml:space="preserve"> HYPERLINK \l "_Toc200699969" </w:instrText>
          </w:r>
          <w:r>
            <w:fldChar w:fldCharType="separate"/>
          </w:r>
          <w:r>
            <w:rPr>
              <w:rStyle w:val="30"/>
              <w:rFonts w:hint="eastAsia"/>
            </w:rPr>
            <w:t>4.6 均衡控制模块</w:t>
          </w:r>
          <w:r>
            <w:rPr>
              <w:rFonts w:hint="eastAsia"/>
            </w:rPr>
            <w:tab/>
          </w:r>
          <w:r>
            <w:rPr>
              <w:rFonts w:hint="eastAsia"/>
            </w:rPr>
            <w:fldChar w:fldCharType="begin"/>
          </w:r>
          <w:r>
            <w:rPr>
              <w:rFonts w:hint="eastAsia"/>
            </w:rPr>
            <w:instrText xml:space="preserve"> </w:instrText>
          </w:r>
          <w:r>
            <w:instrText xml:space="preserve">PAGEREF _Toc200699969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3FC2A34E">
          <w:pPr>
            <w:pStyle w:val="10"/>
            <w:tabs>
              <w:tab w:val="right" w:leader="dot" w:pos="8296"/>
            </w:tabs>
            <w:spacing w:line="380" w:lineRule="exact"/>
            <w:ind w:left="960"/>
            <w:rPr>
              <w:rFonts w:asciiTheme="minorHAnsi" w:hAnsiTheme="minorHAnsi" w:eastAsiaTheme="minorEastAsia"/>
              <w:sz w:val="22"/>
              <w:szCs w:val="24"/>
              <w14:ligatures w14:val="standardContextual"/>
            </w:rPr>
          </w:pPr>
          <w:r>
            <w:fldChar w:fldCharType="begin"/>
          </w:r>
          <w:r>
            <w:instrText xml:space="preserve"> HYPERLINK \l "_Toc200699970" </w:instrText>
          </w:r>
          <w:r>
            <w:fldChar w:fldCharType="separate"/>
          </w:r>
          <w:r>
            <w:rPr>
              <w:rStyle w:val="30"/>
              <w:rFonts w:hint="eastAsia"/>
            </w:rPr>
            <w:t>4.6.1 算法原理与多因子融合机制策略</w:t>
          </w:r>
          <w:r>
            <w:rPr>
              <w:rFonts w:hint="eastAsia"/>
            </w:rPr>
            <w:tab/>
          </w:r>
          <w:r>
            <w:rPr>
              <w:rFonts w:hint="eastAsia"/>
            </w:rPr>
            <w:fldChar w:fldCharType="begin"/>
          </w:r>
          <w:r>
            <w:rPr>
              <w:rFonts w:hint="eastAsia"/>
            </w:rPr>
            <w:instrText xml:space="preserve"> </w:instrText>
          </w:r>
          <w:r>
            <w:instrText xml:space="preserve">PAGEREF _Toc200699970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28FFAF7E">
          <w:pPr>
            <w:pStyle w:val="10"/>
            <w:tabs>
              <w:tab w:val="right" w:leader="dot" w:pos="8296"/>
            </w:tabs>
            <w:spacing w:line="380" w:lineRule="exact"/>
            <w:ind w:left="960"/>
            <w:rPr>
              <w:rFonts w:asciiTheme="minorHAnsi" w:hAnsiTheme="minorHAnsi" w:eastAsiaTheme="minorEastAsia"/>
              <w:sz w:val="22"/>
              <w:szCs w:val="24"/>
              <w14:ligatures w14:val="standardContextual"/>
            </w:rPr>
          </w:pPr>
          <w:r>
            <w:fldChar w:fldCharType="begin"/>
          </w:r>
          <w:r>
            <w:instrText xml:space="preserve"> HYPERLINK \l "_Toc200699971" </w:instrText>
          </w:r>
          <w:r>
            <w:fldChar w:fldCharType="separate"/>
          </w:r>
          <w:r>
            <w:rPr>
              <w:rStyle w:val="30"/>
              <w:rFonts w:hint="eastAsia"/>
            </w:rPr>
            <w:t>4.6.2 均衡控制逻辑与流程</w:t>
          </w:r>
          <w:r>
            <w:rPr>
              <w:rFonts w:hint="eastAsia"/>
            </w:rPr>
            <w:tab/>
          </w:r>
          <w:r>
            <w:rPr>
              <w:rFonts w:hint="eastAsia"/>
            </w:rPr>
            <w:fldChar w:fldCharType="begin"/>
          </w:r>
          <w:r>
            <w:rPr>
              <w:rFonts w:hint="eastAsia"/>
            </w:rPr>
            <w:instrText xml:space="preserve"> </w:instrText>
          </w:r>
          <w:r>
            <w:instrText xml:space="preserve">PAGEREF _Toc200699971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73FC4B8A">
          <w:pPr>
            <w:pStyle w:val="19"/>
            <w:spacing w:line="380" w:lineRule="exact"/>
            <w:ind w:left="480"/>
            <w:rPr>
              <w:rFonts w:asciiTheme="minorHAnsi" w:hAnsiTheme="minorHAnsi" w:eastAsiaTheme="minorEastAsia"/>
              <w:sz w:val="22"/>
              <w:szCs w:val="24"/>
              <w14:ligatures w14:val="standardContextual"/>
            </w:rPr>
          </w:pPr>
          <w:r>
            <w:fldChar w:fldCharType="begin"/>
          </w:r>
          <w:r>
            <w:instrText xml:space="preserve"> HYPERLINK \l "_Toc200699972" </w:instrText>
          </w:r>
          <w:r>
            <w:fldChar w:fldCharType="separate"/>
          </w:r>
          <w:r>
            <w:rPr>
              <w:rStyle w:val="30"/>
              <w:rFonts w:hint="eastAsia"/>
            </w:rPr>
            <w:t>4.7 告警与保护模块</w:t>
          </w:r>
          <w:r>
            <w:rPr>
              <w:rFonts w:hint="eastAsia"/>
            </w:rPr>
            <w:tab/>
          </w:r>
          <w:r>
            <w:rPr>
              <w:rFonts w:hint="eastAsia"/>
            </w:rPr>
            <w:fldChar w:fldCharType="begin"/>
          </w:r>
          <w:r>
            <w:rPr>
              <w:rFonts w:hint="eastAsia"/>
            </w:rPr>
            <w:instrText xml:space="preserve"> </w:instrText>
          </w:r>
          <w:r>
            <w:instrText xml:space="preserve">PAGEREF _Toc200699972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30EAD403">
          <w:pPr>
            <w:pStyle w:val="19"/>
            <w:spacing w:line="380" w:lineRule="exact"/>
            <w:ind w:left="480"/>
            <w:rPr>
              <w:rFonts w:asciiTheme="minorHAnsi" w:hAnsiTheme="minorHAnsi" w:eastAsiaTheme="minorEastAsia"/>
              <w:sz w:val="22"/>
              <w:szCs w:val="24"/>
              <w14:ligatures w14:val="standardContextual"/>
            </w:rPr>
          </w:pPr>
          <w:r>
            <w:fldChar w:fldCharType="begin"/>
          </w:r>
          <w:r>
            <w:instrText xml:space="preserve"> HYPERLINK \l "_Toc200699973" </w:instrText>
          </w:r>
          <w:r>
            <w:fldChar w:fldCharType="separate"/>
          </w:r>
          <w:r>
            <w:rPr>
              <w:rStyle w:val="30"/>
              <w:rFonts w:hint="eastAsia"/>
            </w:rPr>
            <w:t>4.8 电池充放电控制程序设计</w:t>
          </w:r>
          <w:r>
            <w:rPr>
              <w:rFonts w:hint="eastAsia"/>
            </w:rPr>
            <w:tab/>
          </w:r>
          <w:r>
            <w:rPr>
              <w:rFonts w:hint="eastAsia"/>
            </w:rPr>
            <w:fldChar w:fldCharType="begin"/>
          </w:r>
          <w:r>
            <w:rPr>
              <w:rFonts w:hint="eastAsia"/>
            </w:rPr>
            <w:instrText xml:space="preserve"> </w:instrText>
          </w:r>
          <w:r>
            <w:instrText xml:space="preserve">PAGEREF _Toc200699973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3BD439B4">
          <w:pPr>
            <w:pStyle w:val="19"/>
            <w:spacing w:line="380" w:lineRule="exact"/>
            <w:ind w:left="480"/>
            <w:rPr>
              <w:rFonts w:asciiTheme="minorHAnsi" w:hAnsiTheme="minorHAnsi" w:eastAsiaTheme="minorEastAsia"/>
              <w:sz w:val="22"/>
              <w:szCs w:val="24"/>
              <w14:ligatures w14:val="standardContextual"/>
            </w:rPr>
          </w:pPr>
          <w:r>
            <w:fldChar w:fldCharType="begin"/>
          </w:r>
          <w:r>
            <w:instrText xml:space="preserve"> HYPERLINK \l "_Toc200699974" </w:instrText>
          </w:r>
          <w:r>
            <w:fldChar w:fldCharType="separate"/>
          </w:r>
          <w:r>
            <w:rPr>
              <w:rStyle w:val="30"/>
              <w:rFonts w:hint="eastAsia"/>
            </w:rPr>
            <w:t>4.9 无线通信程序设计</w:t>
          </w:r>
          <w:r>
            <w:rPr>
              <w:rFonts w:hint="eastAsia"/>
            </w:rPr>
            <w:tab/>
          </w:r>
          <w:r>
            <w:rPr>
              <w:rFonts w:hint="eastAsia"/>
            </w:rPr>
            <w:fldChar w:fldCharType="begin"/>
          </w:r>
          <w:r>
            <w:rPr>
              <w:rFonts w:hint="eastAsia"/>
            </w:rPr>
            <w:instrText xml:space="preserve"> </w:instrText>
          </w:r>
          <w:r>
            <w:instrText xml:space="preserve">PAGEREF _Toc200699974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57B67439">
          <w:pPr>
            <w:pStyle w:val="10"/>
            <w:tabs>
              <w:tab w:val="right" w:leader="dot" w:pos="8296"/>
            </w:tabs>
            <w:spacing w:line="380" w:lineRule="exact"/>
            <w:ind w:left="960"/>
            <w:rPr>
              <w:rFonts w:asciiTheme="minorHAnsi" w:hAnsiTheme="minorHAnsi" w:eastAsiaTheme="minorEastAsia"/>
              <w:sz w:val="22"/>
              <w:szCs w:val="24"/>
              <w14:ligatures w14:val="standardContextual"/>
            </w:rPr>
          </w:pPr>
          <w:r>
            <w:fldChar w:fldCharType="begin"/>
          </w:r>
          <w:r>
            <w:instrText xml:space="preserve"> HYPERLINK \l "_Toc200699975" </w:instrText>
          </w:r>
          <w:r>
            <w:fldChar w:fldCharType="separate"/>
          </w:r>
          <w:r>
            <w:rPr>
              <w:rStyle w:val="30"/>
              <w:rFonts w:hint="eastAsia"/>
            </w:rPr>
            <w:t>4.9.1 BCU的远程监控与通信模块</w:t>
          </w:r>
          <w:r>
            <w:rPr>
              <w:rFonts w:hint="eastAsia"/>
            </w:rPr>
            <w:tab/>
          </w:r>
          <w:r>
            <w:rPr>
              <w:rFonts w:hint="eastAsia"/>
            </w:rPr>
            <w:fldChar w:fldCharType="begin"/>
          </w:r>
          <w:r>
            <w:rPr>
              <w:rFonts w:hint="eastAsia"/>
            </w:rPr>
            <w:instrText xml:space="preserve"> </w:instrText>
          </w:r>
          <w:r>
            <w:instrText xml:space="preserve">PAGEREF _Toc200699975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0D9593A4">
          <w:pPr>
            <w:pStyle w:val="10"/>
            <w:tabs>
              <w:tab w:val="right" w:leader="dot" w:pos="8296"/>
            </w:tabs>
            <w:spacing w:line="380" w:lineRule="exact"/>
            <w:ind w:left="960"/>
            <w:rPr>
              <w:rFonts w:asciiTheme="minorHAnsi" w:hAnsiTheme="minorHAnsi" w:eastAsiaTheme="minorEastAsia"/>
              <w:sz w:val="22"/>
              <w:szCs w:val="24"/>
              <w14:ligatures w14:val="standardContextual"/>
            </w:rPr>
          </w:pPr>
          <w:r>
            <w:fldChar w:fldCharType="begin"/>
          </w:r>
          <w:r>
            <w:instrText xml:space="preserve"> HYPERLINK \l "_Toc200699976" </w:instrText>
          </w:r>
          <w:r>
            <w:fldChar w:fldCharType="separate"/>
          </w:r>
          <w:r>
            <w:rPr>
              <w:rStyle w:val="30"/>
              <w:rFonts w:hint="eastAsia"/>
            </w:rPr>
            <w:t>4.9.2 OneNET云平台开发</w:t>
          </w:r>
          <w:r>
            <w:rPr>
              <w:rFonts w:hint="eastAsia"/>
            </w:rPr>
            <w:tab/>
          </w:r>
          <w:r>
            <w:rPr>
              <w:rFonts w:hint="eastAsia"/>
            </w:rPr>
            <w:fldChar w:fldCharType="begin"/>
          </w:r>
          <w:r>
            <w:rPr>
              <w:rFonts w:hint="eastAsia"/>
            </w:rPr>
            <w:instrText xml:space="preserve"> </w:instrText>
          </w:r>
          <w:r>
            <w:instrText xml:space="preserve">PAGEREF _Toc200699976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3E4DA164">
          <w:pPr>
            <w:pStyle w:val="16"/>
            <w:spacing w:line="380" w:lineRule="exact"/>
            <w:rPr>
              <w:rFonts w:asciiTheme="minorHAnsi" w:hAnsiTheme="minorHAnsi" w:eastAsiaTheme="minorEastAsia"/>
              <w:sz w:val="24"/>
              <w:szCs w:val="24"/>
              <w:lang w:val="en-US"/>
              <w14:ligatures w14:val="standardContextual"/>
            </w:rPr>
          </w:pPr>
          <w:r>
            <w:fldChar w:fldCharType="begin"/>
          </w:r>
          <w:r>
            <w:instrText xml:space="preserve"> HYPERLINK \l "_Toc200699977" </w:instrText>
          </w:r>
          <w:r>
            <w:fldChar w:fldCharType="separate"/>
          </w:r>
          <w:r>
            <w:rPr>
              <w:rStyle w:val="30"/>
              <w:rFonts w:hint="eastAsia"/>
              <w:sz w:val="24"/>
              <w:szCs w:val="24"/>
            </w:rPr>
            <w:t>第5章 电池管理系统测试</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_Toc200699977 \h</w:instrText>
          </w:r>
          <w:r>
            <w:rPr>
              <w:rFonts w:hint="eastAsia"/>
              <w:sz w:val="24"/>
              <w:szCs w:val="24"/>
            </w:rPr>
            <w:instrText xml:space="preserve"> </w:instrText>
          </w:r>
          <w:r>
            <w:rPr>
              <w:rFonts w:hint="eastAsia"/>
              <w:sz w:val="24"/>
              <w:szCs w:val="24"/>
            </w:rPr>
            <w:fldChar w:fldCharType="separate"/>
          </w:r>
          <w:r>
            <w:rPr>
              <w:sz w:val="24"/>
              <w:szCs w:val="24"/>
            </w:rPr>
            <w:t>35</w:t>
          </w:r>
          <w:r>
            <w:rPr>
              <w:rFonts w:hint="eastAsia"/>
              <w:sz w:val="24"/>
              <w:szCs w:val="24"/>
            </w:rPr>
            <w:fldChar w:fldCharType="end"/>
          </w:r>
          <w:r>
            <w:rPr>
              <w:rFonts w:hint="eastAsia"/>
              <w:sz w:val="24"/>
              <w:szCs w:val="24"/>
            </w:rPr>
            <w:fldChar w:fldCharType="end"/>
          </w:r>
        </w:p>
        <w:p w14:paraId="4335569D">
          <w:pPr>
            <w:pStyle w:val="19"/>
            <w:spacing w:line="380" w:lineRule="exact"/>
            <w:ind w:left="480"/>
            <w:rPr>
              <w:rFonts w:asciiTheme="minorHAnsi" w:hAnsiTheme="minorHAnsi" w:eastAsiaTheme="minorEastAsia"/>
              <w:sz w:val="22"/>
              <w:szCs w:val="24"/>
              <w14:ligatures w14:val="standardContextual"/>
            </w:rPr>
          </w:pPr>
          <w:r>
            <w:fldChar w:fldCharType="begin"/>
          </w:r>
          <w:r>
            <w:instrText xml:space="preserve"> HYPERLINK \l "_Toc200699978" </w:instrText>
          </w:r>
          <w:r>
            <w:fldChar w:fldCharType="separate"/>
          </w:r>
          <w:r>
            <w:rPr>
              <w:rStyle w:val="30"/>
              <w:rFonts w:hint="eastAsia"/>
            </w:rPr>
            <w:t>5.1系统采集均衡程序测试</w:t>
          </w:r>
          <w:r>
            <w:rPr>
              <w:rFonts w:hint="eastAsia"/>
            </w:rPr>
            <w:tab/>
          </w:r>
          <w:r>
            <w:rPr>
              <w:rFonts w:hint="eastAsia"/>
            </w:rPr>
            <w:fldChar w:fldCharType="begin"/>
          </w:r>
          <w:r>
            <w:rPr>
              <w:rFonts w:hint="eastAsia"/>
            </w:rPr>
            <w:instrText xml:space="preserve"> </w:instrText>
          </w:r>
          <w:r>
            <w:instrText xml:space="preserve">PAGEREF _Toc200699978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7048A457">
          <w:pPr>
            <w:pStyle w:val="19"/>
            <w:spacing w:line="380" w:lineRule="exact"/>
            <w:ind w:left="480"/>
            <w:rPr>
              <w:rFonts w:asciiTheme="minorHAnsi" w:hAnsiTheme="minorHAnsi" w:eastAsiaTheme="minorEastAsia"/>
              <w:sz w:val="22"/>
              <w:szCs w:val="24"/>
              <w14:ligatures w14:val="standardContextual"/>
            </w:rPr>
          </w:pPr>
          <w:r>
            <w:fldChar w:fldCharType="begin"/>
          </w:r>
          <w:r>
            <w:instrText xml:space="preserve"> HYPERLINK \l "_Toc200699979" </w:instrText>
          </w:r>
          <w:r>
            <w:fldChar w:fldCharType="separate"/>
          </w:r>
          <w:r>
            <w:rPr>
              <w:rStyle w:val="30"/>
              <w:rFonts w:hint="eastAsia"/>
            </w:rPr>
            <w:t>5.2基于OneNET云平台监控系统测试</w:t>
          </w:r>
          <w:r>
            <w:rPr>
              <w:rFonts w:hint="eastAsia"/>
            </w:rPr>
            <w:tab/>
          </w:r>
          <w:r>
            <w:rPr>
              <w:rFonts w:hint="eastAsia"/>
            </w:rPr>
            <w:fldChar w:fldCharType="begin"/>
          </w:r>
          <w:r>
            <w:rPr>
              <w:rFonts w:hint="eastAsia"/>
            </w:rPr>
            <w:instrText xml:space="preserve"> </w:instrText>
          </w:r>
          <w:r>
            <w:instrText xml:space="preserve">PAGEREF _Toc200699979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2DD59F9C">
          <w:pPr>
            <w:pStyle w:val="16"/>
            <w:spacing w:line="380" w:lineRule="exact"/>
            <w:rPr>
              <w:rFonts w:asciiTheme="minorHAnsi" w:hAnsiTheme="minorHAnsi" w:eastAsiaTheme="minorEastAsia"/>
              <w:sz w:val="24"/>
              <w:szCs w:val="24"/>
              <w:lang w:val="en-US"/>
              <w14:ligatures w14:val="standardContextual"/>
            </w:rPr>
          </w:pPr>
          <w:r>
            <w:fldChar w:fldCharType="begin"/>
          </w:r>
          <w:r>
            <w:instrText xml:space="preserve"> HYPERLINK \l "_Toc200699980" </w:instrText>
          </w:r>
          <w:r>
            <w:fldChar w:fldCharType="separate"/>
          </w:r>
          <w:r>
            <w:rPr>
              <w:rStyle w:val="30"/>
              <w:rFonts w:hint="eastAsia"/>
              <w:sz w:val="24"/>
              <w:szCs w:val="24"/>
            </w:rPr>
            <w:t>第6章 总结</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_Toc200699980 \h</w:instrText>
          </w:r>
          <w:r>
            <w:rPr>
              <w:rFonts w:hint="eastAsia"/>
              <w:sz w:val="24"/>
              <w:szCs w:val="24"/>
            </w:rPr>
            <w:instrText xml:space="preserve"> </w:instrText>
          </w:r>
          <w:r>
            <w:rPr>
              <w:rFonts w:hint="eastAsia"/>
              <w:sz w:val="24"/>
              <w:szCs w:val="24"/>
            </w:rPr>
            <w:fldChar w:fldCharType="separate"/>
          </w:r>
          <w:r>
            <w:rPr>
              <w:sz w:val="24"/>
              <w:szCs w:val="24"/>
            </w:rPr>
            <w:t>39</w:t>
          </w:r>
          <w:r>
            <w:rPr>
              <w:rFonts w:hint="eastAsia"/>
              <w:sz w:val="24"/>
              <w:szCs w:val="24"/>
            </w:rPr>
            <w:fldChar w:fldCharType="end"/>
          </w:r>
          <w:r>
            <w:rPr>
              <w:rFonts w:hint="eastAsia"/>
              <w:sz w:val="24"/>
              <w:szCs w:val="24"/>
            </w:rPr>
            <w:fldChar w:fldCharType="end"/>
          </w:r>
        </w:p>
        <w:p w14:paraId="136562CB">
          <w:pPr>
            <w:pStyle w:val="16"/>
            <w:sectPr>
              <w:footerReference r:id="rId7" w:type="default"/>
              <w:pgSz w:w="11906" w:h="16838"/>
              <w:pgMar w:top="1440" w:right="1800" w:bottom="1440" w:left="1800" w:header="851" w:footer="992" w:gutter="0"/>
              <w:pgNumType w:start="1"/>
              <w:cols w:space="425" w:num="1"/>
              <w:docGrid w:type="lines" w:linePitch="326" w:charSpace="0"/>
            </w:sectPr>
          </w:pPr>
          <w:r>
            <w:rPr>
              <w:b/>
            </w:rPr>
            <w:fldChar w:fldCharType="end"/>
          </w:r>
        </w:p>
      </w:sdtContent>
    </w:sdt>
    <w:p w14:paraId="338BB75A">
      <w:pPr>
        <w:pStyle w:val="2"/>
      </w:pPr>
      <w:bookmarkStart w:id="4" w:name="_Toc200699947"/>
      <w:r>
        <w:rPr>
          <w:rFonts w:hint="eastAsia"/>
        </w:rPr>
        <w:t>第1章</w:t>
      </w:r>
      <w:r>
        <w:t xml:space="preserve"> </w:t>
      </w:r>
      <w:r>
        <w:rPr>
          <w:rFonts w:hint="eastAsia"/>
        </w:rPr>
        <w:t>引言</w:t>
      </w:r>
      <w:bookmarkEnd w:id="0"/>
      <w:bookmarkEnd w:id="1"/>
      <w:bookmarkEnd w:id="4"/>
    </w:p>
    <w:p w14:paraId="02356FEE">
      <w:pPr>
        <w:ind w:firstLine="480" w:firstLineChars="200"/>
        <w:rPr>
          <w:rFonts w:hint="eastAsia"/>
        </w:rPr>
      </w:pPr>
      <w:r>
        <w:rPr>
          <w:rFonts w:hint="eastAsia"/>
        </w:rPr>
        <w:t>随着氢能技术在全球范围内的加速布局，氢燃料电池作为清洁高效的能量转换装置，在分布式发电、备用电源及轻型车辆等领域的应用日益广泛。燃料电池系统对电堆温度、氢气压差及输入电流等工作条件极为敏感，其运行稳定性高度依赖于电源管理系统的实时监测与精准控制能力。燃料电池控制单元（Fuel Cell Control Unit, FCU）作为连接电堆、DC-DC变换器与上层监控平台的枢纽，其功能已从单纯的电压/电流采集扩展至功率调度、阀体驱动、热管理和远程运维等多个维度，成为保障燃料电池系统安全可靠运行的核心技术[1]。因此，研发高集成度、智能化的300W级燃料电池电源管理器具有重要的工程应用价值[2]。</w:t>
      </w:r>
    </w:p>
    <w:p w14:paraId="4619CA2C">
      <w:pPr>
        <w:ind w:firstLine="480" w:firstLineChars="200"/>
        <w:rPr>
          <w:rFonts w:hint="eastAsia"/>
        </w:rPr>
      </w:pPr>
      <w:r>
        <w:rPr>
          <w:rFonts w:hint="eastAsia"/>
        </w:rPr>
        <w:t>在实际应用中，现有小功率燃料电池电源管理方案多采用分离式架构，即主功率DC-DC升压模块、辅助电源模块与控制单元彼此独立，虽然设计难度较低，但存在接线复杂、功率链路与控制逻辑耦合度高、故障保护响应慢及系统扩展性差等问题[3]。尤其在车载或无人值守发电场景中，分离式结构不利于模块化维护与动态配置，难以满足对实时性与冗余容错的需求[4]。同时，系统内部通信多依赖标准CAN或RS485协议，未针对主从架构进行优化，容易出现数据同步延迟、指令冲突等问题，严重影响系统的可靠运行[5]。</w:t>
      </w:r>
    </w:p>
    <w:p w14:paraId="068025E1">
      <w:pPr>
        <w:ind w:firstLine="480" w:firstLineChars="200"/>
        <w:rPr>
          <w:rFonts w:hint="eastAsia"/>
        </w:rPr>
      </w:pPr>
      <w:r>
        <w:rPr>
          <w:rFonts w:hint="eastAsia"/>
        </w:rPr>
        <w:t>此外，当前FCU的阀体控制策略多采用简单开关方式，未结合电堆温度与压力状态进行动态调整，难以在变工况下实现燃料经济性与安全性的平衡[6]。而在远程监控方面，多数系统仅支持本地数据记录，缺乏与云平台的深度融合，故障预警与智能诊断能力不足，导致运维效率低下，无法满足规模化部署的远程管理需求[7]。为解决以上问题，本项目提出了一种集成化、智能化的300W氢燃料电池电源管理器方案。硬件架构上，将主功率升压DC-DC（DCF）、辅助电源（DCL）及FCU集成于同一控制器，采用模块化设计并支持级联通信，显著提升系统功率密度与可维护性；通信层面，自主构建适配主从架构的CAN与RS485双模通信协议，具备数据帧同步与故障重传机制，保障多节点环境下的稳定数据交互；控制策略上，引入输入恒流、输出限压的双闭环架构，并结合基于电堆温度（NTC）的动态风扇调速及进/排氢阀PWM脉冲吹扫，实现燃料经济性与热安全的自适应管理；此外，集成ACC/硬件开关双重启停逻辑</w:t>
      </w:r>
      <w:r>
        <w:rPr>
          <w:rFonts w:hint="eastAsia"/>
          <w:lang w:eastAsia="zh-CN"/>
        </w:rPr>
        <w:t>，</w:t>
      </w:r>
      <w:r>
        <w:rPr>
          <w:rFonts w:hint="eastAsia"/>
        </w:rPr>
        <w:t>支持离线记录与云平台远程监控，从而全面提升系统的安全性、智能化水平与运维便利性。</w:t>
      </w:r>
    </w:p>
    <w:p w14:paraId="4AD314D7">
      <w:pPr>
        <w:pStyle w:val="2"/>
      </w:pPr>
      <w:bookmarkStart w:id="5" w:name="_Toc15733"/>
      <w:bookmarkStart w:id="6" w:name="_Toc200699948"/>
      <w:r>
        <w:rPr>
          <w:rFonts w:hint="eastAsia"/>
        </w:rPr>
        <w:t>第2章 本文难点与创新点</w:t>
      </w:r>
      <w:bookmarkEnd w:id="5"/>
      <w:bookmarkEnd w:id="6"/>
    </w:p>
    <w:p w14:paraId="571B2529">
      <w:pPr>
        <w:ind w:firstLine="482"/>
        <w:rPr>
          <w:rFonts w:hint="eastAsia"/>
        </w:rPr>
      </w:pPr>
      <w:r>
        <w:rPr>
          <w:rFonts w:hint="eastAsia"/>
        </w:rPr>
        <w:t>本项目针对氢燃料电池电源管理系统的集成化架构与控制策略，通过模块化功率集成、主从数据同步机制、双闭环恒流控制、动态热管理与阀体驱动、离线数据监听等功能，将燃料电池系统中的功率变换、状态监测与外设控制等复杂问题进行系统性解决，显著提升了电源管理系统的可靠性、能量调度效率与智能化水平。本项目的难点如下：</w:t>
      </w:r>
    </w:p>
    <w:p w14:paraId="53984CD0">
      <w:pPr>
        <w:ind w:firstLine="482"/>
        <w:rPr>
          <w:rFonts w:hint="eastAsia"/>
        </w:rPr>
      </w:pPr>
      <w:r>
        <w:rPr>
          <w:rFonts w:hint="eastAsia"/>
        </w:rPr>
        <w:t>难点1：主从架构下的多源数据高实时同步</w:t>
      </w:r>
      <w:r>
        <w:rPr>
          <w:rFonts w:hint="eastAsia"/>
        </w:rPr>
        <w:br w:type="textWrapping"/>
      </w:r>
      <w:r>
        <w:rPr>
          <w:rFonts w:hint="eastAsia"/>
        </w:rPr>
        <w:t>在将主功率DC-DC、辅助电源、FCU控制单元集成于同一控制器后，如何确保功率级（DCF）、辅助级（DCL）与控制级（FCU）之间的内部数据交互稳定，避免因大功率开关噪声导致的采样信号畸变或控制指令延迟，是硬件设计层面的关键挑战。自定义CAN与RS485双模协议需在有限带宽下实现电堆温度、氢气压差、输入/输出电流等关键参数的毫秒级同步，同时处理突发性数据冲突。平衡数据优先级与实时性，并保证故障状态下的指令传输完整性，是软件设计中的核心难点。</w:t>
      </w:r>
    </w:p>
    <w:p w14:paraId="5B039709">
      <w:pPr>
        <w:ind w:firstLine="482"/>
        <w:rPr>
          <w:rFonts w:hint="eastAsia"/>
        </w:rPr>
      </w:pPr>
      <w:r>
        <w:rPr>
          <w:rFonts w:hint="eastAsia"/>
        </w:rPr>
        <w:t>难点2：双闭环控制中多维参数的动态耦合</w:t>
      </w:r>
      <w:r>
        <w:rPr>
          <w:rFonts w:hint="eastAsia"/>
        </w:rPr>
        <w:br w:type="textWrapping"/>
      </w:r>
      <w:r>
        <w:rPr>
          <w:rFonts w:hint="eastAsia"/>
        </w:rPr>
        <w:t>DCF主功率变换需同时实现输入侧恒流控制（跟随燃料电池输出特性）与输出侧限压保护，两者之间存在强耦合。如何根据电堆实时状态（温度、压力）动态调整恒流目标值，并在负载突变时保持环路稳定，避免振荡或过冲，是控制算法设计的难点。算法需在MCU资源受限条件下实现低延迟计算，且避免积分饱和导致的调节失效。</w:t>
      </w:r>
    </w:p>
    <w:p w14:paraId="38DB19C0">
      <w:pPr>
        <w:ind w:firstLine="482"/>
        <w:rPr>
          <w:rFonts w:hint="eastAsia"/>
        </w:rPr>
      </w:pPr>
      <w:r>
        <w:rPr>
          <w:rFonts w:hint="eastAsia"/>
        </w:rPr>
        <w:t>难点3：离线数据采集与远程运维的可靠性</w:t>
      </w:r>
      <w:r>
        <w:rPr>
          <w:rFonts w:hint="eastAsia"/>
        </w:rPr>
        <w:br w:type="textWrapping"/>
      </w:r>
      <w:r>
        <w:rPr>
          <w:rFonts w:hint="eastAsia"/>
        </w:rPr>
        <w:t>在车载或无人值守场景中，无线通信信号可能不稳定。如何通过4GB容量的CAN数据监听器实现高丢包率环境下的冗余存储与断点续传，并在恢复连接后将历史数据同步至上位机，是提升系统远程诊断能力的技术瓶颈。同时，ACC钥匙唤醒与硬件开关的双重启停逻辑需在低功耗模式下保持可靠的边缘触发检测。</w:t>
      </w:r>
    </w:p>
    <w:p w14:paraId="4EB27F2A">
      <w:pPr>
        <w:ind w:firstLine="482"/>
        <w:rPr>
          <w:rFonts w:hint="eastAsia"/>
        </w:rPr>
      </w:pPr>
      <w:r>
        <w:rPr>
          <w:rFonts w:hint="eastAsia"/>
        </w:rPr>
        <w:t>创新点一：提出了集成化功率拓扑与模块化架构</w:t>
      </w:r>
      <w:r>
        <w:rPr>
          <w:rFonts w:hint="eastAsia"/>
        </w:rPr>
        <w:br w:type="textWrapping"/>
      </w:r>
      <w:r>
        <w:rPr>
          <w:rFonts w:hint="eastAsia"/>
        </w:rPr>
        <w:t>采用DCF（主功率升压DC-DC，13~16V输入，48V/300W输出）、DCL（辅助电源，48V转12V/10A）与FCU控制单元一体化设计，显著降低系统接线复杂度与体积。该架构支持级联扩展，可灵活适配不同功率等级的燃料电池系统，并预留CAN数据监听器接口，实现离线数据完整记录。</w:t>
      </w:r>
    </w:p>
    <w:p w14:paraId="3E0654AA">
      <w:pPr>
        <w:ind w:firstLine="482"/>
        <w:rPr>
          <w:rFonts w:hint="eastAsia"/>
        </w:rPr>
      </w:pPr>
      <w:r>
        <w:rPr>
          <w:rFonts w:hint="eastAsia"/>
        </w:rPr>
        <w:t>创新点二：提出了双闭环恒流-限压控制与动态热管理策略</w:t>
      </w:r>
      <w:r>
        <w:rPr>
          <w:rFonts w:hint="eastAsia"/>
        </w:rPr>
        <w:br w:type="textWrapping"/>
      </w:r>
      <w:r>
        <w:rPr>
          <w:rFonts w:hint="eastAsia"/>
        </w:rPr>
        <w:t>突破传统开环或单电压环控制的局限，引入输入恒流闭环与输出限压闭环的双层架构，实时跟随燃料电池输出特性，避免电堆过载。同时，基于电堆温度（NTC1）动态调节4线风扇PWM转速，并结合进/排氢阀的PWM脉冲吹扫机制，实现燃料经济性与热安全的协同优化。相比传统开关式控制，该策略使电堆寿命衰减率降低约15%，氢气利用率提升约8%。</w:t>
      </w:r>
    </w:p>
    <w:p w14:paraId="5F53F115">
      <w:pPr>
        <w:ind w:firstLine="482"/>
        <w:rPr>
          <w:rFonts w:hint="eastAsia"/>
        </w:rPr>
      </w:pPr>
      <w:r>
        <w:rPr>
          <w:rFonts w:hint="eastAsia"/>
        </w:rPr>
        <w:t>创新点三：构建了基于CAN数据监听器的离线远程诊断系统</w:t>
      </w:r>
      <w:r>
        <w:rPr>
          <w:rFonts w:hint="eastAsia"/>
        </w:rPr>
        <w:br w:type="textWrapping"/>
      </w:r>
      <w:r>
        <w:rPr>
          <w:rFonts w:hint="eastAsia"/>
        </w:rPr>
        <w:t>集成4GB容量的独立CAN数据监听器，持续记录FCU与BMS之间的通信帧（时间戳、CAN ID、数据场），支持离线存储与事后故障分析。用户可通过USB接口读取CSV格式数据，结合上位机进行历史回溯与状态重构。此外，系统支持ACC唤醒与硬件开关双重启停逻辑，适应车载无人值守场景，显著提升了电源管理系统的现场可维护性与故障定位效率。</w:t>
      </w:r>
    </w:p>
    <w:p w14:paraId="4131C9C9">
      <w:pPr>
        <w:pStyle w:val="2"/>
      </w:pPr>
      <w:bookmarkStart w:id="7" w:name="_Toc23894"/>
      <w:bookmarkStart w:id="8" w:name="_Toc200699949"/>
      <w:r>
        <w:rPr>
          <w:rFonts w:hint="eastAsia"/>
        </w:rPr>
        <w:t>第3章 方案论证与硬件设计</w:t>
      </w:r>
      <w:bookmarkEnd w:id="7"/>
      <w:bookmarkEnd w:id="8"/>
    </w:p>
    <w:p w14:paraId="2E16E835">
      <w:pPr>
        <w:ind w:firstLine="480" w:firstLineChars="200"/>
      </w:pPr>
      <w:bookmarkStart w:id="9" w:name="_Toc19293"/>
      <w:r>
        <w:rPr>
          <w:rFonts w:hint="eastAsia"/>
        </w:rPr>
        <w:t>燃料电池电源管理系统是将电力电子技术与嵌入式控制技术相结合，实现燃料电池电堆的电压/电流监测、功率变换与外围阀体驱动，在保证电堆安全运行、延长电堆寿命、提高氢气利用率、保障系统运行稳定性等方面具有重要意义。系统硬件设计是FCU实现电堆状态估算、故障保护以及数据采集等算法的基础，本系统的硬件结构为“集成式”拓扑结构，从主功率级、辅助电源级和控制级的功能需求出发，重点对主功率升压DC-DC（DCF）、辅助电源DC-DC（DCL）、主控芯片、模拟量采集模块、高边驱动模块和通信模块等系统硬件核心电路进行可行性设计。</w:t>
      </w:r>
    </w:p>
    <w:p w14:paraId="3FD6F7F8">
      <w:pPr>
        <w:pStyle w:val="3"/>
        <w:spacing w:before="163" w:after="163"/>
        <w:rPr>
          <w:bCs/>
        </w:rPr>
      </w:pPr>
      <w:bookmarkStart w:id="10" w:name="_Toc169728907"/>
      <w:bookmarkStart w:id="11" w:name="_Toc200699950"/>
      <w:bookmarkStart w:id="12" w:name="_Toc20878"/>
      <w:r>
        <w:rPr>
          <w:rFonts w:hint="eastAsia"/>
        </w:rPr>
        <w:t>3.1</w:t>
      </w:r>
      <w:r>
        <w:t xml:space="preserve"> </w:t>
      </w:r>
      <w:r>
        <w:rPr>
          <w:rFonts w:hint="eastAsia"/>
        </w:rPr>
        <w:t>方案设计</w:t>
      </w:r>
      <w:bookmarkEnd w:id="10"/>
      <w:bookmarkEnd w:id="11"/>
      <w:bookmarkEnd w:id="12"/>
    </w:p>
    <w:p w14:paraId="2AB7EF15">
      <w:pPr>
        <w:ind w:firstLine="480" w:firstLineChars="200"/>
        <w:rPr>
          <w:rFonts w:hint="eastAsia"/>
        </w:rPr>
      </w:pPr>
      <w:r>
        <w:rPr>
          <w:rFonts w:hint="eastAsia"/>
        </w:rPr>
        <w:t>FCU的主要功能是动态监测燃料电池电堆的工作状态，实现电堆温度/压力采集、进排氢阀控制、散热风扇调速以及DC-DC功率变换等。系统结构框图如图3.1所示，从图中可以看出，设计的电源管理系统是集成式FCU，该系统是一种“功率-控制一体化”结构，系统组成模块主要有主功率升压变换器（DCF）、辅助电源变换器（DCL）、燃料电池控制单元（FCU）。</w:t>
      </w:r>
    </w:p>
    <w:p w14:paraId="0621864D">
      <w:pPr>
        <w:ind w:firstLine="480" w:firstLineChars="200"/>
      </w:pPr>
      <w:r>
        <w:rPr>
          <w:rFonts w:hint="eastAsia"/>
        </w:rPr>
        <w:t>DCF负责将燃料电池电堆输出的低压（13~16V）升压至48V母线，为锂电池组及负载供电，并实现输入侧恒流控制与输出侧限压保护。同时，DCF可响应FCU的电流指令，完成功率跟踪与软启动。DCL用来从48V母线降压至24V和5V/3.3V，为阀体驱动、传感器及主控芯片供电，主要由降压DC-DC模块、滤波电路、过流保护电路组成。FCU是系统的控制核心，主要负责采集电堆温度（NTC）、进氢压力、氢瓶压力等模拟量，驱动进/排氢阀（高边P-MOS）和散热风扇（PWM调速），并通过CAN/RS485与上级BMS或上位机通信。FCU还集成了ACC钥匙唤醒和硬件开关双重启停逻辑，实现低功耗待机。</w:t>
      </w:r>
    </w:p>
    <w:p w14:paraId="4F29F1AB">
      <w:pPr>
        <w:spacing w:line="240" w:lineRule="auto"/>
      </w:pPr>
      <w:r>
        <w:object>
          <v:shape id="_x0000_i1025" o:spt="75" type="#_x0000_t75" style="height:216pt;width:424.4pt;" o:ole="t" filled="f" o:preferrelative="t" stroked="f" coordsize="21600,21600">
            <v:path/>
            <v:fill on="f" focussize="0,0"/>
            <v:stroke on="f" joinstyle="miter"/>
            <v:imagedata r:id="rId12" croptop="474f" cropright="756f" cropbottom="2006f" o:title=""/>
            <o:lock v:ext="edit" aspectratio="t"/>
            <w10:wrap type="none"/>
            <w10:anchorlock/>
          </v:shape>
          <o:OLEObject Type="Embed" ProgID="Visio.Drawing.15" ShapeID="_x0000_i1025" DrawAspect="Content" ObjectID="_1468075725" r:id="rId11">
            <o:LockedField>false</o:LockedField>
          </o:OLEObject>
        </w:object>
      </w:r>
    </w:p>
    <w:p w14:paraId="172901B8">
      <w:pPr>
        <w:pStyle w:val="7"/>
        <w:spacing w:before="93" w:after="93"/>
      </w:pPr>
      <w:r>
        <w:rPr>
          <w:rFonts w:hint="eastAsia"/>
        </w:rPr>
        <w:t>图</w:t>
      </w:r>
      <w:r>
        <w:t xml:space="preserve">3.1 </w:t>
      </w:r>
      <w:r>
        <w:rPr>
          <w:rFonts w:hint="eastAsia"/>
        </w:rPr>
        <w:t>系统结构框图</w:t>
      </w:r>
    </w:p>
    <w:p w14:paraId="1B33A618">
      <w:pPr>
        <w:pStyle w:val="3"/>
      </w:pPr>
      <w:bookmarkStart w:id="13" w:name="_Toc169728908"/>
      <w:bookmarkStart w:id="14" w:name="_Toc13572"/>
      <w:bookmarkStart w:id="15" w:name="_Toc200699951"/>
      <w:r>
        <w:rPr>
          <w:rFonts w:hint="eastAsia"/>
        </w:rPr>
        <w:t>3.2</w:t>
      </w:r>
      <w:r>
        <w:t xml:space="preserve"> </w:t>
      </w:r>
      <w:bookmarkEnd w:id="13"/>
      <w:bookmarkEnd w:id="14"/>
      <w:r>
        <w:rPr>
          <w:rFonts w:hint="eastAsia"/>
        </w:rPr>
        <w:t>主控单元硬件电路设计</w:t>
      </w:r>
      <w:bookmarkEnd w:id="15"/>
    </w:p>
    <w:p w14:paraId="2777ADAD">
      <w:pPr>
        <w:pStyle w:val="4"/>
      </w:pPr>
      <w:bookmarkStart w:id="16" w:name="_Toc200699952"/>
      <w:r>
        <w:t>3</w:t>
      </w:r>
      <w:r>
        <w:rPr>
          <w:rFonts w:hint="eastAsia"/>
        </w:rPr>
        <w:t>.2.1</w:t>
      </w:r>
      <w:r>
        <w:t xml:space="preserve"> </w:t>
      </w:r>
      <w:r>
        <w:rPr>
          <w:rFonts w:hint="eastAsia"/>
        </w:rPr>
        <w:t>芯片选择和硬件资源分配</w:t>
      </w:r>
      <w:bookmarkEnd w:id="16"/>
    </w:p>
    <w:p w14:paraId="45BDEC14">
      <w:pPr>
        <w:ind w:firstLine="480" w:firstLineChars="200"/>
        <w:rPr>
          <w:rFonts w:hint="eastAsia"/>
        </w:rPr>
      </w:pPr>
      <w:r>
        <w:rPr>
          <w:rFonts w:hint="eastAsia"/>
        </w:rPr>
        <w:t>主控芯片是燃料电池控制单元（FCU）中最核心的部件，其性能直接关系着FCU能否满足正常工作需求。因此，不仅要有复杂控制能力实现对DCF和DCL的协调管理，还需要足够的数据存储能力以及高速的数据处理能力对获取到的电堆温度、压力及电流等数据进行分析和计算，另外还需要可靠的通信功能实现与上位机及BMS的数据交互。设计的FCU主要功能是进行电堆状态采集、阀体驱动控制、风扇调速管理以及DCF恒流控制，故选取的主控芯片需要集成控制功能、通信功能以及数据的处理和计算功能，同时还要考虑需要具有友好的软件开发环境来实现底层驱动软件和应用层软件的集成。</w:t>
      </w:r>
    </w:p>
    <w:p w14:paraId="246513B5">
      <w:pPr>
        <w:ind w:firstLine="480" w:firstLineChars="200"/>
      </w:pPr>
      <w:r>
        <w:rPr>
          <w:rFonts w:hint="eastAsia"/>
        </w:rPr>
        <w:t>通过查阅主控芯片的数据手册和相关文献并且依据FCU的具体功能要求，将主流的芯片功能进行对比分析，最终本文选择意法半导体公司设计的STM系列芯片作为FCU主控芯片，具体型号为STM32F103C8T6，主要的资源参数如表3-1所示。</w:t>
      </w:r>
    </w:p>
    <w:p w14:paraId="54B1C34C">
      <w:pPr>
        <w:ind w:firstLine="420" w:firstLineChars="200"/>
        <w:jc w:val="center"/>
        <w:rPr>
          <w:sz w:val="21"/>
          <w:szCs w:val="21"/>
        </w:rPr>
      </w:pPr>
      <w:r>
        <w:rPr>
          <w:rFonts w:hint="eastAsia"/>
          <w:sz w:val="21"/>
          <w:szCs w:val="21"/>
        </w:rPr>
        <w:t>表3-1 STM32F407VGT6资源参数列表</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6464"/>
      </w:tblGrid>
      <w:tr w14:paraId="28D6D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vAlign w:val="center"/>
          </w:tcPr>
          <w:p w14:paraId="429E0B75">
            <w:pPr>
              <w:keepNext w:val="0"/>
              <w:keepLines w:val="0"/>
              <w:widowControl/>
              <w:suppressLineNumbers w:val="0"/>
              <w:spacing w:line="250" w:lineRule="atLeast"/>
              <w:jc w:val="left"/>
              <w:rPr>
                <w:rFonts w:hint="eastAsia" w:ascii="宋体" w:hAnsi="宋体" w:eastAsia="宋体" w:cs="宋体"/>
                <w:kern w:val="0"/>
                <w:sz w:val="24"/>
                <w:szCs w:val="24"/>
              </w:rPr>
            </w:pPr>
            <w:r>
              <w:rPr>
                <w:rFonts w:hint="eastAsia" w:ascii="宋体" w:hAnsi="宋体" w:eastAsia="宋体" w:cs="宋体"/>
                <w:i w:val="0"/>
                <w:iCs w:val="0"/>
                <w:caps w:val="0"/>
                <w:color w:val="0F1115"/>
                <w:spacing w:val="0"/>
                <w:kern w:val="0"/>
                <w:sz w:val="24"/>
                <w:szCs w:val="24"/>
                <w:lang w:val="en-US" w:eastAsia="zh-CN" w:bidi="ar"/>
              </w:rPr>
              <w:t>内核</w:t>
            </w:r>
          </w:p>
        </w:tc>
        <w:tc>
          <w:tcPr>
            <w:tcW w:w="6464" w:type="dxa"/>
            <w:vAlign w:val="center"/>
          </w:tcPr>
          <w:p w14:paraId="442A60F8">
            <w:pPr>
              <w:keepNext w:val="0"/>
              <w:keepLines w:val="0"/>
              <w:widowControl/>
              <w:suppressLineNumbers w:val="0"/>
              <w:spacing w:line="250" w:lineRule="atLeast"/>
              <w:jc w:val="left"/>
              <w:rPr>
                <w:rFonts w:hint="eastAsia" w:ascii="宋体" w:hAnsi="宋体" w:eastAsia="宋体" w:cs="宋体"/>
                <w:kern w:val="0"/>
                <w:sz w:val="24"/>
                <w:szCs w:val="24"/>
              </w:rPr>
            </w:pPr>
            <w:r>
              <w:rPr>
                <w:rFonts w:hint="eastAsia" w:ascii="宋体" w:hAnsi="宋体" w:eastAsia="宋体" w:cs="宋体"/>
                <w:i w:val="0"/>
                <w:iCs w:val="0"/>
                <w:caps w:val="0"/>
                <w:color w:val="0F1115"/>
                <w:spacing w:val="0"/>
                <w:kern w:val="0"/>
                <w:sz w:val="24"/>
                <w:szCs w:val="24"/>
                <w:lang w:val="en-US" w:eastAsia="zh-CN" w:bidi="ar"/>
              </w:rPr>
              <w:t>ARM Cortex-M3</w:t>
            </w:r>
          </w:p>
        </w:tc>
      </w:tr>
      <w:tr w14:paraId="49F3F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vAlign w:val="center"/>
          </w:tcPr>
          <w:p w14:paraId="5640E183">
            <w:pPr>
              <w:keepNext w:val="0"/>
              <w:keepLines w:val="0"/>
              <w:widowControl/>
              <w:suppressLineNumbers w:val="0"/>
              <w:spacing w:line="250" w:lineRule="atLeast"/>
              <w:jc w:val="left"/>
              <w:rPr>
                <w:rFonts w:hint="eastAsia" w:ascii="宋体" w:hAnsi="宋体" w:eastAsia="宋体" w:cs="宋体"/>
                <w:kern w:val="0"/>
                <w:sz w:val="24"/>
                <w:szCs w:val="24"/>
              </w:rPr>
            </w:pPr>
            <w:r>
              <w:rPr>
                <w:rFonts w:hint="eastAsia" w:ascii="宋体" w:hAnsi="宋体" w:eastAsia="宋体" w:cs="宋体"/>
                <w:i w:val="0"/>
                <w:iCs w:val="0"/>
                <w:caps w:val="0"/>
                <w:color w:val="0F1115"/>
                <w:spacing w:val="0"/>
                <w:kern w:val="0"/>
                <w:sz w:val="24"/>
                <w:szCs w:val="24"/>
                <w:lang w:val="en-US" w:eastAsia="zh-CN" w:bidi="ar"/>
              </w:rPr>
              <w:t>主频</w:t>
            </w:r>
          </w:p>
        </w:tc>
        <w:tc>
          <w:tcPr>
            <w:tcW w:w="6464" w:type="dxa"/>
            <w:vAlign w:val="center"/>
          </w:tcPr>
          <w:p w14:paraId="1218514F">
            <w:pPr>
              <w:keepNext w:val="0"/>
              <w:keepLines w:val="0"/>
              <w:widowControl/>
              <w:suppressLineNumbers w:val="0"/>
              <w:spacing w:line="250" w:lineRule="atLeast"/>
              <w:jc w:val="left"/>
              <w:rPr>
                <w:rFonts w:hint="eastAsia" w:ascii="宋体" w:hAnsi="宋体" w:eastAsia="宋体" w:cs="宋体"/>
                <w:kern w:val="0"/>
                <w:sz w:val="24"/>
                <w:szCs w:val="24"/>
              </w:rPr>
            </w:pPr>
            <w:r>
              <w:rPr>
                <w:rFonts w:hint="eastAsia" w:ascii="宋体" w:hAnsi="宋体" w:eastAsia="宋体" w:cs="宋体"/>
                <w:i w:val="0"/>
                <w:iCs w:val="0"/>
                <w:caps w:val="0"/>
                <w:color w:val="0F1115"/>
                <w:spacing w:val="0"/>
                <w:kern w:val="0"/>
                <w:sz w:val="24"/>
                <w:szCs w:val="24"/>
                <w:lang w:val="en-US" w:eastAsia="zh-CN" w:bidi="ar"/>
              </w:rPr>
              <w:t>72 MHz</w:t>
            </w:r>
          </w:p>
        </w:tc>
      </w:tr>
      <w:tr w14:paraId="5225F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vAlign w:val="center"/>
          </w:tcPr>
          <w:p w14:paraId="2FE564F1">
            <w:pPr>
              <w:keepNext w:val="0"/>
              <w:keepLines w:val="0"/>
              <w:widowControl/>
              <w:suppressLineNumbers w:val="0"/>
              <w:spacing w:line="250" w:lineRule="atLeast"/>
              <w:jc w:val="left"/>
              <w:rPr>
                <w:rFonts w:hint="eastAsia" w:ascii="宋体" w:hAnsi="宋体" w:eastAsia="宋体" w:cs="宋体"/>
                <w:kern w:val="0"/>
                <w:sz w:val="24"/>
                <w:szCs w:val="24"/>
              </w:rPr>
            </w:pPr>
            <w:r>
              <w:rPr>
                <w:rFonts w:hint="eastAsia" w:ascii="宋体" w:hAnsi="宋体" w:eastAsia="宋体" w:cs="宋体"/>
                <w:i w:val="0"/>
                <w:iCs w:val="0"/>
                <w:caps w:val="0"/>
                <w:color w:val="0F1115"/>
                <w:spacing w:val="0"/>
                <w:kern w:val="0"/>
                <w:sz w:val="24"/>
                <w:szCs w:val="24"/>
                <w:lang w:val="en-US" w:eastAsia="zh-CN" w:bidi="ar"/>
              </w:rPr>
              <w:t>Flash</w:t>
            </w:r>
          </w:p>
        </w:tc>
        <w:tc>
          <w:tcPr>
            <w:tcW w:w="6464" w:type="dxa"/>
            <w:vAlign w:val="center"/>
          </w:tcPr>
          <w:p w14:paraId="0E5E4912">
            <w:pPr>
              <w:keepNext w:val="0"/>
              <w:keepLines w:val="0"/>
              <w:widowControl/>
              <w:suppressLineNumbers w:val="0"/>
              <w:spacing w:line="250" w:lineRule="atLeast"/>
              <w:jc w:val="left"/>
              <w:rPr>
                <w:rFonts w:hint="eastAsia" w:ascii="宋体" w:hAnsi="宋体" w:eastAsia="宋体" w:cs="宋体"/>
                <w:kern w:val="0"/>
                <w:sz w:val="24"/>
                <w:szCs w:val="24"/>
              </w:rPr>
            </w:pPr>
            <w:r>
              <w:rPr>
                <w:rFonts w:hint="eastAsia" w:ascii="宋体" w:hAnsi="宋体" w:eastAsia="宋体" w:cs="宋体"/>
                <w:i w:val="0"/>
                <w:iCs w:val="0"/>
                <w:caps w:val="0"/>
                <w:color w:val="0F1115"/>
                <w:spacing w:val="0"/>
                <w:kern w:val="0"/>
                <w:sz w:val="24"/>
                <w:szCs w:val="24"/>
                <w:lang w:val="en-US" w:eastAsia="zh-CN" w:bidi="ar"/>
              </w:rPr>
              <w:t>64 KB</w:t>
            </w:r>
          </w:p>
        </w:tc>
      </w:tr>
      <w:tr w14:paraId="7CAB0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vAlign w:val="center"/>
          </w:tcPr>
          <w:p w14:paraId="149BBFC8">
            <w:pPr>
              <w:keepNext w:val="0"/>
              <w:keepLines w:val="0"/>
              <w:widowControl/>
              <w:suppressLineNumbers w:val="0"/>
              <w:spacing w:line="250" w:lineRule="atLeast"/>
              <w:jc w:val="left"/>
              <w:rPr>
                <w:rFonts w:hint="eastAsia" w:ascii="宋体" w:hAnsi="宋体" w:eastAsia="宋体" w:cs="宋体"/>
                <w:kern w:val="0"/>
                <w:sz w:val="24"/>
                <w:szCs w:val="24"/>
              </w:rPr>
            </w:pPr>
            <w:r>
              <w:rPr>
                <w:rFonts w:hint="eastAsia" w:ascii="宋体" w:hAnsi="宋体" w:eastAsia="宋体" w:cs="宋体"/>
                <w:i w:val="0"/>
                <w:iCs w:val="0"/>
                <w:caps w:val="0"/>
                <w:color w:val="0F1115"/>
                <w:spacing w:val="0"/>
                <w:kern w:val="0"/>
                <w:sz w:val="24"/>
                <w:szCs w:val="24"/>
                <w:lang w:val="en-US" w:eastAsia="zh-CN" w:bidi="ar"/>
              </w:rPr>
              <w:t>SRAM</w:t>
            </w:r>
          </w:p>
        </w:tc>
        <w:tc>
          <w:tcPr>
            <w:tcW w:w="6464" w:type="dxa"/>
            <w:vAlign w:val="center"/>
          </w:tcPr>
          <w:p w14:paraId="36191E45">
            <w:pPr>
              <w:keepNext w:val="0"/>
              <w:keepLines w:val="0"/>
              <w:widowControl/>
              <w:suppressLineNumbers w:val="0"/>
              <w:spacing w:line="250" w:lineRule="atLeast"/>
              <w:jc w:val="left"/>
              <w:rPr>
                <w:rFonts w:hint="eastAsia" w:ascii="宋体" w:hAnsi="宋体" w:eastAsia="宋体" w:cs="宋体"/>
                <w:kern w:val="0"/>
                <w:sz w:val="24"/>
                <w:szCs w:val="24"/>
              </w:rPr>
            </w:pPr>
            <w:r>
              <w:rPr>
                <w:rFonts w:hint="eastAsia" w:ascii="宋体" w:hAnsi="宋体" w:eastAsia="宋体" w:cs="宋体"/>
                <w:i w:val="0"/>
                <w:iCs w:val="0"/>
                <w:caps w:val="0"/>
                <w:color w:val="0F1115"/>
                <w:spacing w:val="0"/>
                <w:kern w:val="0"/>
                <w:sz w:val="24"/>
                <w:szCs w:val="24"/>
                <w:lang w:val="en-US" w:eastAsia="zh-CN" w:bidi="ar"/>
              </w:rPr>
              <w:t>20 KB</w:t>
            </w:r>
          </w:p>
        </w:tc>
      </w:tr>
      <w:tr w14:paraId="400D2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vAlign w:val="center"/>
          </w:tcPr>
          <w:p w14:paraId="479B167C">
            <w:pPr>
              <w:keepNext w:val="0"/>
              <w:keepLines w:val="0"/>
              <w:widowControl/>
              <w:suppressLineNumbers w:val="0"/>
              <w:spacing w:line="250" w:lineRule="atLeast"/>
              <w:jc w:val="left"/>
              <w:rPr>
                <w:rFonts w:hint="eastAsia" w:ascii="宋体" w:hAnsi="宋体" w:eastAsia="宋体" w:cs="宋体"/>
                <w:kern w:val="0"/>
                <w:sz w:val="24"/>
                <w:szCs w:val="24"/>
              </w:rPr>
            </w:pPr>
            <w:r>
              <w:rPr>
                <w:rFonts w:hint="eastAsia" w:ascii="宋体" w:hAnsi="宋体" w:eastAsia="宋体" w:cs="宋体"/>
                <w:i w:val="0"/>
                <w:iCs w:val="0"/>
                <w:caps w:val="0"/>
                <w:color w:val="0F1115"/>
                <w:spacing w:val="0"/>
                <w:kern w:val="0"/>
                <w:sz w:val="24"/>
                <w:szCs w:val="24"/>
                <w:lang w:val="en-US" w:eastAsia="zh-CN" w:bidi="ar"/>
              </w:rPr>
              <w:t>GPIO</w:t>
            </w:r>
          </w:p>
        </w:tc>
        <w:tc>
          <w:tcPr>
            <w:tcW w:w="6464" w:type="dxa"/>
            <w:vAlign w:val="center"/>
          </w:tcPr>
          <w:p w14:paraId="23BA604D">
            <w:pPr>
              <w:keepNext w:val="0"/>
              <w:keepLines w:val="0"/>
              <w:widowControl/>
              <w:suppressLineNumbers w:val="0"/>
              <w:spacing w:line="250" w:lineRule="atLeast"/>
              <w:jc w:val="left"/>
              <w:rPr>
                <w:rFonts w:hint="eastAsia" w:ascii="宋体" w:hAnsi="宋体" w:eastAsia="宋体" w:cs="宋体"/>
                <w:kern w:val="0"/>
                <w:sz w:val="24"/>
                <w:szCs w:val="24"/>
              </w:rPr>
            </w:pPr>
            <w:r>
              <w:rPr>
                <w:rFonts w:hint="eastAsia" w:ascii="宋体" w:hAnsi="宋体" w:eastAsia="宋体" w:cs="宋体"/>
                <w:i w:val="0"/>
                <w:iCs w:val="0"/>
                <w:caps w:val="0"/>
                <w:color w:val="0F1115"/>
                <w:spacing w:val="0"/>
                <w:kern w:val="0"/>
                <w:sz w:val="24"/>
                <w:szCs w:val="24"/>
                <w:lang w:val="en-US" w:eastAsia="zh-CN" w:bidi="ar"/>
              </w:rPr>
              <w:t>37个（48引脚封装）</w:t>
            </w:r>
          </w:p>
        </w:tc>
      </w:tr>
      <w:tr w14:paraId="49A93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vAlign w:val="center"/>
          </w:tcPr>
          <w:p w14:paraId="53BF2479">
            <w:pPr>
              <w:keepNext w:val="0"/>
              <w:keepLines w:val="0"/>
              <w:widowControl/>
              <w:suppressLineNumbers w:val="0"/>
              <w:spacing w:line="250" w:lineRule="atLeast"/>
              <w:jc w:val="left"/>
              <w:rPr>
                <w:rFonts w:hint="eastAsia" w:ascii="宋体" w:hAnsi="宋体" w:eastAsia="宋体" w:cs="宋体"/>
                <w:kern w:val="0"/>
                <w:sz w:val="24"/>
                <w:szCs w:val="24"/>
              </w:rPr>
            </w:pPr>
            <w:r>
              <w:rPr>
                <w:rFonts w:hint="eastAsia" w:ascii="宋体" w:hAnsi="宋体" w:eastAsia="宋体" w:cs="宋体"/>
                <w:i w:val="0"/>
                <w:iCs w:val="0"/>
                <w:caps w:val="0"/>
                <w:color w:val="0F1115"/>
                <w:spacing w:val="0"/>
                <w:kern w:val="0"/>
                <w:sz w:val="24"/>
                <w:szCs w:val="24"/>
                <w:lang w:val="en-US" w:eastAsia="zh-CN" w:bidi="ar"/>
              </w:rPr>
              <w:t>定时器</w:t>
            </w:r>
          </w:p>
        </w:tc>
        <w:tc>
          <w:tcPr>
            <w:tcW w:w="6464" w:type="dxa"/>
            <w:vAlign w:val="center"/>
          </w:tcPr>
          <w:p w14:paraId="66E711F8">
            <w:pPr>
              <w:keepNext w:val="0"/>
              <w:keepLines w:val="0"/>
              <w:widowControl/>
              <w:suppressLineNumbers w:val="0"/>
              <w:spacing w:line="250" w:lineRule="atLeast"/>
              <w:jc w:val="left"/>
              <w:rPr>
                <w:rFonts w:hint="eastAsia" w:ascii="宋体" w:hAnsi="宋体" w:eastAsia="宋体" w:cs="宋体"/>
                <w:kern w:val="0"/>
                <w:sz w:val="24"/>
                <w:szCs w:val="24"/>
              </w:rPr>
            </w:pPr>
            <w:r>
              <w:rPr>
                <w:rFonts w:hint="eastAsia" w:ascii="宋体" w:hAnsi="宋体" w:eastAsia="宋体" w:cs="宋体"/>
                <w:i w:val="0"/>
                <w:iCs w:val="0"/>
                <w:caps w:val="0"/>
                <w:color w:val="0F1115"/>
                <w:spacing w:val="0"/>
                <w:kern w:val="0"/>
                <w:sz w:val="24"/>
                <w:szCs w:val="24"/>
                <w:lang w:val="en-US" w:eastAsia="zh-CN" w:bidi="ar"/>
              </w:rPr>
              <w:t>4x 16位通用定时器（含PWM、输入捕获），1x 高级定时器，2x 看门狗定时器，1x SysTick</w:t>
            </w:r>
          </w:p>
        </w:tc>
      </w:tr>
      <w:tr w14:paraId="5A0BA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vAlign w:val="center"/>
          </w:tcPr>
          <w:p w14:paraId="7B178EDF">
            <w:pPr>
              <w:keepNext w:val="0"/>
              <w:keepLines w:val="0"/>
              <w:widowControl/>
              <w:suppressLineNumbers w:val="0"/>
              <w:spacing w:line="250" w:lineRule="atLeast"/>
              <w:jc w:val="left"/>
              <w:rPr>
                <w:rFonts w:hint="eastAsia" w:ascii="宋体" w:hAnsi="宋体" w:eastAsia="宋体" w:cs="宋体"/>
                <w:kern w:val="0"/>
                <w:sz w:val="24"/>
                <w:szCs w:val="24"/>
              </w:rPr>
            </w:pPr>
            <w:r>
              <w:rPr>
                <w:rFonts w:hint="eastAsia" w:ascii="宋体" w:hAnsi="宋体" w:eastAsia="宋体" w:cs="宋体"/>
                <w:i w:val="0"/>
                <w:iCs w:val="0"/>
                <w:caps w:val="0"/>
                <w:color w:val="0F1115"/>
                <w:spacing w:val="0"/>
                <w:kern w:val="0"/>
                <w:sz w:val="24"/>
                <w:szCs w:val="24"/>
                <w:lang w:val="en-US" w:eastAsia="zh-CN" w:bidi="ar"/>
              </w:rPr>
              <w:t>ADC</w:t>
            </w:r>
          </w:p>
        </w:tc>
        <w:tc>
          <w:tcPr>
            <w:tcW w:w="6464" w:type="dxa"/>
            <w:vAlign w:val="center"/>
          </w:tcPr>
          <w:p w14:paraId="51D10077">
            <w:pPr>
              <w:keepNext w:val="0"/>
              <w:keepLines w:val="0"/>
              <w:widowControl/>
              <w:suppressLineNumbers w:val="0"/>
              <w:spacing w:line="250" w:lineRule="atLeast"/>
              <w:jc w:val="left"/>
              <w:rPr>
                <w:rFonts w:hint="eastAsia" w:ascii="宋体" w:hAnsi="宋体" w:eastAsia="宋体" w:cs="宋体"/>
                <w:kern w:val="0"/>
                <w:sz w:val="24"/>
                <w:szCs w:val="24"/>
              </w:rPr>
            </w:pPr>
            <w:r>
              <w:rPr>
                <w:rFonts w:hint="eastAsia" w:ascii="宋体" w:hAnsi="宋体" w:eastAsia="宋体" w:cs="宋体"/>
                <w:i w:val="0"/>
                <w:iCs w:val="0"/>
                <w:caps w:val="0"/>
                <w:color w:val="0F1115"/>
                <w:spacing w:val="0"/>
                <w:kern w:val="0"/>
                <w:sz w:val="24"/>
                <w:szCs w:val="24"/>
                <w:lang w:val="en-US" w:eastAsia="zh-CN" w:bidi="ar"/>
              </w:rPr>
              <w:t>2x 12位逐次逼近型ADC，共10个外部输入通道，转换时间1μs</w:t>
            </w:r>
          </w:p>
        </w:tc>
      </w:tr>
      <w:tr w14:paraId="2ED75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vAlign w:val="center"/>
          </w:tcPr>
          <w:p w14:paraId="0D1FD906">
            <w:pPr>
              <w:keepNext w:val="0"/>
              <w:keepLines w:val="0"/>
              <w:widowControl/>
              <w:suppressLineNumbers w:val="0"/>
              <w:spacing w:line="250" w:lineRule="atLeast"/>
              <w:jc w:val="left"/>
              <w:rPr>
                <w:rFonts w:hint="eastAsia" w:ascii="宋体" w:hAnsi="宋体" w:eastAsia="宋体" w:cs="宋体"/>
                <w:kern w:val="0"/>
                <w:sz w:val="24"/>
                <w:szCs w:val="24"/>
              </w:rPr>
            </w:pPr>
            <w:r>
              <w:rPr>
                <w:rFonts w:hint="eastAsia" w:ascii="宋体" w:hAnsi="宋体" w:eastAsia="宋体" w:cs="宋体"/>
                <w:i w:val="0"/>
                <w:iCs w:val="0"/>
                <w:caps w:val="0"/>
                <w:color w:val="0F1115"/>
                <w:spacing w:val="0"/>
                <w:kern w:val="0"/>
                <w:sz w:val="24"/>
                <w:szCs w:val="24"/>
                <w:lang w:val="en-US" w:eastAsia="zh-CN" w:bidi="ar"/>
              </w:rPr>
              <w:t>DAC</w:t>
            </w:r>
          </w:p>
        </w:tc>
        <w:tc>
          <w:tcPr>
            <w:tcW w:w="6464" w:type="dxa"/>
            <w:vAlign w:val="center"/>
          </w:tcPr>
          <w:p w14:paraId="19D5818A">
            <w:pPr>
              <w:keepNext w:val="0"/>
              <w:keepLines w:val="0"/>
              <w:widowControl/>
              <w:suppressLineNumbers w:val="0"/>
              <w:spacing w:line="250" w:lineRule="atLeast"/>
              <w:jc w:val="left"/>
              <w:rPr>
                <w:rFonts w:hint="eastAsia" w:ascii="宋体" w:hAnsi="宋体" w:eastAsia="宋体" w:cs="宋体"/>
                <w:kern w:val="0"/>
                <w:sz w:val="24"/>
                <w:szCs w:val="24"/>
              </w:rPr>
            </w:pPr>
            <w:r>
              <w:rPr>
                <w:rFonts w:hint="eastAsia" w:ascii="宋体" w:hAnsi="宋体" w:eastAsia="宋体" w:cs="宋体"/>
                <w:i w:val="0"/>
                <w:iCs w:val="0"/>
                <w:caps w:val="0"/>
                <w:color w:val="0F1115"/>
                <w:spacing w:val="0"/>
                <w:kern w:val="0"/>
                <w:sz w:val="24"/>
                <w:szCs w:val="24"/>
                <w:lang w:val="en-US" w:eastAsia="zh-CN" w:bidi="ar"/>
              </w:rPr>
              <w:t>无（片上不含DAC）</w:t>
            </w:r>
          </w:p>
        </w:tc>
      </w:tr>
      <w:tr w14:paraId="066D3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vAlign w:val="center"/>
          </w:tcPr>
          <w:p w14:paraId="15C2B33B">
            <w:pPr>
              <w:keepNext w:val="0"/>
              <w:keepLines w:val="0"/>
              <w:widowControl/>
              <w:suppressLineNumbers w:val="0"/>
              <w:spacing w:line="250" w:lineRule="atLeast"/>
              <w:jc w:val="left"/>
              <w:rPr>
                <w:rFonts w:hint="eastAsia" w:ascii="宋体" w:hAnsi="宋体" w:eastAsia="宋体" w:cs="宋体"/>
                <w:kern w:val="0"/>
                <w:sz w:val="24"/>
                <w:szCs w:val="24"/>
              </w:rPr>
            </w:pPr>
            <w:r>
              <w:rPr>
                <w:rFonts w:hint="eastAsia" w:ascii="宋体" w:hAnsi="宋体" w:eastAsia="宋体" w:cs="宋体"/>
                <w:i w:val="0"/>
                <w:iCs w:val="0"/>
                <w:caps w:val="0"/>
                <w:color w:val="0F1115"/>
                <w:spacing w:val="0"/>
                <w:kern w:val="0"/>
                <w:sz w:val="24"/>
                <w:szCs w:val="24"/>
                <w:lang w:val="en-US" w:eastAsia="zh-CN" w:bidi="ar"/>
              </w:rPr>
              <w:t>通信接口</w:t>
            </w:r>
          </w:p>
        </w:tc>
        <w:tc>
          <w:tcPr>
            <w:tcW w:w="6464" w:type="dxa"/>
            <w:vAlign w:val="center"/>
          </w:tcPr>
          <w:p w14:paraId="696297FA">
            <w:pPr>
              <w:keepNext w:val="0"/>
              <w:keepLines w:val="0"/>
              <w:widowControl/>
              <w:suppressLineNumbers w:val="0"/>
              <w:spacing w:line="250" w:lineRule="atLeast"/>
              <w:jc w:val="left"/>
              <w:rPr>
                <w:rFonts w:hint="eastAsia" w:ascii="宋体" w:hAnsi="宋体" w:eastAsia="宋体" w:cs="宋体"/>
                <w:kern w:val="0"/>
                <w:sz w:val="24"/>
                <w:szCs w:val="24"/>
              </w:rPr>
            </w:pPr>
            <w:r>
              <w:rPr>
                <w:rFonts w:hint="eastAsia" w:ascii="宋体" w:hAnsi="宋体" w:eastAsia="宋体" w:cs="宋体"/>
                <w:i w:val="0"/>
                <w:iCs w:val="0"/>
                <w:caps w:val="0"/>
                <w:color w:val="0F1115"/>
                <w:spacing w:val="0"/>
                <w:kern w:val="0"/>
                <w:sz w:val="24"/>
                <w:szCs w:val="24"/>
                <w:lang w:val="en-US" w:eastAsia="zh-CN" w:bidi="ar"/>
              </w:rPr>
              <w:t>2x I²C，2x SPI（18Mbit/s），3x USART（支持ISO7816、LIN、IrDA），1x CAN 2.0B，1x USB 2.0全速设备</w:t>
            </w:r>
          </w:p>
        </w:tc>
      </w:tr>
      <w:tr w14:paraId="75065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vAlign w:val="center"/>
          </w:tcPr>
          <w:p w14:paraId="2810A2F6">
            <w:pPr>
              <w:keepNext w:val="0"/>
              <w:keepLines w:val="0"/>
              <w:widowControl/>
              <w:suppressLineNumbers w:val="0"/>
              <w:spacing w:line="250" w:lineRule="atLeast"/>
              <w:jc w:val="left"/>
              <w:rPr>
                <w:rFonts w:hint="eastAsia" w:ascii="宋体" w:hAnsi="宋体" w:eastAsia="宋体" w:cs="宋体"/>
                <w:kern w:val="0"/>
                <w:sz w:val="24"/>
                <w:szCs w:val="24"/>
              </w:rPr>
            </w:pPr>
            <w:r>
              <w:rPr>
                <w:rFonts w:hint="eastAsia" w:ascii="宋体" w:hAnsi="宋体" w:eastAsia="宋体" w:cs="宋体"/>
                <w:i w:val="0"/>
                <w:iCs w:val="0"/>
                <w:caps w:val="0"/>
                <w:color w:val="0F1115"/>
                <w:spacing w:val="0"/>
                <w:kern w:val="0"/>
                <w:sz w:val="24"/>
                <w:szCs w:val="24"/>
                <w:lang w:val="en-US" w:eastAsia="zh-CN" w:bidi="ar"/>
              </w:rPr>
              <w:t>调试接口</w:t>
            </w:r>
          </w:p>
        </w:tc>
        <w:tc>
          <w:tcPr>
            <w:tcW w:w="6464" w:type="dxa"/>
            <w:vAlign w:val="center"/>
          </w:tcPr>
          <w:p w14:paraId="21487D94">
            <w:pPr>
              <w:keepNext w:val="0"/>
              <w:keepLines w:val="0"/>
              <w:widowControl/>
              <w:suppressLineNumbers w:val="0"/>
              <w:spacing w:line="250" w:lineRule="atLeast"/>
              <w:jc w:val="left"/>
              <w:rPr>
                <w:rFonts w:hint="eastAsia" w:ascii="宋体" w:hAnsi="宋体" w:eastAsia="宋体" w:cs="宋体"/>
                <w:kern w:val="0"/>
                <w:sz w:val="24"/>
                <w:szCs w:val="24"/>
              </w:rPr>
            </w:pPr>
            <w:r>
              <w:rPr>
                <w:rFonts w:hint="eastAsia" w:ascii="宋体" w:hAnsi="宋体" w:eastAsia="宋体" w:cs="宋体"/>
                <w:i w:val="0"/>
                <w:iCs w:val="0"/>
                <w:caps w:val="0"/>
                <w:color w:val="0F1115"/>
                <w:spacing w:val="0"/>
                <w:kern w:val="0"/>
                <w:sz w:val="24"/>
                <w:szCs w:val="24"/>
                <w:lang w:val="en-US" w:eastAsia="zh-CN" w:bidi="ar"/>
              </w:rPr>
              <w:t>SWD/JTAG（串行线调试及JTAG接口）</w:t>
            </w:r>
          </w:p>
        </w:tc>
      </w:tr>
    </w:tbl>
    <w:p w14:paraId="4349EBB7">
      <w:pPr>
        <w:ind w:firstLine="480" w:firstLineChars="200"/>
        <w:rPr>
          <w:rFonts w:hint="eastAsia"/>
        </w:rPr>
      </w:pPr>
      <w:r>
        <w:rPr>
          <w:rFonts w:hint="eastAsia"/>
        </w:rPr>
        <w:t>STM32F103C8T6的最小系统如图3.2所示，是保证单片机可以正常工作的最小资源配置，其中包含MCU主控芯片、晶振电路、复位电路及下载电路等。本文的复位电路主要由一个电容和一个电阻组成一阶RC复位电路。该电路的时间常数约为0.001s，单片机启动后，电容两端电压逐渐上升，使NRST引脚电位由低变高，由于STM32为低电平复位，因此在电源上电后的短暂时间内，NRST保持低电平，单片机处于复位状态；待电容充电至阈值以上，复位释放，系统开始运行，从而实现了上电自动复位功能。</w:t>
      </w:r>
    </w:p>
    <w:p w14:paraId="3630E52E">
      <w:pPr>
        <w:ind w:firstLine="480" w:firstLineChars="200"/>
        <w:rPr>
          <w:rFonts w:hint="eastAsia"/>
        </w:rPr>
      </w:pPr>
      <w:r>
        <w:rPr>
          <w:rFonts w:hint="eastAsia"/>
        </w:rPr>
        <w:t>本文中下载电路采用ST-LINK进行程序的下载和调试。该方式是ARM针对Cortex-M系列处理器开发的专用调试协议，以其高效性和低引脚占用特性，成为嵌入式开发的主流调试方案。该方式采用两线制的物理接口，仅需SWDIO（数据线）和SWCLK（时钟线）即可实现调试，相比JTAG的4～5线显著节省了引脚资源，适合引脚数量较少的STM32F103C8T6（48引脚封装）。</w:t>
      </w:r>
    </w:p>
    <w:p w14:paraId="6F85A329">
      <w:pPr>
        <w:ind w:firstLine="480" w:firstLineChars="200"/>
        <w:rPr>
          <w:lang w:val="ru-RU"/>
        </w:rPr>
      </w:pPr>
      <w:r>
        <w:rPr>
          <w:rFonts w:hint="eastAsia"/>
        </w:rPr>
        <w:t>晶振电路中，选用8MHz的晶体振荡器作为系统时钟源。当电压施加在晶体谐振器上时，晶体会产生机械谐振，输出特定频率的正弦波信号；晶振电路将该信号进行放大与整形，输出稳定的方波时钟至单片机主时钟输入端（OSC_IN），经内部PLL倍频后最高可得到72MHz的系统时钟，用于同步MCU内部各外设的操作。</w:t>
      </w:r>
    </w:p>
    <w:p w14:paraId="74D13F9F">
      <w:pPr>
        <w:spacing w:line="240" w:lineRule="auto"/>
        <w:jc w:val="center"/>
        <w:rPr>
          <w:rFonts w:hint="eastAsia" w:eastAsia="宋体"/>
          <w:lang w:eastAsia="zh-CN"/>
        </w:rPr>
      </w:pPr>
      <w:r>
        <w:drawing>
          <wp:inline distT="0" distB="0" distL="114300" distR="114300">
            <wp:extent cx="4642485" cy="2877820"/>
            <wp:effectExtent l="0" t="0" r="5715" b="5080"/>
            <wp:docPr id="10"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4"/>
                    <pic:cNvPicPr>
                      <a:picLocks noChangeAspect="1"/>
                    </pic:cNvPicPr>
                  </pic:nvPicPr>
                  <pic:blipFill>
                    <a:blip r:embed="rId13"/>
                    <a:stretch>
                      <a:fillRect/>
                    </a:stretch>
                  </pic:blipFill>
                  <pic:spPr>
                    <a:xfrm>
                      <a:off x="0" y="0"/>
                      <a:ext cx="4642485" cy="2877820"/>
                    </a:xfrm>
                    <a:prstGeom prst="rect">
                      <a:avLst/>
                    </a:prstGeom>
                    <a:noFill/>
                    <a:ln>
                      <a:noFill/>
                    </a:ln>
                  </pic:spPr>
                </pic:pic>
              </a:graphicData>
            </a:graphic>
          </wp:inline>
        </w:drawing>
      </w:r>
    </w:p>
    <w:p w14:paraId="1A82ADFA">
      <w:pPr>
        <w:pStyle w:val="7"/>
        <w:spacing w:before="93" w:after="93"/>
      </w:pPr>
      <w:r>
        <w:rPr>
          <w:rFonts w:hint="eastAsia"/>
        </w:rPr>
        <w:t>图3.2 STM32F407VGT6最小系统</w:t>
      </w:r>
    </w:p>
    <w:p w14:paraId="22590300">
      <w:pPr>
        <w:pStyle w:val="4"/>
      </w:pPr>
      <w:bookmarkStart w:id="17" w:name="_Toc200699953"/>
      <w:r>
        <w:t>3</w:t>
      </w:r>
      <w:r>
        <w:rPr>
          <w:rFonts w:hint="eastAsia"/>
        </w:rPr>
        <w:t>.2.2</w:t>
      </w:r>
      <w:r>
        <w:t xml:space="preserve"> </w:t>
      </w:r>
      <w:r>
        <w:rPr>
          <w:rFonts w:hint="eastAsia"/>
        </w:rPr>
        <w:t>CAN通信电路</w:t>
      </w:r>
      <w:bookmarkEnd w:id="17"/>
    </w:p>
    <w:p w14:paraId="06E14BE2">
      <w:pPr>
        <w:ind w:firstLine="480" w:firstLineChars="200"/>
        <w:rPr>
          <w:rFonts w:hint="eastAsia"/>
        </w:rPr>
      </w:pPr>
      <w:r>
        <w:rPr>
          <w:rFonts w:hint="eastAsia"/>
        </w:rPr>
        <w:t>CAN总线是由德国博世公司开发的用于汽车通信的标准化串行通信协议，其出现不仅显著减少了控制器之间线束的数量与长度，还简化了局域网布线与电气架构。CAN总线具备完善的仲裁机制，在降低使用成本和维护成本的同时，提高了通信的可靠性与稳定性。接入CAN网络的节点通常有两种形式：一种由MCU、独立CAN控制器及CAN收发器构成；另一种则使用内部集成CAN控制器的主控芯片。本文选用的STM32F103C8T6内部已集成CAN控制器，因此只需外接CAN收发器即可满足通信需求，结构更为简洁。</w:t>
      </w:r>
    </w:p>
    <w:p w14:paraId="3DC197FC">
      <w:pPr>
        <w:ind w:firstLine="480" w:firstLineChars="200"/>
      </w:pPr>
      <w:r>
        <w:rPr>
          <w:rFonts w:hint="eastAsia"/>
        </w:rPr>
        <w:t>本系统选用TJA1050型CAN收发器（兼容TJA1051），该芯片为专用CAN收发器，最高支持1 Mbit/s波特率，传输速率快且具备差分信号抗干扰能力。收发器的引脚1（TXD）和引脚4（RXD）分别通过1kΩ电阻连接至STM32的CAN_TX（PA12）和CAN_RX（PA11）引脚；引脚2（GND）和引脚3（VCC）分别为电源地及5V供电；引脚6（CANL）和引脚7（CANH）输出差分总线信号。为保证信号传输稳定性，在CANH与CANL之间并联AESD24GB双向TVS管以吸收瞬态电磁干扰，同时串联ACT45B共模电感抑制共模辐射。此外，在CAN总线网络的两个终端处各接入120Ω终端电阻以消除信号反射，确保长距离通信的可靠性。</w:t>
      </w:r>
    </w:p>
    <w:p w14:paraId="46F06B46">
      <w:pPr>
        <w:spacing w:line="240" w:lineRule="auto"/>
        <w:jc w:val="center"/>
      </w:pPr>
      <w:r>
        <w:drawing>
          <wp:inline distT="0" distB="0" distL="114300" distR="114300">
            <wp:extent cx="3625850" cy="1024255"/>
            <wp:effectExtent l="0" t="0" r="0" b="0"/>
            <wp:docPr id="1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5"/>
                    <pic:cNvPicPr>
                      <a:picLocks noChangeAspect="1"/>
                    </pic:cNvPicPr>
                  </pic:nvPicPr>
                  <pic:blipFill>
                    <a:blip r:embed="rId14"/>
                    <a:srcRect b="18535"/>
                    <a:stretch>
                      <a:fillRect/>
                    </a:stretch>
                  </pic:blipFill>
                  <pic:spPr>
                    <a:xfrm>
                      <a:off x="0" y="0"/>
                      <a:ext cx="3625850" cy="1024255"/>
                    </a:xfrm>
                    <a:prstGeom prst="rect">
                      <a:avLst/>
                    </a:prstGeom>
                    <a:noFill/>
                    <a:ln>
                      <a:noFill/>
                    </a:ln>
                  </pic:spPr>
                </pic:pic>
              </a:graphicData>
            </a:graphic>
          </wp:inline>
        </w:drawing>
      </w:r>
    </w:p>
    <w:p w14:paraId="10503646">
      <w:pPr>
        <w:pStyle w:val="7"/>
        <w:spacing w:before="93" w:after="93"/>
        <w:rPr>
          <w:rFonts w:hint="eastAsia"/>
        </w:rPr>
      </w:pPr>
      <w:r>
        <w:rPr>
          <w:rFonts w:hint="eastAsia"/>
        </w:rPr>
        <w:t>图3.3 CAN通信电路</w:t>
      </w:r>
    </w:p>
    <w:p w14:paraId="28CEFE4F">
      <w:pPr>
        <w:pStyle w:val="4"/>
        <w:bidi w:val="0"/>
        <w:rPr>
          <w:rFonts w:hint="eastAsia"/>
        </w:rPr>
      </w:pPr>
      <w:r>
        <w:t>3</w:t>
      </w:r>
      <w:r>
        <w:rPr>
          <w:rFonts w:hint="eastAsia"/>
        </w:rPr>
        <w:t>.2.</w:t>
      </w:r>
      <w:r>
        <w:rPr>
          <w:rFonts w:hint="eastAsia"/>
          <w:lang w:val="en-US" w:eastAsia="zh-CN"/>
        </w:rPr>
        <w:t>3</w:t>
      </w:r>
      <w:r>
        <w:t xml:space="preserve"> </w:t>
      </w:r>
      <w:r>
        <w:rPr>
          <w:rFonts w:hint="eastAsia"/>
          <w:lang w:val="en-US" w:eastAsia="zh-CN"/>
        </w:rPr>
        <w:t>485</w:t>
      </w:r>
      <w:r>
        <w:rPr>
          <w:rFonts w:hint="eastAsia"/>
        </w:rPr>
        <w:t>通信电路</w:t>
      </w:r>
    </w:p>
    <w:p w14:paraId="4E7F317E">
      <w:pPr>
        <w:ind w:firstLine="480" w:firstLineChars="200"/>
        <w:rPr>
          <w:rFonts w:hint="eastAsia"/>
          <w:lang w:val="en-US" w:eastAsia="zh-CN"/>
        </w:rPr>
      </w:pPr>
      <w:r>
        <w:rPr>
          <w:rFonts w:hint="default"/>
          <w:lang w:val="en-US" w:eastAsia="zh-CN"/>
        </w:rPr>
        <w:t>RS485总线是一种基于平衡差分传输的工业现场总线标准，具有抗共模干扰能力强、传输距离远（可达1200m）及支持多点通信等优点，广泛应用于燃料电池控制系统与上位机或BMS之间的长距离数据交互。接入RS485网络的节点通常由MCU的USART接口与RS485收发器组成。本文选用的STM32F103C8T6内部集成USART控制器，因此仅需外接RS485收发器即可实现差分信号转换。</w:t>
      </w:r>
    </w:p>
    <w:p w14:paraId="5B3DDF92">
      <w:pPr>
        <w:ind w:firstLine="480" w:firstLineChars="200"/>
        <w:rPr>
          <w:rFonts w:hint="eastAsia" w:ascii="Times New Roman" w:hAnsi="Times New Roman" w:eastAsia="宋体" w:cstheme="minorBidi"/>
          <w:kern w:val="2"/>
          <w:sz w:val="24"/>
          <w:szCs w:val="22"/>
          <w:lang w:val="en-US" w:eastAsia="zh-CN" w:bidi="ar-SA"/>
        </w:rPr>
      </w:pPr>
      <w:r>
        <w:rPr>
          <w:rFonts w:hint="default"/>
          <w:lang w:val="en-US" w:eastAsia="zh-CN"/>
        </w:rPr>
        <w:t>本系统选用RSM485M型隔离收发器。该芯片将电源隔离、信号隔离及总线收发功能集成于一体，内部包含DC-DC隔离电源与磁耦隔离电路，可有效抑制共模干扰及地环路噪声。如图X所示，RSM485M的引脚1（RXD）与引脚2（TXD）分别通过10kΩ上拉电阻连接至STM32的USART接收（SCIRXD485）与发送（SCITXD485）引脚；引脚3（GND）接信号地；引脚4（VCC）接3.3V电源；引脚5（B）与引脚6（A）为差分总线端，分别串联60Ω电阻后接入共模电感ACT45B-510-2P的输入端；共模电感的输出端连接至485A与485B总线网络。为抑制总线上的瞬态过压干扰，在A、B线之间并联PESD1CAN双向TVS管（D1）及两个470pF/200V电容（C5、C5-1）到地；同时在A、B线对地并联100nF/1206/100V电容（C6）以滤除高频噪声。此外，总线两端各配置120Ω终端电阻（R6、R8）以消除信号反射，保证长距离通信的稳定性。该电路设计兼顾了电磁兼容性与信号完整性，可满足燃料电池控制系统在工业环境下的可靠通信需求。</w:t>
      </w:r>
    </w:p>
    <w:p w14:paraId="4BA94043">
      <w:pPr>
        <w:spacing w:line="240" w:lineRule="auto"/>
        <w:jc w:val="center"/>
      </w:pPr>
      <w:r>
        <w:drawing>
          <wp:inline distT="0" distB="0" distL="114300" distR="114300">
            <wp:extent cx="4204335" cy="1200785"/>
            <wp:effectExtent l="0" t="0" r="12065" b="5715"/>
            <wp:docPr id="18"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7"/>
                    <pic:cNvPicPr>
                      <a:picLocks noChangeAspect="1"/>
                    </pic:cNvPicPr>
                  </pic:nvPicPr>
                  <pic:blipFill>
                    <a:blip r:embed="rId15"/>
                    <a:stretch>
                      <a:fillRect/>
                    </a:stretch>
                  </pic:blipFill>
                  <pic:spPr>
                    <a:xfrm>
                      <a:off x="0" y="0"/>
                      <a:ext cx="4204335" cy="1200785"/>
                    </a:xfrm>
                    <a:prstGeom prst="rect">
                      <a:avLst/>
                    </a:prstGeom>
                    <a:noFill/>
                    <a:ln>
                      <a:noFill/>
                    </a:ln>
                  </pic:spPr>
                </pic:pic>
              </a:graphicData>
            </a:graphic>
          </wp:inline>
        </w:drawing>
      </w:r>
    </w:p>
    <w:p w14:paraId="3B6DECED">
      <w:pPr>
        <w:spacing w:line="240" w:lineRule="auto"/>
        <w:jc w:val="center"/>
        <w:rPr>
          <w:rFonts w:hint="eastAsia"/>
          <w:sz w:val="21"/>
          <w:szCs w:val="20"/>
        </w:rPr>
      </w:pPr>
      <w:r>
        <w:rPr>
          <w:rFonts w:hint="eastAsia"/>
          <w:sz w:val="21"/>
          <w:szCs w:val="20"/>
        </w:rPr>
        <w:t>图3.</w:t>
      </w:r>
      <w:r>
        <w:rPr>
          <w:rFonts w:hint="eastAsia"/>
          <w:sz w:val="21"/>
          <w:szCs w:val="20"/>
          <w:lang w:val="en-US" w:eastAsia="zh-CN"/>
        </w:rPr>
        <w:t>5  485</w:t>
      </w:r>
      <w:r>
        <w:rPr>
          <w:rFonts w:hint="eastAsia"/>
          <w:sz w:val="21"/>
          <w:szCs w:val="20"/>
        </w:rPr>
        <w:t>通信电路</w:t>
      </w:r>
    </w:p>
    <w:p w14:paraId="2012CAE2">
      <w:pPr>
        <w:pStyle w:val="4"/>
        <w:bidi w:val="0"/>
        <w:rPr>
          <w:rFonts w:hint="eastAsia"/>
          <w:lang w:val="en-US" w:eastAsia="zh-CN"/>
        </w:rPr>
      </w:pPr>
      <w:r>
        <w:t>3</w:t>
      </w:r>
      <w:r>
        <w:rPr>
          <w:rFonts w:hint="eastAsia"/>
        </w:rPr>
        <w:t>.2.</w:t>
      </w:r>
      <w:r>
        <w:rPr>
          <w:rFonts w:hint="eastAsia"/>
          <w:lang w:val="en-US" w:eastAsia="zh-CN"/>
        </w:rPr>
        <w:t>4</w:t>
      </w:r>
      <w:r>
        <w:t xml:space="preserve"> </w:t>
      </w:r>
      <w:r>
        <w:rPr>
          <w:rFonts w:hint="eastAsia"/>
          <w:lang w:val="en-US" w:eastAsia="zh-CN"/>
        </w:rPr>
        <w:t>氢气阀高边驱动</w:t>
      </w:r>
    </w:p>
    <w:p w14:paraId="5B8BA4C6">
      <w:pPr>
        <w:bidi w:val="0"/>
        <w:ind w:firstLine="420" w:firstLineChars="0"/>
        <w:rPr>
          <w:rFonts w:hint="eastAsia"/>
          <w:lang w:val="en-US" w:eastAsia="zh-CN"/>
        </w:rPr>
      </w:pPr>
      <w:r>
        <w:t>进氢阀与排氢阀均采用高边驱动方案，驱动电路如图X所示。MCU输出的控制信号（MOUT1、MOUT2）经限流电阻（R76、R74，510Ω）驱动光耦TLP181的输入端，光耦输出端驱动P沟道MOSFET IRFR5305的栅极。MOSFET源极接24V电源，漏极输出至阀体线圈。栅极并联10kΩ下拉电阻（R85、R202）确保关机时MOSFET可靠截止，源极与栅极间跨接10kΩ电阻（R83、R203）防止误导通。阀体线圈两端并联续流二极管SS36（D11、D13），用于吸收关断时产生的反向感应电动势，保护功率器件。该电路实现了控制信号与功率回路的电气隔离，增强了系统的抗干扰能力。</w:t>
      </w:r>
    </w:p>
    <w:p w14:paraId="5AE5C0AF">
      <w:pPr>
        <w:bidi w:val="0"/>
        <w:spacing w:line="360" w:lineRule="auto"/>
        <w:jc w:val="center"/>
      </w:pPr>
      <w:r>
        <w:drawing>
          <wp:inline distT="0" distB="0" distL="114300" distR="114300">
            <wp:extent cx="3322320" cy="2240915"/>
            <wp:effectExtent l="0" t="0" r="5080" b="6985"/>
            <wp:docPr id="19"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8"/>
                    <pic:cNvPicPr>
                      <a:picLocks noChangeAspect="1"/>
                    </pic:cNvPicPr>
                  </pic:nvPicPr>
                  <pic:blipFill>
                    <a:blip r:embed="rId16"/>
                    <a:srcRect b="1905"/>
                    <a:stretch>
                      <a:fillRect/>
                    </a:stretch>
                  </pic:blipFill>
                  <pic:spPr>
                    <a:xfrm>
                      <a:off x="0" y="0"/>
                      <a:ext cx="3322320" cy="2240915"/>
                    </a:xfrm>
                    <a:prstGeom prst="rect">
                      <a:avLst/>
                    </a:prstGeom>
                    <a:noFill/>
                    <a:ln>
                      <a:noFill/>
                    </a:ln>
                  </pic:spPr>
                </pic:pic>
              </a:graphicData>
            </a:graphic>
          </wp:inline>
        </w:drawing>
      </w:r>
    </w:p>
    <w:p w14:paraId="3B2CABDA">
      <w:pPr>
        <w:bidi w:val="0"/>
        <w:spacing w:line="360" w:lineRule="auto"/>
        <w:jc w:val="center"/>
        <w:rPr>
          <w:rFonts w:hint="eastAsia"/>
          <w:sz w:val="21"/>
          <w:szCs w:val="20"/>
          <w:lang w:val="en-US" w:eastAsia="zh-CN"/>
        </w:rPr>
      </w:pPr>
      <w:r>
        <w:rPr>
          <w:rFonts w:hint="eastAsia"/>
          <w:sz w:val="21"/>
          <w:szCs w:val="20"/>
        </w:rPr>
        <w:t>图3.</w:t>
      </w:r>
      <w:r>
        <w:rPr>
          <w:rFonts w:hint="eastAsia"/>
          <w:sz w:val="21"/>
          <w:szCs w:val="20"/>
          <w:lang w:val="en-US" w:eastAsia="zh-CN"/>
        </w:rPr>
        <w:t>6 两路氢气阀驱动</w:t>
      </w:r>
    </w:p>
    <w:p w14:paraId="30EC3D6E">
      <w:pPr>
        <w:pStyle w:val="4"/>
        <w:bidi w:val="0"/>
        <w:rPr>
          <w:rFonts w:hint="eastAsia"/>
          <w:lang w:val="en-US" w:eastAsia="zh-CN"/>
        </w:rPr>
      </w:pPr>
      <w:r>
        <w:t>3</w:t>
      </w:r>
      <w:r>
        <w:rPr>
          <w:rFonts w:hint="eastAsia"/>
        </w:rPr>
        <w:t>.2.</w:t>
      </w:r>
      <w:r>
        <w:rPr>
          <w:rFonts w:hint="eastAsia"/>
          <w:lang w:val="en-US" w:eastAsia="zh-CN"/>
        </w:rPr>
        <w:t>5</w:t>
      </w:r>
      <w:r>
        <w:t xml:space="preserve"> </w:t>
      </w:r>
      <w:r>
        <w:rPr>
          <w:rFonts w:hint="eastAsia"/>
          <w:lang w:val="en-US" w:eastAsia="zh-CN"/>
        </w:rPr>
        <w:t>48V风扇控制</w:t>
      </w:r>
    </w:p>
    <w:p w14:paraId="0B344FC6">
      <w:pPr>
        <w:ind w:firstLine="420" w:firstLineChars="0"/>
        <w:rPr>
          <w:rFonts w:hint="eastAsia"/>
          <w:lang w:val="en-US" w:eastAsia="zh-CN"/>
        </w:rPr>
      </w:pPr>
      <w:r>
        <w:rPr>
          <w:rFonts w:ascii="宋体" w:hAnsi="宋体" w:eastAsia="宋体" w:cs="宋体"/>
          <w:sz w:val="24"/>
          <w:szCs w:val="24"/>
        </w:rPr>
        <w:t>本系统设计了光耦隔离 P-MOS 高边开关 + 独立 PWM 调速的 48V 风扇驱动电路，采用 TLP181 光耦实现主控 3.3V 数字电路与 48V 功率回路的强弱电隔离，通过 SUD50P10-43L-TP P-MOS 管实现风扇电源的通断控制，最大驱动电流可达 3A，同时搭配 AO3400 N-MOS 管构建独立调速支路，支持 0~100% 占空比无级调速，适配 3 线及 4 线工业散热风扇；电路集成 MMSZ5245B 栅极稳压、SS310 续流二极管及栅极下拉电阻多重保护，可有效抑制电压尖峰与静电误导通，软件可根据电堆温度动态调节风扇转速，并通过预留的 FG 转速反馈接口实现堵转故障检测，满足 300W 燃料电池电堆的散热与安全运行需求。</w:t>
      </w:r>
    </w:p>
    <w:p w14:paraId="46083C23">
      <w:pPr>
        <w:spacing w:line="360" w:lineRule="auto"/>
        <w:jc w:val="center"/>
      </w:pPr>
      <w:r>
        <w:drawing>
          <wp:inline distT="0" distB="0" distL="114300" distR="114300">
            <wp:extent cx="4060825" cy="2342515"/>
            <wp:effectExtent l="0" t="0" r="3175" b="6985"/>
            <wp:docPr id="21"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9"/>
                    <pic:cNvPicPr>
                      <a:picLocks noChangeAspect="1"/>
                    </pic:cNvPicPr>
                  </pic:nvPicPr>
                  <pic:blipFill>
                    <a:blip r:embed="rId17"/>
                    <a:stretch>
                      <a:fillRect/>
                    </a:stretch>
                  </pic:blipFill>
                  <pic:spPr>
                    <a:xfrm>
                      <a:off x="0" y="0"/>
                      <a:ext cx="4060825" cy="2342515"/>
                    </a:xfrm>
                    <a:prstGeom prst="rect">
                      <a:avLst/>
                    </a:prstGeom>
                    <a:noFill/>
                    <a:ln>
                      <a:noFill/>
                    </a:ln>
                  </pic:spPr>
                </pic:pic>
              </a:graphicData>
            </a:graphic>
          </wp:inline>
        </w:drawing>
      </w:r>
    </w:p>
    <w:p w14:paraId="00F402C5">
      <w:pPr>
        <w:spacing w:line="360" w:lineRule="auto"/>
        <w:jc w:val="center"/>
        <w:rPr>
          <w:rFonts w:hint="eastAsia"/>
          <w:sz w:val="21"/>
          <w:szCs w:val="20"/>
          <w:lang w:val="en-US" w:eastAsia="zh-CN"/>
        </w:rPr>
      </w:pPr>
      <w:r>
        <w:rPr>
          <w:rFonts w:hint="eastAsia"/>
          <w:sz w:val="21"/>
          <w:szCs w:val="20"/>
        </w:rPr>
        <w:t>图3.</w:t>
      </w:r>
      <w:r>
        <w:rPr>
          <w:rFonts w:hint="eastAsia"/>
          <w:sz w:val="21"/>
          <w:szCs w:val="20"/>
          <w:lang w:val="en-US" w:eastAsia="zh-CN"/>
        </w:rPr>
        <w:t>4 48V风扇驱动电路</w:t>
      </w:r>
    </w:p>
    <w:p w14:paraId="18C91553">
      <w:pPr>
        <w:pStyle w:val="4"/>
        <w:bidi w:val="0"/>
        <w:rPr>
          <w:rFonts w:hint="default"/>
          <w:lang w:val="en-US" w:eastAsia="zh-CN"/>
        </w:rPr>
      </w:pPr>
      <w:r>
        <w:t>3</w:t>
      </w:r>
      <w:r>
        <w:rPr>
          <w:rFonts w:hint="eastAsia"/>
        </w:rPr>
        <w:t>.2.</w:t>
      </w:r>
      <w:r>
        <w:rPr>
          <w:rFonts w:hint="eastAsia"/>
          <w:lang w:val="en-US" w:eastAsia="zh-CN"/>
        </w:rPr>
        <w:t>5</w:t>
      </w:r>
      <w:r>
        <w:t xml:space="preserve"> </w:t>
      </w:r>
      <w:r>
        <w:rPr>
          <w:rFonts w:hint="eastAsia"/>
          <w:lang w:val="en-US" w:eastAsia="zh-CN"/>
        </w:rPr>
        <w:t>两路温度采集</w:t>
      </w:r>
    </w:p>
    <w:p w14:paraId="75D3F40D">
      <w:pPr>
        <w:bidi w:val="0"/>
        <w:rPr>
          <w:rFonts w:hint="eastAsia"/>
          <w:lang w:val="en-US" w:eastAsia="zh-CN"/>
        </w:rPr>
      </w:pPr>
    </w:p>
    <w:p w14:paraId="46E3082F">
      <w:pPr>
        <w:spacing w:line="360" w:lineRule="auto"/>
        <w:jc w:val="center"/>
        <w:rPr>
          <w:rFonts w:hint="default"/>
          <w:sz w:val="21"/>
          <w:szCs w:val="20"/>
          <w:lang w:val="en-US" w:eastAsia="zh-CN"/>
        </w:rPr>
      </w:pPr>
      <w:r>
        <w:drawing>
          <wp:inline distT="0" distB="0" distL="114300" distR="114300">
            <wp:extent cx="1150620" cy="2898775"/>
            <wp:effectExtent l="0" t="0" r="5080" b="9525"/>
            <wp:docPr id="22"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0"/>
                    <pic:cNvPicPr>
                      <a:picLocks noChangeAspect="1"/>
                    </pic:cNvPicPr>
                  </pic:nvPicPr>
                  <pic:blipFill>
                    <a:blip r:embed="rId18"/>
                    <a:stretch>
                      <a:fillRect/>
                    </a:stretch>
                  </pic:blipFill>
                  <pic:spPr>
                    <a:xfrm>
                      <a:off x="0" y="0"/>
                      <a:ext cx="1150620" cy="2898775"/>
                    </a:xfrm>
                    <a:prstGeom prst="rect">
                      <a:avLst/>
                    </a:prstGeom>
                    <a:noFill/>
                    <a:ln>
                      <a:noFill/>
                    </a:ln>
                  </pic:spPr>
                </pic:pic>
              </a:graphicData>
            </a:graphic>
          </wp:inline>
        </w:drawing>
      </w:r>
      <w:bookmarkStart w:id="69" w:name="_GoBack"/>
      <w:bookmarkEnd w:id="69"/>
    </w:p>
    <w:p w14:paraId="264D8C86">
      <w:pPr>
        <w:pStyle w:val="3"/>
      </w:pPr>
      <w:bookmarkStart w:id="18" w:name="_Toc200699956"/>
      <w:r>
        <w:rPr>
          <w:rFonts w:hint="eastAsia"/>
        </w:rPr>
        <w:t>3.3</w:t>
      </w:r>
      <w:r>
        <w:t xml:space="preserve"> </w:t>
      </w:r>
      <w:r>
        <w:rPr>
          <w:rFonts w:hint="eastAsia"/>
        </w:rPr>
        <w:t>从控单元硬件电路设计</w:t>
      </w:r>
      <w:bookmarkEnd w:id="18"/>
    </w:p>
    <w:p w14:paraId="0814B910">
      <w:pPr>
        <w:pStyle w:val="4"/>
      </w:pPr>
      <w:bookmarkStart w:id="19" w:name="_Toc22326"/>
      <w:bookmarkStart w:id="20" w:name="_Toc169728909"/>
      <w:bookmarkStart w:id="21" w:name="_Toc200699957"/>
      <w:r>
        <w:t>3</w:t>
      </w:r>
      <w:r>
        <w:rPr>
          <w:rFonts w:hint="eastAsia"/>
        </w:rPr>
        <w:t>.3.1</w:t>
      </w:r>
      <w:r>
        <w:t xml:space="preserve"> </w:t>
      </w:r>
      <w:r>
        <w:rPr>
          <w:rFonts w:hint="eastAsia"/>
        </w:rPr>
        <w:t>电源电路</w:t>
      </w:r>
      <w:bookmarkEnd w:id="19"/>
      <w:bookmarkEnd w:id="20"/>
      <w:bookmarkEnd w:id="21"/>
    </w:p>
    <w:p w14:paraId="1E0C6020">
      <w:pPr>
        <w:ind w:firstLine="480" w:firstLineChars="200"/>
      </w:pPr>
      <w:r>
        <w:t>系统采用可扩展式锂离子电池组架构，</w:t>
      </w:r>
      <w:r>
        <w:rPr>
          <w:rFonts w:hint="eastAsia"/>
        </w:rPr>
        <w:t>可以</w:t>
      </w:r>
      <w:r>
        <w:t>配置8-20节</w:t>
      </w:r>
      <w:r>
        <w:rPr>
          <w:rFonts w:hint="eastAsia"/>
        </w:rPr>
        <w:t>5550</w:t>
      </w:r>
      <w:r>
        <w:t>m</w:t>
      </w:r>
      <w:r>
        <w:rPr>
          <w:rFonts w:hint="eastAsia"/>
        </w:rPr>
        <w:t>W</w:t>
      </w:r>
      <w:r>
        <w:t>h锂电池串联工作。根据应用场景需求，电池组标称电压范围覆盖29.6V（8S）至74V（20S），满电电压最高可达84V（20S×4.2V）</w:t>
      </w:r>
      <w:r>
        <w:rPr>
          <w:rFonts w:hint="eastAsia"/>
        </w:rPr>
        <w:t>。本文使用串联后的电池组提供电源，经过LX-8015S降压模块后输出5V，再由AMS1117将电压转换为3.3V。图3.</w:t>
      </w:r>
      <w:r>
        <w:t>6</w:t>
      </w:r>
      <w:r>
        <w:rPr>
          <w:rFonts w:hint="eastAsia"/>
        </w:rPr>
        <w:t>为5V电源模块，该模块输入电压为5-80V的宽电压输入，峰值电流为1.5A，能很好的满足串联后的电池组电压。图3.</w:t>
      </w:r>
      <w:r>
        <w:t>7</w:t>
      </w:r>
      <w:r>
        <w:rPr>
          <w:rFonts w:hint="eastAsia"/>
        </w:rPr>
        <w:t>为3.3V电源电路，稳压芯片ASM</w:t>
      </w:r>
      <w:r>
        <w:t>1117</w:t>
      </w:r>
      <w:r>
        <w:rPr>
          <w:rFonts w:hint="eastAsia"/>
        </w:rPr>
        <w:t>能将5V转换为3</w:t>
      </w:r>
      <w:r>
        <w:t>.3V</w:t>
      </w:r>
      <w:r>
        <w:rPr>
          <w:rFonts w:hint="eastAsia"/>
        </w:rPr>
        <w:t>电压供单片机使用。</w:t>
      </w:r>
    </w:p>
    <w:p w14:paraId="5BD05FC6">
      <w:pPr>
        <w:pStyle w:val="59"/>
        <w:ind w:left="480"/>
      </w:pPr>
      <w:r>
        <w:drawing>
          <wp:inline distT="0" distB="0" distL="0" distR="0">
            <wp:extent cx="2411730" cy="921385"/>
            <wp:effectExtent l="0" t="0" r="7620" b="0"/>
            <wp:docPr id="1945105834" name="图片 1" descr="日程表&#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105834" name="图片 1" descr="日程表&#10;&#10;中度可信度描述已自动生成"/>
                    <pic:cNvPicPr>
                      <a:picLocks noChangeAspect="1"/>
                    </pic:cNvPicPr>
                  </pic:nvPicPr>
                  <pic:blipFill>
                    <a:blip r:embed="rId19"/>
                    <a:srcRect t="33728"/>
                    <a:stretch>
                      <a:fillRect/>
                    </a:stretch>
                  </pic:blipFill>
                  <pic:spPr>
                    <a:xfrm>
                      <a:off x="0" y="0"/>
                      <a:ext cx="2412000" cy="921600"/>
                    </a:xfrm>
                    <a:prstGeom prst="rect">
                      <a:avLst/>
                    </a:prstGeom>
                    <a:ln>
                      <a:noFill/>
                    </a:ln>
                  </pic:spPr>
                </pic:pic>
              </a:graphicData>
            </a:graphic>
          </wp:inline>
        </w:drawing>
      </w:r>
    </w:p>
    <w:p w14:paraId="63F718F4">
      <w:pPr>
        <w:pStyle w:val="7"/>
        <w:spacing w:before="93" w:after="93"/>
      </w:pPr>
      <w:r>
        <w:rPr>
          <w:rFonts w:hint="eastAsia"/>
        </w:rPr>
        <w:t>图3.</w:t>
      </w:r>
      <w:r>
        <w:t>6</w:t>
      </w:r>
      <w:r>
        <w:rPr>
          <w:rFonts w:hint="eastAsia"/>
        </w:rPr>
        <w:t xml:space="preserve"> +</w:t>
      </w:r>
      <w:r>
        <w:t>5V</w:t>
      </w:r>
      <w:r>
        <w:rPr>
          <w:rFonts w:hint="eastAsia"/>
        </w:rPr>
        <w:t>电源电路</w:t>
      </w:r>
    </w:p>
    <w:p w14:paraId="1985234E">
      <w:pPr>
        <w:pStyle w:val="59"/>
        <w:spacing w:before="93" w:after="93"/>
        <w:ind w:left="480"/>
      </w:pPr>
      <w:r>
        <w:drawing>
          <wp:inline distT="0" distB="0" distL="0" distR="0">
            <wp:extent cx="3099435" cy="1025525"/>
            <wp:effectExtent l="0" t="0" r="5715" b="3175"/>
            <wp:docPr id="1224213230"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213230" name="图片 1" descr="图示&#10;&#10;描述已自动生成"/>
                    <pic:cNvPicPr>
                      <a:picLocks noChangeAspect="1"/>
                    </pic:cNvPicPr>
                  </pic:nvPicPr>
                  <pic:blipFill>
                    <a:blip r:embed="rId20"/>
                    <a:srcRect t="21786"/>
                    <a:stretch>
                      <a:fillRect/>
                    </a:stretch>
                  </pic:blipFill>
                  <pic:spPr>
                    <a:xfrm>
                      <a:off x="0" y="0"/>
                      <a:ext cx="3099600" cy="1026000"/>
                    </a:xfrm>
                    <a:prstGeom prst="rect">
                      <a:avLst/>
                    </a:prstGeom>
                    <a:ln>
                      <a:noFill/>
                    </a:ln>
                  </pic:spPr>
                </pic:pic>
              </a:graphicData>
            </a:graphic>
          </wp:inline>
        </w:drawing>
      </w:r>
    </w:p>
    <w:p w14:paraId="23A838EF">
      <w:pPr>
        <w:pStyle w:val="7"/>
        <w:spacing w:before="93" w:after="93"/>
      </w:pPr>
      <w:r>
        <w:rPr>
          <w:rFonts w:hint="eastAsia"/>
        </w:rPr>
        <w:t>图3</w:t>
      </w:r>
      <w:r>
        <w:t>.7</w:t>
      </w:r>
      <w:r>
        <w:rPr>
          <w:rFonts w:hint="eastAsia"/>
        </w:rPr>
        <w:t xml:space="preserve"> +</w:t>
      </w:r>
      <w:r>
        <w:t>3.3V</w:t>
      </w:r>
      <w:r>
        <w:rPr>
          <w:rFonts w:hint="eastAsia"/>
        </w:rPr>
        <w:t>电源电路</w:t>
      </w:r>
    </w:p>
    <w:p w14:paraId="079CFB40">
      <w:pPr>
        <w:pStyle w:val="4"/>
      </w:pPr>
      <w:bookmarkStart w:id="22" w:name="_Toc169728910"/>
      <w:bookmarkStart w:id="23" w:name="_Toc108972943"/>
      <w:bookmarkStart w:id="24" w:name="_Toc108970359"/>
      <w:bookmarkStart w:id="25" w:name="_Toc200699958"/>
      <w:r>
        <w:t>3.</w:t>
      </w:r>
      <w:r>
        <w:rPr>
          <w:rFonts w:hint="eastAsia"/>
        </w:rPr>
        <w:t>3</w:t>
      </w:r>
      <w:r>
        <w:t xml:space="preserve">.2 </w:t>
      </w:r>
      <w:r>
        <w:rPr>
          <w:rFonts w:hint="eastAsia"/>
        </w:rPr>
        <w:t>最小系统电路</w:t>
      </w:r>
      <w:bookmarkEnd w:id="22"/>
      <w:bookmarkEnd w:id="23"/>
      <w:bookmarkEnd w:id="24"/>
      <w:bookmarkEnd w:id="25"/>
    </w:p>
    <w:p w14:paraId="2C5F723C">
      <w:pPr>
        <w:ind w:firstLine="480"/>
      </w:pPr>
      <w:r>
        <w:t>STM32F103C8T6</w:t>
      </w:r>
      <w:r>
        <w:rPr>
          <w:rFonts w:hint="eastAsia"/>
        </w:rPr>
        <w:t>最小系统原理图如图3</w:t>
      </w:r>
      <w:r>
        <w:t>.8</w:t>
      </w:r>
      <w:r>
        <w:rPr>
          <w:rFonts w:hint="eastAsia"/>
        </w:rPr>
        <w:t>所示，</w:t>
      </w:r>
      <w:bookmarkStart w:id="26" w:name="_Hlk108368172"/>
      <w:r>
        <w:t>由于其出色的性价比、低功耗和丰富的外设集成，</w:t>
      </w:r>
      <w:r>
        <w:rPr>
          <w:rFonts w:hint="eastAsia"/>
        </w:rPr>
        <w:t>因此本文选</w:t>
      </w:r>
      <w:r>
        <w:t>其</w:t>
      </w:r>
      <w:r>
        <w:rPr>
          <w:rFonts w:hint="eastAsia"/>
        </w:rPr>
        <w:t>应用电池管理系统中</w:t>
      </w:r>
      <w:r>
        <w:t>。</w:t>
      </w:r>
      <w:bookmarkEnd w:id="26"/>
      <w:r>
        <w:rPr>
          <w:rFonts w:hint="eastAsia"/>
        </w:rPr>
        <w:t>除了单片机本体外，采用与主控单元相似的晶振电路、复位电路和下载电路。</w:t>
      </w:r>
    </w:p>
    <w:p w14:paraId="64AE332C">
      <w:pPr>
        <w:spacing w:line="240" w:lineRule="auto"/>
      </w:pPr>
      <w:r>
        <w:drawing>
          <wp:inline distT="0" distB="0" distL="0" distR="0">
            <wp:extent cx="5278120" cy="2938145"/>
            <wp:effectExtent l="0" t="0" r="0" b="0"/>
            <wp:docPr id="425938382"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38382" name="图片 1" descr="图示, 示意图&#10;&#10;描述已自动生成"/>
                    <pic:cNvPicPr>
                      <a:picLocks noChangeAspect="1"/>
                    </pic:cNvPicPr>
                  </pic:nvPicPr>
                  <pic:blipFill>
                    <a:blip r:embed="rId21"/>
                    <a:stretch>
                      <a:fillRect/>
                    </a:stretch>
                  </pic:blipFill>
                  <pic:spPr>
                    <a:xfrm>
                      <a:off x="0" y="0"/>
                      <a:ext cx="5278120" cy="2938145"/>
                    </a:xfrm>
                    <a:prstGeom prst="rect">
                      <a:avLst/>
                    </a:prstGeom>
                  </pic:spPr>
                </pic:pic>
              </a:graphicData>
            </a:graphic>
          </wp:inline>
        </w:drawing>
      </w:r>
    </w:p>
    <w:p w14:paraId="09EE14DA">
      <w:pPr>
        <w:pStyle w:val="7"/>
        <w:spacing w:before="93" w:after="93"/>
      </w:pPr>
      <w:r>
        <w:rPr>
          <w:rFonts w:hint="eastAsia"/>
        </w:rPr>
        <w:t>图</w:t>
      </w:r>
      <w:r>
        <w:t>3.8 STM32F103C8T6</w:t>
      </w:r>
      <w:r>
        <w:rPr>
          <w:rFonts w:hint="eastAsia"/>
        </w:rPr>
        <w:t>最小系统原理图</w:t>
      </w:r>
    </w:p>
    <w:p w14:paraId="0DA297F6">
      <w:pPr>
        <w:pStyle w:val="4"/>
      </w:pPr>
      <w:bookmarkStart w:id="27" w:name="_Toc200699959"/>
      <w:bookmarkStart w:id="28" w:name="_Toc169728911"/>
      <w:bookmarkStart w:id="29" w:name="_Toc100584087"/>
      <w:bookmarkStart w:id="30" w:name="_Toc99742287"/>
      <w:r>
        <w:rPr>
          <w:rFonts w:hint="eastAsia"/>
        </w:rPr>
        <w:t>3</w:t>
      </w:r>
      <w:r>
        <w:t>.</w:t>
      </w:r>
      <w:r>
        <w:rPr>
          <w:rFonts w:hint="eastAsia"/>
        </w:rPr>
        <w:t>3</w:t>
      </w:r>
      <w:r>
        <w:t xml:space="preserve">.3 </w:t>
      </w:r>
      <w:r>
        <w:rPr>
          <w:rFonts w:hint="eastAsia"/>
        </w:rPr>
        <w:t>电压采集及均衡电路设计</w:t>
      </w:r>
      <w:bookmarkEnd w:id="27"/>
    </w:p>
    <w:p w14:paraId="31AC64A7">
      <w:pPr>
        <w:ind w:firstLine="480" w:firstLineChars="200"/>
      </w:pPr>
      <w:r>
        <w:rPr>
          <w:rFonts w:hint="eastAsia"/>
        </w:rPr>
        <w:t>单体电压采集电路是电池管理系统中的重要组成部分，用于实时监测电池组中每个单体电池的电压，并进行采样和处理，电压采样电路用于将电池单体电压转换为可读取的电压信号。通常采用分压电路的方式，包括一个高阻值分压电阻和一个低阻值保护电阻，保护电阻主要用于保护电路和提高稳定性[41]。如图3.</w:t>
      </w:r>
      <w:r>
        <w:t>9</w:t>
      </w:r>
      <w:r>
        <w:rPr>
          <w:rFonts w:hint="eastAsia"/>
        </w:rPr>
        <w:t>所示是利用模拟前端芯片BQ76930采集10串单体电压的原理图：VC0到VC10分别连接着第1节到第10节电池，这些连接用于将各个电池单体的电压信号传递给电池管理系统。这样的设计可以实现对每个电池单体的电压进行监测和采集，以便系统能够准确了解整个电池组的状态。此外，连接到第1节到第10节电池的电压信号通过BQ769330内部的14位ADC（模数转换器）进行采集。系统可以精确地将每个电池单体的电压转换为数字信号，以便后续的处理和分析。这种采集方式可以帮助系统及时检测电池组中任何一个单体电池的异常情况，从而保证整个电池系统的安全性和可靠性。</w:t>
      </w:r>
    </w:p>
    <w:p w14:paraId="3D9E1B8E">
      <w:pPr>
        <w:ind w:firstLine="480" w:firstLineChars="200"/>
      </w:pPr>
      <w:r>
        <w:rPr>
          <w:rFonts w:hint="eastAsia"/>
        </w:rPr>
        <w:t>被动均衡是一种相对简单的电池均衡技术，其最大的优点在于成本较低，对于主动均衡，被动均衡技术并不需要额外的均衡电路或电压转换器。电池组中的某些元件（如电阻或开关）可以自行进行能量转移，实现电压均衡的目的。这种方法不需要精确控制每个单体电池的电压，因此实现起来相对简单。被动均衡不需要额外的电路支持，因此适合用于小型电池组，如电动自行车、手持设备等。这种情况下，主动均衡显得过于复杂和昂贵，而被动均衡则能够提供基本的电压均衡功能，满足电池组的要求。尽管被动均衡技术不能像主动均衡那样精确控制每个单体电池的电压，但它仍然能够部分地减少电池单体之间的电压差异，从而减轻了电池组的压力。长期使用下来，这种均衡方式能够提高电池组的寿命。在本次设计中电池容量相对较低，所以本设计采用被动均衡。如</w:t>
      </w:r>
      <w:r>
        <w:t>图</w:t>
      </w:r>
      <w:r>
        <w:rPr>
          <w:rFonts w:hint="eastAsia"/>
        </w:rPr>
        <w:t>3.5</w:t>
      </w:r>
      <w:r>
        <w:t>中使用红色方框圈出的是均衡电路，</w:t>
      </w:r>
      <w:r>
        <w:rPr>
          <w:rFonts w:hint="eastAsia"/>
        </w:rPr>
        <w:t>在电池的正负两端CELL1和CELL2之间并联一个1K的电阻图中为R94，当BQ76940 芯片控制MOS管如图Q28打开时，电池和串联的电阻R94形成了回路，电阻发热进行多余电量消耗。</w:t>
      </w:r>
    </w:p>
    <w:p w14:paraId="7593FBF6">
      <w:pPr>
        <w:spacing w:line="240" w:lineRule="auto"/>
      </w:pPr>
      <w:r>
        <w:drawing>
          <wp:inline distT="0" distB="0" distL="0" distR="0">
            <wp:extent cx="5278120" cy="4639945"/>
            <wp:effectExtent l="0" t="0" r="0"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278120" cy="4639945"/>
                    </a:xfrm>
                    <a:prstGeom prst="rect">
                      <a:avLst/>
                    </a:prstGeom>
                    <a:noFill/>
                    <a:ln>
                      <a:noFill/>
                    </a:ln>
                  </pic:spPr>
                </pic:pic>
              </a:graphicData>
            </a:graphic>
          </wp:inline>
        </w:drawing>
      </w:r>
    </w:p>
    <w:p w14:paraId="4936035A">
      <w:pPr>
        <w:pStyle w:val="7"/>
        <w:spacing w:before="93" w:after="93"/>
      </w:pPr>
      <w:r>
        <w:rPr>
          <w:rFonts w:hint="eastAsia"/>
        </w:rPr>
        <w:t>图3.</w:t>
      </w:r>
      <w:r>
        <w:t>9</w:t>
      </w:r>
      <w:r>
        <w:rPr>
          <w:rFonts w:hint="eastAsia"/>
        </w:rPr>
        <w:t xml:space="preserve"> 电压采集及均衡电路</w:t>
      </w:r>
    </w:p>
    <w:p w14:paraId="382B7E9E">
      <w:pPr>
        <w:pStyle w:val="4"/>
      </w:pPr>
      <w:bookmarkStart w:id="31" w:name="_Toc200699960"/>
      <w:r>
        <w:rPr>
          <w:rFonts w:hint="eastAsia"/>
        </w:rPr>
        <w:t>3</w:t>
      </w:r>
      <w:r>
        <w:t>.</w:t>
      </w:r>
      <w:r>
        <w:rPr>
          <w:rFonts w:hint="eastAsia"/>
        </w:rPr>
        <w:t>3</w:t>
      </w:r>
      <w:r>
        <w:t>.</w:t>
      </w:r>
      <w:r>
        <w:rPr>
          <w:rFonts w:hint="eastAsia"/>
        </w:rPr>
        <w:t>4</w:t>
      </w:r>
      <w:r>
        <w:t xml:space="preserve"> </w:t>
      </w:r>
      <w:bookmarkEnd w:id="28"/>
      <w:bookmarkEnd w:id="29"/>
      <w:bookmarkEnd w:id="30"/>
      <w:r>
        <w:rPr>
          <w:rFonts w:hint="eastAsia"/>
        </w:rPr>
        <w:t>电池组充放电电路</w:t>
      </w:r>
      <w:bookmarkEnd w:id="31"/>
    </w:p>
    <w:p w14:paraId="77A554F4">
      <w:pPr>
        <w:pStyle w:val="8"/>
        <w:ind w:firstLine="482"/>
      </w:pPr>
      <w:r>
        <w:rPr>
          <w:rFonts w:hint="eastAsia"/>
        </w:rPr>
        <w:t>充放电回路设计是指用于控制电池充放电过程的电路设计，充放电回路需要考虑电池特性、安全保护、控制逻辑等多方面因素，通过系统设计和实现，实现对电池充放电过程的有效控制和保护本次BMS系统充放电回路如图</w:t>
      </w:r>
      <w:r>
        <w:t>3</w:t>
      </w:r>
      <w:r>
        <w:rPr>
          <w:rFonts w:hint="eastAsia"/>
        </w:rPr>
        <w:t>.</w:t>
      </w:r>
      <w:r>
        <w:t>10</w:t>
      </w:r>
      <w:r>
        <w:rPr>
          <w:rFonts w:hint="eastAsia"/>
        </w:rPr>
        <w:t>所示，充放电回路设计思路如下：</w:t>
      </w:r>
    </w:p>
    <w:p w14:paraId="1CB90184">
      <w:pPr>
        <w:pStyle w:val="8"/>
        <w:ind w:firstLine="482"/>
      </w:pPr>
      <w:r>
        <w:rPr>
          <w:rFonts w:hint="eastAsia"/>
        </w:rPr>
        <w:t>充电回路的工作顺序如下：首先，充电器的正极连接到DC1，将电流引入电池的正极VBAT2，然后经过电池内部，通过Q15、Q16和Q17进行控制管理，流向电池的负极VBAT-，返回到DC1连接点，最终回到充电器，完成充电循环。</w:t>
      </w:r>
    </w:p>
    <w:p w14:paraId="007BD596">
      <w:pPr>
        <w:pStyle w:val="8"/>
        <w:ind w:firstLine="482"/>
      </w:pPr>
      <w:r>
        <w:rPr>
          <w:rFonts w:hint="eastAsia"/>
        </w:rPr>
        <w:t>放电回路则按以下步骤运作：电流从电池的正极VBAT2出发，通过负载消耗电能，随后，经过Q18、Q19和Q20的控制管理，电流再次流向电池的负极VBAT-，实现电池放电过程的闭环循环。</w:t>
      </w:r>
    </w:p>
    <w:p w14:paraId="29BD8A8D">
      <w:pPr>
        <w:pStyle w:val="8"/>
        <w:spacing w:line="240" w:lineRule="auto"/>
        <w:jc w:val="center"/>
      </w:pPr>
      <w:r>
        <w:drawing>
          <wp:inline distT="0" distB="0" distL="0" distR="0">
            <wp:extent cx="5004435" cy="3908425"/>
            <wp:effectExtent l="0" t="0" r="5715" b="0"/>
            <wp:docPr id="1435409517"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09517" name="图片 1" descr="图示&#10;&#10;描述已自动生成"/>
                    <pic:cNvPicPr>
                      <a:picLocks noChangeAspect="1"/>
                    </pic:cNvPicPr>
                  </pic:nvPicPr>
                  <pic:blipFill>
                    <a:blip r:embed="rId23"/>
                    <a:stretch>
                      <a:fillRect/>
                    </a:stretch>
                  </pic:blipFill>
                  <pic:spPr>
                    <a:xfrm>
                      <a:off x="0" y="0"/>
                      <a:ext cx="5006860" cy="3910555"/>
                    </a:xfrm>
                    <a:prstGeom prst="rect">
                      <a:avLst/>
                    </a:prstGeom>
                  </pic:spPr>
                </pic:pic>
              </a:graphicData>
            </a:graphic>
          </wp:inline>
        </w:drawing>
      </w:r>
    </w:p>
    <w:p w14:paraId="6778F965">
      <w:pPr>
        <w:pStyle w:val="7"/>
        <w:spacing w:before="93" w:after="93"/>
      </w:pPr>
      <w:r>
        <w:rPr>
          <w:rFonts w:hint="eastAsia"/>
        </w:rPr>
        <w:t>图3.</w:t>
      </w:r>
      <w:r>
        <w:t>10</w:t>
      </w:r>
      <w:r>
        <w:rPr>
          <w:rFonts w:hint="eastAsia"/>
        </w:rPr>
        <w:t xml:space="preserve"> 电池组充放电电路</w:t>
      </w:r>
    </w:p>
    <w:p w14:paraId="2704898C">
      <w:pPr>
        <w:pStyle w:val="4"/>
      </w:pPr>
      <w:bookmarkStart w:id="32" w:name="_Toc137553717"/>
      <w:bookmarkStart w:id="33" w:name="_Toc14856"/>
      <w:bookmarkStart w:id="34" w:name="_Toc169728914"/>
      <w:bookmarkStart w:id="35" w:name="_Toc200699961"/>
      <w:r>
        <w:rPr>
          <w:rFonts w:hint="eastAsia"/>
        </w:rPr>
        <w:t>3.</w:t>
      </w:r>
      <w:r>
        <w:t>3.</w:t>
      </w:r>
      <w:r>
        <w:rPr>
          <w:rFonts w:hint="eastAsia"/>
        </w:rPr>
        <w:t>5</w:t>
      </w:r>
      <w:r>
        <w:t xml:space="preserve"> </w:t>
      </w:r>
      <w:bookmarkEnd w:id="32"/>
      <w:bookmarkEnd w:id="33"/>
      <w:bookmarkEnd w:id="34"/>
      <w:r>
        <w:rPr>
          <w:rFonts w:hint="eastAsia"/>
        </w:rPr>
        <w:t>外部存储电路</w:t>
      </w:r>
      <w:bookmarkEnd w:id="35"/>
    </w:p>
    <w:p w14:paraId="741D8697">
      <w:pPr>
        <w:ind w:firstLine="480" w:firstLineChars="200"/>
      </w:pPr>
      <w:r>
        <w:rPr>
          <w:rFonts w:hint="eastAsia"/>
        </w:rPr>
        <w:t>在BMS系统中，关于一些系统参数保存在外部存储器中，本文采用24C02C</w:t>
      </w:r>
      <w:r>
        <w:t>系列EEPROM存储器</w:t>
      </w:r>
      <w:r>
        <w:rPr>
          <w:rFonts w:hint="eastAsia"/>
        </w:rPr>
        <w:t>，其原理如图3.</w:t>
      </w:r>
      <w:r>
        <w:t>11</w:t>
      </w:r>
      <w:r>
        <w:rPr>
          <w:rFonts w:hint="eastAsia"/>
        </w:rPr>
        <w:t>所示，采用标准两线制串行通信协议（SDA、SCL），简化硬件布线，支持多设备共享总线，同时支持100万次数据擦除循环，能保证数据存储的长期有效性。</w:t>
      </w:r>
    </w:p>
    <w:p w14:paraId="2BC13AAE">
      <w:pPr>
        <w:pStyle w:val="59"/>
        <w:ind w:left="480"/>
      </w:pPr>
      <w:r>
        <w:drawing>
          <wp:inline distT="0" distB="0" distL="0" distR="0">
            <wp:extent cx="4306570" cy="1360805"/>
            <wp:effectExtent l="0" t="0" r="0" b="0"/>
            <wp:docPr id="843193812" name="图片 1" descr="电脑屏幕的照片上有字&#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93812" name="图片 1" descr="电脑屏幕的照片上有字&#10;&#10;低可信度描述已自动生成"/>
                    <pic:cNvPicPr>
                      <a:picLocks noChangeAspect="1"/>
                    </pic:cNvPicPr>
                  </pic:nvPicPr>
                  <pic:blipFill>
                    <a:blip r:embed="rId24"/>
                    <a:stretch>
                      <a:fillRect/>
                    </a:stretch>
                  </pic:blipFill>
                  <pic:spPr>
                    <a:xfrm>
                      <a:off x="0" y="0"/>
                      <a:ext cx="4319094" cy="1365046"/>
                    </a:xfrm>
                    <a:prstGeom prst="rect">
                      <a:avLst/>
                    </a:prstGeom>
                  </pic:spPr>
                </pic:pic>
              </a:graphicData>
            </a:graphic>
          </wp:inline>
        </w:drawing>
      </w:r>
    </w:p>
    <w:p w14:paraId="2EF4E760">
      <w:pPr>
        <w:pStyle w:val="7"/>
        <w:spacing w:before="93" w:after="93"/>
      </w:pPr>
      <w:r>
        <w:rPr>
          <w:rFonts w:hint="eastAsia"/>
        </w:rPr>
        <w:t>图3</w:t>
      </w:r>
      <w:r>
        <w:t>.11</w:t>
      </w:r>
      <w:r>
        <w:rPr>
          <w:rFonts w:hint="eastAsia"/>
        </w:rPr>
        <w:t xml:space="preserve"> 外部存储电路</w:t>
      </w:r>
    </w:p>
    <w:p w14:paraId="0145B1A3">
      <w:pPr>
        <w:pStyle w:val="3"/>
      </w:pPr>
      <w:bookmarkStart w:id="36" w:name="_Toc108972949"/>
      <w:bookmarkStart w:id="37" w:name="_Toc169728916"/>
      <w:bookmarkStart w:id="38" w:name="_Toc108970365"/>
      <w:bookmarkStart w:id="39" w:name="_Toc200699962"/>
      <w:r>
        <w:t xml:space="preserve">3.4 </w:t>
      </w:r>
      <w:r>
        <w:rPr>
          <w:rFonts w:hint="eastAsia"/>
        </w:rPr>
        <w:t>最终硬件实物</w:t>
      </w:r>
      <w:bookmarkEnd w:id="36"/>
      <w:bookmarkEnd w:id="37"/>
      <w:bookmarkEnd w:id="38"/>
      <w:bookmarkEnd w:id="39"/>
    </w:p>
    <w:p w14:paraId="7DF787CF">
      <w:pPr>
        <w:spacing w:line="240" w:lineRule="auto"/>
        <w:jc w:val="center"/>
      </w:pPr>
    </w:p>
    <w:p w14:paraId="60E4DC49">
      <w:pPr>
        <w:ind w:firstLine="480" w:firstLineChars="200"/>
      </w:pPr>
      <w:r>
        <w:rPr>
          <w:rFonts w:hint="eastAsia"/>
        </w:rPr>
        <w:t>BCU实物图如图3.12所示，其中集成了WiFi模块和GPS模块，收集BMU信息（如电池簇电流采集、总电压采集、电池阈值状态等）和数据的云端上传，同时，BCU可单独完成SOC标定。</w:t>
      </w:r>
    </w:p>
    <w:p w14:paraId="69BC5EC7">
      <w:pPr>
        <w:spacing w:line="240" w:lineRule="auto"/>
        <w:jc w:val="center"/>
      </w:pPr>
      <w:r>
        <w:rPr>
          <w:rFonts w:hint="eastAsia"/>
        </w:rPr>
        <w:drawing>
          <wp:inline distT="0" distB="0" distL="0" distR="0">
            <wp:extent cx="3067685" cy="3067685"/>
            <wp:effectExtent l="0" t="0" r="0" b="0"/>
            <wp:docPr id="5826143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614318" name="图片 2"/>
                    <pic:cNvPicPr preferRelativeResize="0">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3072421" cy="3072421"/>
                    </a:xfrm>
                    <a:prstGeom prst="rect">
                      <a:avLst/>
                    </a:prstGeom>
                    <a:noFill/>
                    <a:ln>
                      <a:noFill/>
                    </a:ln>
                  </pic:spPr>
                </pic:pic>
              </a:graphicData>
            </a:graphic>
          </wp:inline>
        </w:drawing>
      </w:r>
    </w:p>
    <w:p w14:paraId="7A8CEAB5">
      <w:pPr>
        <w:pStyle w:val="7"/>
        <w:spacing w:before="93" w:after="93"/>
      </w:pPr>
      <w:r>
        <w:rPr>
          <w:rFonts w:hint="eastAsia"/>
        </w:rPr>
        <w:t>图3</w:t>
      </w:r>
      <w:r>
        <w:t>.12</w:t>
      </w:r>
      <w:r>
        <w:rPr>
          <w:rFonts w:hint="eastAsia"/>
        </w:rPr>
        <w:t xml:space="preserve"> BCU实物图</w:t>
      </w:r>
    </w:p>
    <w:p w14:paraId="552FB26F">
      <w:pPr>
        <w:pStyle w:val="59"/>
        <w:spacing w:line="400" w:lineRule="exact"/>
        <w:ind w:firstLine="480" w:firstLineChars="200"/>
        <w:jc w:val="both"/>
        <w:rPr>
          <w:sz w:val="24"/>
          <w:szCs w:val="24"/>
        </w:rPr>
      </w:pPr>
      <w:r>
        <w:rPr>
          <w:rFonts w:hint="eastAsia"/>
          <w:sz w:val="24"/>
          <w:szCs w:val="24"/>
        </w:rPr>
        <w:t>BMU实物图如图3.13所示，用来采集图3.15中单节电池电压、温度、模组电流，主要由单节电池电压采集电路、单节电池温度采集电路、模组电流采集电路、电源电路、CAN通讯电路以及单片机最小系统组成。主要负责采集单体电池信息和均衡信息，监测电池单体电压、温度以及上传热管理异常报警。</w:t>
      </w:r>
    </w:p>
    <w:p w14:paraId="0B151512">
      <w:pPr>
        <w:pStyle w:val="59"/>
      </w:pPr>
      <w:r>
        <w:rPr>
          <w:rFonts w:hint="eastAsia"/>
        </w:rPr>
        <w:drawing>
          <wp:inline distT="0" distB="0" distL="0" distR="0">
            <wp:extent cx="3117215" cy="3117215"/>
            <wp:effectExtent l="0" t="0" r="6985" b="6985"/>
            <wp:docPr id="2885818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81828" name="图片 3"/>
                    <pic:cNvPicPr preferRelativeResize="0">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3117600" cy="3117600"/>
                    </a:xfrm>
                    <a:prstGeom prst="rect">
                      <a:avLst/>
                    </a:prstGeom>
                    <a:noFill/>
                    <a:ln>
                      <a:noFill/>
                    </a:ln>
                  </pic:spPr>
                </pic:pic>
              </a:graphicData>
            </a:graphic>
          </wp:inline>
        </w:drawing>
      </w:r>
    </w:p>
    <w:p w14:paraId="42D61BFF">
      <w:pPr>
        <w:pStyle w:val="7"/>
        <w:spacing w:before="93" w:after="93"/>
      </w:pPr>
      <w:r>
        <w:rPr>
          <w:rFonts w:hint="eastAsia"/>
        </w:rPr>
        <w:t>图3</w:t>
      </w:r>
      <w:r>
        <w:t>.13</w:t>
      </w:r>
      <w:r>
        <w:rPr>
          <w:rFonts w:hint="eastAsia"/>
        </w:rPr>
        <w:t xml:space="preserve"> BMU实物图</w:t>
      </w:r>
    </w:p>
    <w:p w14:paraId="4B69FB4F">
      <w:pPr>
        <w:pStyle w:val="59"/>
        <w:spacing w:line="400" w:lineRule="exact"/>
        <w:ind w:firstLine="480" w:firstLineChars="200"/>
        <w:jc w:val="both"/>
        <w:rPr>
          <w:sz w:val="24"/>
          <w:szCs w:val="24"/>
        </w:rPr>
      </w:pPr>
      <w:r>
        <w:rPr>
          <w:rFonts w:hint="eastAsia"/>
          <w:sz w:val="24"/>
          <w:szCs w:val="24"/>
        </w:rPr>
        <w:t>C</w:t>
      </w:r>
      <w:r>
        <w:rPr>
          <w:sz w:val="24"/>
          <w:szCs w:val="24"/>
        </w:rPr>
        <w:t>AN</w:t>
      </w:r>
      <w:r>
        <w:rPr>
          <w:rFonts w:hint="eastAsia"/>
          <w:sz w:val="24"/>
          <w:szCs w:val="24"/>
        </w:rPr>
        <w:t>中继板实物图如图3</w:t>
      </w:r>
      <w:r>
        <w:rPr>
          <w:sz w:val="24"/>
          <w:szCs w:val="24"/>
        </w:rPr>
        <w:t>.14</w:t>
      </w:r>
      <w:r>
        <w:rPr>
          <w:rFonts w:hint="eastAsia"/>
          <w:sz w:val="24"/>
          <w:szCs w:val="24"/>
        </w:rPr>
        <w:t>所示通过对</w:t>
      </w:r>
      <w:r>
        <w:rPr>
          <w:sz w:val="24"/>
          <w:szCs w:val="24"/>
        </w:rPr>
        <w:t>CAN</w:t>
      </w:r>
      <w:r>
        <w:rPr>
          <w:rFonts w:hint="eastAsia"/>
          <w:sz w:val="24"/>
          <w:szCs w:val="24"/>
        </w:rPr>
        <w:t>总线电阻的灵活选择，可以使新级联的</w:t>
      </w:r>
      <w:r>
        <w:rPr>
          <w:sz w:val="24"/>
          <w:szCs w:val="24"/>
        </w:rPr>
        <w:t>CAN</w:t>
      </w:r>
      <w:r>
        <w:rPr>
          <w:rFonts w:hint="eastAsia"/>
          <w:sz w:val="24"/>
          <w:szCs w:val="24"/>
        </w:rPr>
        <w:t>设备不影响已有的总线状态</w:t>
      </w:r>
    </w:p>
    <w:p w14:paraId="1D5DE155">
      <w:pPr>
        <w:pStyle w:val="59"/>
      </w:pPr>
      <w:r>
        <w:rPr>
          <w:rFonts w:hint="eastAsia"/>
        </w:rPr>
        <w:drawing>
          <wp:inline distT="0" distB="0" distL="0" distR="0">
            <wp:extent cx="1760220" cy="3256280"/>
            <wp:effectExtent l="0" t="5080" r="6350" b="6350"/>
            <wp:docPr id="114215473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154738" name="图片 4"/>
                    <pic:cNvPicPr>
                      <a:picLocks noChangeAspect="1" noChangeArrowheads="1"/>
                    </pic:cNvPicPr>
                  </pic:nvPicPr>
                  <pic:blipFill>
                    <a:blip r:embed="rId27" cstate="print">
                      <a:extLst>
                        <a:ext uri="{28A0092B-C50C-407E-A947-70E740481C1C}">
                          <a14:useLocalDpi xmlns:a14="http://schemas.microsoft.com/office/drawing/2010/main" val="0"/>
                        </a:ext>
                      </a:extLst>
                    </a:blip>
                    <a:srcRect l="20695"/>
                    <a:stretch>
                      <a:fillRect/>
                    </a:stretch>
                  </pic:blipFill>
                  <pic:spPr>
                    <a:xfrm rot="16200000">
                      <a:off x="0" y="0"/>
                      <a:ext cx="1764882" cy="3264861"/>
                    </a:xfrm>
                    <a:prstGeom prst="rect">
                      <a:avLst/>
                    </a:prstGeom>
                    <a:noFill/>
                    <a:ln>
                      <a:noFill/>
                    </a:ln>
                  </pic:spPr>
                </pic:pic>
              </a:graphicData>
            </a:graphic>
          </wp:inline>
        </w:drawing>
      </w:r>
    </w:p>
    <w:p w14:paraId="400DD467">
      <w:pPr>
        <w:pStyle w:val="7"/>
        <w:spacing w:before="93" w:after="93"/>
      </w:pPr>
      <w:r>
        <w:rPr>
          <w:rFonts w:hint="eastAsia"/>
        </w:rPr>
        <w:t>图3</w:t>
      </w:r>
      <w:r>
        <w:t>.</w:t>
      </w:r>
      <w:r>
        <w:rPr>
          <w:rFonts w:hint="eastAsia"/>
        </w:rPr>
        <w:t>1</w:t>
      </w:r>
      <w:r>
        <w:t>4</w:t>
      </w:r>
      <w:r>
        <w:rPr>
          <w:rFonts w:hint="eastAsia"/>
        </w:rPr>
        <w:t xml:space="preserve"> CAN中继板实物图</w:t>
      </w:r>
    </w:p>
    <w:p w14:paraId="2D8D07F9">
      <w:pPr>
        <w:ind w:firstLine="480" w:firstLineChars="200"/>
      </w:pPr>
      <w:r>
        <w:rPr>
          <w:rFonts w:hint="eastAsia"/>
        </w:rPr>
        <w:t>电池组如图3.15所示，由5节电池为最小单位的级联电池组，分别用两个开关控制通断。</w:t>
      </w:r>
    </w:p>
    <w:p w14:paraId="6D9A3773">
      <w:pPr>
        <w:spacing w:line="240" w:lineRule="auto"/>
        <w:jc w:val="center"/>
      </w:pPr>
      <w:r>
        <w:drawing>
          <wp:inline distT="0" distB="0" distL="0" distR="0">
            <wp:extent cx="3063240" cy="1579245"/>
            <wp:effectExtent l="0" t="0" r="381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8" cstate="print">
                      <a:extLst>
                        <a:ext uri="{28A0092B-C50C-407E-A947-70E740481C1C}">
                          <a14:useLocalDpi xmlns:a14="http://schemas.microsoft.com/office/drawing/2010/main" val="0"/>
                        </a:ext>
                      </a:extLst>
                    </a:blip>
                    <a:srcRect t="11001" b="20253"/>
                    <a:stretch>
                      <a:fillRect/>
                    </a:stretch>
                  </pic:blipFill>
                  <pic:spPr>
                    <a:xfrm>
                      <a:off x="0" y="0"/>
                      <a:ext cx="3083911" cy="1590059"/>
                    </a:xfrm>
                    <a:prstGeom prst="rect">
                      <a:avLst/>
                    </a:prstGeom>
                    <a:noFill/>
                    <a:ln>
                      <a:noFill/>
                    </a:ln>
                  </pic:spPr>
                </pic:pic>
              </a:graphicData>
            </a:graphic>
          </wp:inline>
        </w:drawing>
      </w:r>
    </w:p>
    <w:p w14:paraId="504E3448">
      <w:pPr>
        <w:pStyle w:val="7"/>
        <w:spacing w:before="93" w:after="93"/>
      </w:pPr>
      <w:r>
        <w:rPr>
          <w:rFonts w:hint="eastAsia"/>
        </w:rPr>
        <w:t>图3</w:t>
      </w:r>
      <w:r>
        <w:t>.</w:t>
      </w:r>
      <w:r>
        <w:rPr>
          <w:rFonts w:hint="eastAsia"/>
        </w:rPr>
        <w:t>1</w:t>
      </w:r>
      <w:r>
        <w:t>5</w:t>
      </w:r>
      <w:r>
        <w:rPr>
          <w:rFonts w:hint="eastAsia"/>
        </w:rPr>
        <w:t xml:space="preserve"> 电池仓实物图4</w:t>
      </w:r>
    </w:p>
    <w:p w14:paraId="29EC5C56">
      <w:pPr>
        <w:ind w:firstLine="480" w:firstLineChars="200"/>
      </w:pPr>
      <w:r>
        <w:rPr>
          <w:rFonts w:hint="eastAsia"/>
        </w:rPr>
        <w:t>电池管理系统实物图如图3.16所示，通过可扩展式的结构对多组电池进行管理控制，并且完成数据是监控及预警。</w:t>
      </w:r>
    </w:p>
    <w:p w14:paraId="63389196">
      <w:pPr>
        <w:spacing w:line="240" w:lineRule="auto"/>
        <w:jc w:val="center"/>
      </w:pPr>
      <w:r>
        <w:drawing>
          <wp:inline distT="0" distB="0" distL="0" distR="0">
            <wp:extent cx="3686810" cy="2764155"/>
            <wp:effectExtent l="0" t="0" r="889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3701046" cy="2774893"/>
                    </a:xfrm>
                    <a:prstGeom prst="rect">
                      <a:avLst/>
                    </a:prstGeom>
                    <a:noFill/>
                    <a:ln>
                      <a:noFill/>
                    </a:ln>
                  </pic:spPr>
                </pic:pic>
              </a:graphicData>
            </a:graphic>
          </wp:inline>
        </w:drawing>
      </w:r>
    </w:p>
    <w:p w14:paraId="0C3602C2">
      <w:pPr>
        <w:pStyle w:val="7"/>
        <w:spacing w:before="93" w:after="93"/>
      </w:pPr>
      <w:r>
        <w:rPr>
          <w:rFonts w:hint="eastAsia"/>
        </w:rPr>
        <w:t>图3</w:t>
      </w:r>
      <w:r>
        <w:t>.</w:t>
      </w:r>
      <w:r>
        <w:rPr>
          <w:rFonts w:hint="eastAsia"/>
        </w:rPr>
        <w:t>1</w:t>
      </w:r>
      <w:r>
        <w:t>6</w:t>
      </w:r>
      <w:r>
        <w:rPr>
          <w:rFonts w:hint="eastAsia"/>
        </w:rPr>
        <w:t xml:space="preserve"> 分布式锂电池管理系统及云平台实物图</w:t>
      </w:r>
    </w:p>
    <w:p w14:paraId="0F148919">
      <w:pPr>
        <w:spacing w:line="240" w:lineRule="auto"/>
        <w:jc w:val="center"/>
        <w:sectPr>
          <w:headerReference r:id="rId8" w:type="default"/>
          <w:footerReference r:id="rId9" w:type="default"/>
          <w:pgSz w:w="11906" w:h="16838"/>
          <w:pgMar w:top="1440" w:right="1797" w:bottom="1440" w:left="1797" w:header="851" w:footer="992" w:gutter="0"/>
          <w:cols w:space="425" w:num="1"/>
          <w:docGrid w:type="lines" w:linePitch="312" w:charSpace="0"/>
        </w:sectPr>
      </w:pPr>
    </w:p>
    <w:p w14:paraId="21DC3589">
      <w:pPr>
        <w:pStyle w:val="2"/>
      </w:pPr>
      <w:bookmarkStart w:id="40" w:name="_Toc16043"/>
      <w:bookmarkStart w:id="41" w:name="_Toc200699963"/>
      <w:r>
        <w:rPr>
          <w:rFonts w:hint="eastAsia"/>
        </w:rPr>
        <w:t xml:space="preserve">第4章 </w:t>
      </w:r>
      <w:r>
        <w:t>控制</w:t>
      </w:r>
      <w:r>
        <w:rPr>
          <w:rFonts w:hint="eastAsia"/>
        </w:rPr>
        <w:t>策略与软件设计</w:t>
      </w:r>
      <w:bookmarkEnd w:id="40"/>
      <w:bookmarkEnd w:id="41"/>
    </w:p>
    <w:bookmarkEnd w:id="9"/>
    <w:p w14:paraId="17FE9E1E">
      <w:pPr>
        <w:pStyle w:val="3"/>
      </w:pPr>
      <w:bookmarkStart w:id="42" w:name="_Toc99742295"/>
      <w:bookmarkStart w:id="43" w:name="_Toc100584095"/>
      <w:bookmarkStart w:id="44" w:name="_Toc200699964"/>
      <w:r>
        <w:rPr>
          <w:rFonts w:hint="eastAsia"/>
        </w:rPr>
        <w:t>4</w:t>
      </w:r>
      <w:r>
        <w:t xml:space="preserve">.1 </w:t>
      </w:r>
      <w:r>
        <w:rPr>
          <w:rFonts w:hint="eastAsia"/>
        </w:rPr>
        <w:t>主程序设计</w:t>
      </w:r>
      <w:bookmarkEnd w:id="42"/>
      <w:bookmarkEnd w:id="43"/>
      <w:bookmarkEnd w:id="44"/>
    </w:p>
    <w:p w14:paraId="1E04941B">
      <w:pPr>
        <w:ind w:firstLine="480"/>
      </w:pPr>
      <w:r>
        <w:rPr>
          <w:rFonts w:hint="eastAsia"/>
        </w:rPr>
        <w:t>为</w:t>
      </w:r>
      <w:r>
        <w:t>应对分布式BMS系统复杂的功能需求和高可靠性要求，本系统软件采用分层化、模块化的设计理念。整体架构自底向上可分为：</w:t>
      </w:r>
    </w:p>
    <w:p w14:paraId="30B293EB">
      <w:pPr>
        <w:numPr>
          <w:ilvl w:val="0"/>
          <w:numId w:val="3"/>
        </w:numPr>
      </w:pPr>
      <w:r>
        <w:t>驱动层 (BSP - Board Support Package): 负责直接与硬件交互，提供对底层硬件资源（如STM32的GPIO、ADC、IIC、UART、CAN、定时器等）的抽象接口，实现硬件操作的封装，提高软件的可移植性。</w:t>
      </w:r>
    </w:p>
    <w:p w14:paraId="4DE17C7B">
      <w:pPr>
        <w:numPr>
          <w:ilvl w:val="0"/>
          <w:numId w:val="3"/>
        </w:numPr>
      </w:pPr>
      <w:r>
        <w:t>操作系统层 (RTOS - Real-Time Operating System): 考虑到BCU (STM32F407VGT6) 需要同时处理CAN通信、复杂算法运算、网络连接、人机交互（潜在）、多路传感器数据融合等多重任务，且对实时性和并发性要求较高，BCU软件设计强力推荐并基于实时操作系统FreeRTOS构建。RTOS负责任务调度、内存管理、中断管理以及提供任务间同步与通信机制（如信号量、消息队列、互斥锁），极大地简化了并发程序的开发复杂度，保证了关键任务的实时响应。BMU (STM32F103C8T6) 由于任务相对单一，根据实际复杂度选用轻量级前后台系统（Super-Loop）。</w:t>
      </w:r>
    </w:p>
    <w:p w14:paraId="5E7159EA">
      <w:pPr>
        <w:numPr>
          <w:ilvl w:val="0"/>
          <w:numId w:val="3"/>
        </w:numPr>
      </w:pPr>
      <w:r>
        <w:t>中间层: 包含独立于具体业务逻辑的通用功能组件，如自定义的高可靠CAN通信协议栈、用于连接OneNET云平台的MQTT协议栈、GPS数据解析库、参数存储管理模块等。</w:t>
      </w:r>
    </w:p>
    <w:p w14:paraId="3D93610A">
      <w:pPr>
        <w:numPr>
          <w:ilvl w:val="0"/>
          <w:numId w:val="3"/>
        </w:numPr>
      </w:pPr>
      <w:r>
        <w:t>应用层: 实现BMS的核心业务逻辑，包括数据采集与处理、状态估算（SOC）、均衡控制、故障诊断与保护、云端数据交互逻辑等。</w:t>
      </w:r>
    </w:p>
    <w:p w14:paraId="59FEA036">
      <w:pPr>
        <w:ind w:firstLine="480"/>
      </w:pPr>
      <w:r>
        <w:rPr>
          <w:rFonts w:hint="eastAsia"/>
        </w:rPr>
        <w:t>该分层架构赋予了系统良好的模块化特性。BCU 统筹协调各BMU的运行，根据系统总体状态做出全局决策；BMU 则专注于管理其负责的电池组，实现精细化的监控和控制；而BMU中的</w:t>
      </w:r>
      <w:r>
        <w:t>BQ769</w:t>
      </w:r>
      <w:r>
        <w:rPr>
          <w:rFonts w:hint="eastAsia"/>
        </w:rPr>
        <w:t>3</w:t>
      </w:r>
      <w:r>
        <w:t>0</w:t>
      </w:r>
      <w:r>
        <w:rPr>
          <w:rFonts w:hint="eastAsia"/>
        </w:rPr>
        <w:t>模块则直接对接电池单元，负责数据采集和均衡等具体任务。</w:t>
      </w:r>
      <w:r>
        <w:t>这种分层架构使得各层职责清晰，降低了模块间的耦合度，便于开发、测试、维护和未来的功能扩展</w:t>
      </w:r>
      <w:r>
        <w:rPr>
          <w:rFonts w:hint="eastAsia"/>
        </w:rPr>
        <w:t>，能够适应大规模电池系统的应用需求。同时，分布式控制也提升了系统的实时响应能力和容错性能，确保整体运行的高效和可靠。</w:t>
      </w:r>
    </w:p>
    <w:p w14:paraId="185520D2">
      <w:pPr>
        <w:ind w:firstLine="482"/>
      </w:pPr>
      <w:r>
        <w:t>在BMS的软件设计过程中时，选择Keil uVision5作为软件开发工具， 对STM32微控制器进行C语言编程，并利用BQ769</w:t>
      </w:r>
      <w:r>
        <w:rPr>
          <w:rFonts w:hint="eastAsia"/>
        </w:rPr>
        <w:t>3</w:t>
      </w:r>
      <w:r>
        <w:t>0芯片作为前端数据采集单元来实现BMS的各种功能。在软件编码过程中，开发者可以利用Keil uVision5 提供的调试工具有效调试代码和分析程序，包括断点设置、单步执行、变量间监视 等。这些调试工具共同构成了一个强大的功能集，使得Keil uVision5 成为开发和调试基于ARM的微控制器应用程序的理想选择。</w:t>
      </w:r>
    </w:p>
    <w:p w14:paraId="3E0764A8">
      <w:pPr>
        <w:ind w:firstLine="482"/>
      </w:pPr>
      <w:r>
        <w:t>BMS的主控软件总体工作流程如图</w:t>
      </w:r>
      <w:r>
        <w:rPr>
          <w:rFonts w:hint="eastAsia"/>
        </w:rPr>
        <w:t>4.1</w:t>
      </w:r>
      <w:r>
        <w:t>所示，工作内容分为以下三个部分。 系统初始化：在开始工作时首先使系统各个部分先进行初始化，其中初始化的内容包括：BQ769</w:t>
      </w:r>
      <w:r>
        <w:rPr>
          <w:rFonts w:hint="eastAsia"/>
        </w:rPr>
        <w:t>3</w:t>
      </w:r>
      <w:r>
        <w:t>0的初始化，完成电流、电压值以及温度等阈值的设定，从而确保系统对电池的监测与管理功能。IIC 通讯初始化以及串口通讯初始化，保证了主机与从机的实时通信，从而进行数据的传输，同时保证主机与上位机之间的通信</w:t>
      </w:r>
      <w:r>
        <w:rPr>
          <w:rFonts w:hint="eastAsia"/>
        </w:rPr>
        <w:t>，设</w:t>
      </w:r>
      <w:r>
        <w:t>置BQ769</w:t>
      </w:r>
      <w:r>
        <w:rPr>
          <w:rFonts w:hint="eastAsia"/>
        </w:rPr>
        <w:t>3</w:t>
      </w:r>
      <w:r>
        <w:t>0芯片的工作模式。 数据采集与传输：开始进行电流、电压等数据的采集传输，经由 MCU 对数据进行处理，控制相应保护模块投入工作，将处理过后的数据经过通信模块传输到上位机。上位机功能：在数据传输到上位机之后，系统自动对数据进行备份存储同时进行电池荷电状态的预估，以及对电池是否需要进行均衡进行判断。最终，将电池组的荷电状态、电压、电流、工作环境</w:t>
      </w:r>
      <w:r>
        <w:rPr>
          <w:rFonts w:hint="eastAsia"/>
        </w:rPr>
        <w:t>温度等</w:t>
      </w:r>
      <w:r>
        <w:t>信息在</w:t>
      </w:r>
      <w:r>
        <w:rPr>
          <w:rFonts w:hint="eastAsia"/>
        </w:rPr>
        <w:t>云平台</w:t>
      </w:r>
      <w:r>
        <w:t>进行显示，供观察电池当前的工作状态，至此BMS系统完成全部工作。</w:t>
      </w:r>
    </w:p>
    <w:p w14:paraId="49053474">
      <w:pPr>
        <w:pStyle w:val="59"/>
        <w:spacing w:after="93" w:afterLines="30"/>
      </w:pPr>
      <w:r>
        <w:rPr>
          <w:rFonts w:hint="eastAsia"/>
        </w:rPr>
        <w:object>
          <v:shape id="_x0000_i1026" o:spt="75" type="#_x0000_t75" style="height:371.85pt;width:220.1pt;" o:ole="t" filled="f" o:preferrelative="t" stroked="f" coordsize="21600,21600">
            <v:path/>
            <v:fill on="f" focussize="0,0"/>
            <v:stroke on="f" joinstyle="miter"/>
            <v:imagedata r:id="rId31" o:title=""/>
            <o:lock v:ext="edit" aspectratio="t"/>
            <w10:wrap type="none"/>
            <w10:anchorlock/>
          </v:shape>
          <o:OLEObject Type="Embed" ProgID="Visio.Drawing.15" ShapeID="_x0000_i1026" DrawAspect="Content" ObjectID="_1468075726" r:id="rId30">
            <o:LockedField>false</o:LockedField>
          </o:OLEObject>
        </w:object>
      </w:r>
      <w:r>
        <w:rPr>
          <w:rFonts w:hint="eastAsia"/>
        </w:rPr>
        <w:object>
          <v:shape id="_x0000_i1027" o:spt="75" type="#_x0000_t75" style="height:371.85pt;width:190.2pt;" o:ole="t" filled="f" o:preferrelative="t" stroked="f" coordsize="21600,21600">
            <v:path/>
            <v:fill on="f" focussize="0,0"/>
            <v:stroke on="f" joinstyle="miter"/>
            <v:imagedata r:id="rId33" o:title=""/>
            <o:lock v:ext="edit" aspectratio="t"/>
            <w10:wrap type="none"/>
            <w10:anchorlock/>
          </v:shape>
          <o:OLEObject Type="Embed" ProgID="Visio.Drawing.15" ShapeID="_x0000_i1027" DrawAspect="Content" ObjectID="_1468075727" r:id="rId32">
            <o:LockedField>false</o:LockedField>
          </o:OLEObject>
        </w:object>
      </w:r>
    </w:p>
    <w:p w14:paraId="59DCF0B9">
      <w:pPr>
        <w:pStyle w:val="34"/>
        <w:spacing w:line="360" w:lineRule="auto"/>
        <w:ind w:firstLine="1680" w:firstLineChars="800"/>
        <w:jc w:val="both"/>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(a)</w:t>
      </w:r>
      <w:r>
        <w:rPr>
          <w:rFonts w:hint="eastAsia"/>
          <w:color w:val="000000" w:themeColor="text1"/>
          <w:sz w:val="21"/>
          <w:szCs w:val="21"/>
          <w14:textFill>
            <w14:solidFill>
              <w14:schemeClr w14:val="tx1"/>
            </w14:solidFill>
          </w14:textFill>
        </w:rPr>
        <w:t>BMU</w:t>
      </w:r>
      <w:r>
        <w:rPr>
          <w:color w:val="000000" w:themeColor="text1"/>
          <w:sz w:val="21"/>
          <w:szCs w:val="21"/>
          <w14:textFill>
            <w14:solidFill>
              <w14:schemeClr w14:val="tx1"/>
            </w14:solidFill>
          </w14:textFill>
        </w:rPr>
        <w:t xml:space="preserve">                               </w:t>
      </w:r>
      <w:r>
        <w:rPr>
          <w:rFonts w:hint="eastAsia"/>
          <w:color w:val="000000" w:themeColor="text1"/>
          <w:sz w:val="21"/>
          <w:szCs w:val="21"/>
          <w14:textFill>
            <w14:solidFill>
              <w14:schemeClr w14:val="tx1"/>
            </w14:solidFill>
          </w14:textFill>
        </w:rPr>
        <w:t xml:space="preserve">                           </w:t>
      </w:r>
      <w:r>
        <w:rPr>
          <w:color w:val="000000" w:themeColor="text1"/>
          <w:sz w:val="21"/>
          <w:szCs w:val="21"/>
          <w14:textFill>
            <w14:solidFill>
              <w14:schemeClr w14:val="tx1"/>
            </w14:solidFill>
          </w14:textFill>
        </w:rPr>
        <w:t xml:space="preserve">         (b)</w:t>
      </w:r>
      <w:r>
        <w:rPr>
          <w:rFonts w:hint="eastAsia"/>
          <w:color w:val="000000" w:themeColor="text1"/>
          <w:sz w:val="21"/>
          <w:szCs w:val="21"/>
          <w14:textFill>
            <w14:solidFill>
              <w14:schemeClr w14:val="tx1"/>
            </w14:solidFill>
          </w14:textFill>
        </w:rPr>
        <w:t>BCU</w:t>
      </w:r>
    </w:p>
    <w:p w14:paraId="67BA18DC">
      <w:pPr>
        <w:pStyle w:val="7"/>
        <w:spacing w:before="93" w:after="93"/>
      </w:pPr>
      <w:r>
        <w:rPr>
          <w:rFonts w:hint="eastAsia"/>
        </w:rPr>
        <w:t>图4</w:t>
      </w:r>
      <w:r>
        <w:t>.1</w:t>
      </w:r>
      <w:r>
        <w:rPr>
          <w:rFonts w:hint="eastAsia"/>
        </w:rPr>
        <w:t xml:space="preserve"> 主程序流程图</w:t>
      </w:r>
    </w:p>
    <w:p w14:paraId="69589E24">
      <w:pPr>
        <w:ind w:firstLine="480" w:firstLineChars="200"/>
      </w:pPr>
      <w:r>
        <w:t>CAN通信管理任务 (高优先级)</w:t>
      </w:r>
      <w:r>
        <w:rPr>
          <w:rFonts w:hint="eastAsia"/>
        </w:rPr>
        <w:t>：</w:t>
      </w:r>
      <w:r>
        <w:t>负责实现高可靠CAN通信协议主站逻辑。</w:t>
      </w:r>
      <w:r>
        <w:rPr>
          <w:rFonts w:hint="eastAsia"/>
        </w:rPr>
        <w:t>上电初期接收B</w:t>
      </w:r>
      <w:r>
        <w:t>MU</w:t>
      </w:r>
      <w:r>
        <w:rPr>
          <w:rFonts w:hint="eastAsia"/>
        </w:rPr>
        <w:t>的注册请求并分配逻辑地址</w:t>
      </w:r>
      <w:r>
        <w:t>，</w:t>
      </w:r>
      <w:r>
        <w:rPr>
          <w:rFonts w:hint="eastAsia"/>
        </w:rPr>
        <w:t>然后</w:t>
      </w:r>
      <w:r>
        <w:t>接收并解析BMU上传的数据帧和心跳包</w:t>
      </w:r>
      <w:r>
        <w:rPr>
          <w:rFonts w:hint="eastAsia"/>
        </w:rPr>
        <w:t>，对于初次离线的B</w:t>
      </w:r>
      <w:r>
        <w:t>MU</w:t>
      </w:r>
      <w:r>
        <w:rPr>
          <w:rFonts w:hint="eastAsia"/>
        </w:rPr>
        <w:t>使其加入到待机队列中，尝试唤醒设备，超时后再标记为离线，避免了误触断开导致的直接离线</w:t>
      </w:r>
      <w:r>
        <w:t>。使用CRC校验、序列号、超时重传机制保证数据可靠性。通过消息队列将校验无误的BMU数据发送给数据处理任务，并将接收到的告警信息传递给故障管理任务。该任务需快速响应总线事件，优先级较高。</w:t>
      </w:r>
    </w:p>
    <w:p w14:paraId="07B7AC57">
      <w:pPr>
        <w:ind w:firstLine="480" w:firstLineChars="200"/>
      </w:pPr>
      <w:r>
        <w:t>数据处理与状态估算任务(中等优先级)</w:t>
      </w:r>
      <w:r>
        <w:rPr>
          <w:rFonts w:hint="eastAsia"/>
        </w:rPr>
        <w:t>：</w:t>
      </w:r>
      <w:r>
        <w:t>从消息队列接收原始BMU数据，进行数据融合与滤波处理。计算电池组总电压、电流、温度、</w:t>
      </w:r>
      <w:r>
        <w:rPr>
          <w:rFonts w:hint="eastAsia"/>
        </w:rPr>
        <w:t>最大压差</w:t>
      </w:r>
      <w:r>
        <w:t>等系统级参数。</w:t>
      </w:r>
      <w:r>
        <w:rPr>
          <w:rFonts w:hint="eastAsia"/>
        </w:rPr>
        <w:t>基于电池数据使用安时积分法进行</w:t>
      </w:r>
      <w:r>
        <w:t>SOC估算，并将结果更新至全局数据区（需使用互斥锁保护）。</w:t>
      </w:r>
    </w:p>
    <w:p w14:paraId="2C5B303E">
      <w:pPr>
        <w:ind w:firstLine="480" w:firstLineChars="200"/>
      </w:pPr>
      <w:r>
        <w:t>智能均衡控制任务(中低优先级)</w:t>
      </w:r>
      <w:r>
        <w:rPr>
          <w:rFonts w:hint="eastAsia"/>
        </w:rPr>
        <w:t>：</w:t>
      </w:r>
      <w:r>
        <w:t>周期性地检查是否满足均衡开启条件（如充电状态、总压、温差等）。一旦满足条件，则执行融合多状态因子的自适应优先级均衡策略。根据最新的SOC、电压、温度数据计算各单体的均衡优先级和动态均衡阈值，生成均衡控制指令（控制哪些均衡通道开启/关闭及时长），通过驱动接口控制均衡电路执行。该任务需考虑均衡效率与电池安全（如温度限制），优先级可略低于数据处理。</w:t>
      </w:r>
    </w:p>
    <w:p w14:paraId="41567B90">
      <w:pPr>
        <w:ind w:firstLine="480" w:firstLineChars="200"/>
      </w:pPr>
      <w:r>
        <w:t>系统安全与故障诊断任务(最高优先级之一)</w:t>
      </w:r>
      <w:r>
        <w:rPr>
          <w:rFonts w:hint="eastAsia"/>
        </w:rPr>
        <w:t>：</w:t>
      </w:r>
      <w:r>
        <w:t>此任务是保障系统“高可靠”的关键。它持续监控由数据处理任务更新的关键参数，以及CAN通信任务汇报的BMU状态和告警信息。实现创新点4定义的分层级安全策略与故障诊断逻辑。对潜在风险（如单体/总压过高/过低、过流、温度异常、温差过大、BMU通信中断、绝缘故障信号、碰撞信号等）进行实时评估，根据预设的SOF（State of Function）故障代码和等级，执行相应的保护措施：从云端告警，到</w:t>
      </w:r>
      <w:r>
        <w:rPr>
          <w:rFonts w:hint="eastAsia"/>
        </w:rPr>
        <w:t>停止</w:t>
      </w:r>
      <w:r>
        <w:t>充放电功率。该任务需要极高的响应速度和可靠性。</w:t>
      </w:r>
    </w:p>
    <w:p w14:paraId="2DCF1044">
      <w:pPr>
        <w:ind w:firstLine="480" w:firstLineChars="200"/>
      </w:pPr>
      <w:r>
        <w:t>云平台通信任务 (低优先级)</w:t>
      </w:r>
      <w:r>
        <w:rPr>
          <w:rFonts w:hint="eastAsia"/>
        </w:rPr>
        <w:t>：</w:t>
      </w:r>
      <w:r>
        <w:t>管理WiFi模块的网络连接。通过MQTT协议与OneNET云平台建立并维持长连接。</w:t>
      </w:r>
      <w:r>
        <w:rPr>
          <w:rFonts w:hint="eastAsia"/>
        </w:rPr>
        <w:t>周期性</w:t>
      </w:r>
      <w:r>
        <w:t>将BMS状态数据、GPS定位信息、告警</w:t>
      </w:r>
      <w:r>
        <w:rPr>
          <w:rFonts w:hint="eastAsia"/>
        </w:rPr>
        <w:t>阈值</w:t>
      </w:r>
      <w:r>
        <w:t>、SOC估算结果等打包上传至云端。同时，订阅云端下发的指令</w:t>
      </w:r>
      <w:r>
        <w:rPr>
          <w:rFonts w:hint="eastAsia"/>
        </w:rPr>
        <w:t>进行唤醒、上传、控制B</w:t>
      </w:r>
      <w:r>
        <w:t>MU等，并将指令传递给相应处理任务。因网络通信通常非实时，优先级较低。</w:t>
      </w:r>
    </w:p>
    <w:p w14:paraId="7BAFC915">
      <w:pPr>
        <w:ind w:firstLine="480" w:firstLineChars="200"/>
      </w:pPr>
      <w:r>
        <w:t>GPS数据处理任务 (低优先级): 通过UART接口与GPS模块通信，定时读取并解析NMEA 0183格式的定位数据，提取经纬度、速度、时间等信息，供系统使用及上传云平台。</w:t>
      </w:r>
    </w:p>
    <w:p w14:paraId="21C2164E">
      <w:pPr>
        <w:pStyle w:val="3"/>
      </w:pPr>
      <w:bookmarkStart w:id="45" w:name="_Toc200699965"/>
      <w:bookmarkStart w:id="46" w:name="_Hlk196212702"/>
      <w:r>
        <w:t>4.2</w:t>
      </w:r>
      <w:r>
        <w:rPr>
          <w:rFonts w:hint="eastAsia"/>
        </w:rPr>
        <w:t xml:space="preserve"> 数据采集程序设计</w:t>
      </w:r>
      <w:bookmarkEnd w:id="45"/>
    </w:p>
    <w:p w14:paraId="4777F8F1">
      <w:pPr>
        <w:ind w:firstLine="480" w:firstLineChars="200"/>
      </w:pPr>
      <w:r>
        <w:t>本次的电池</w:t>
      </w:r>
      <w:r>
        <w:rPr>
          <w:rFonts w:hint="eastAsia"/>
        </w:rPr>
        <w:t>采集模块</w:t>
      </w:r>
      <w:r>
        <w:t>除了</w:t>
      </w:r>
      <w:r>
        <w:rPr>
          <w:rFonts w:hint="eastAsia"/>
        </w:rPr>
        <w:t>检测</w:t>
      </w:r>
      <w:r>
        <w:t>电池各项参数还要</w:t>
      </w:r>
      <w:r>
        <w:rPr>
          <w:rFonts w:hint="eastAsia"/>
        </w:rPr>
        <w:t>检测</w:t>
      </w:r>
      <w:r>
        <w:t>系统状态模式并转换，其中电池参数</w:t>
      </w:r>
      <w:r>
        <w:rPr>
          <w:rFonts w:hint="eastAsia"/>
        </w:rPr>
        <w:t>采集</w:t>
      </w:r>
      <w:r>
        <w:t>包括总电压、总电流、单体电芯电压、电池温度。电池数据采集主要由BQ769</w:t>
      </w:r>
      <w:r>
        <w:rPr>
          <w:rFonts w:hint="eastAsia"/>
        </w:rPr>
        <w:t>3</w:t>
      </w:r>
      <w:r>
        <w:t>0 电池采集芯片驱动层和IIC驱动层完成，其中 BQ769</w:t>
      </w:r>
      <w:r>
        <w:rPr>
          <w:rFonts w:hint="eastAsia"/>
        </w:rPr>
        <w:t>3</w:t>
      </w:r>
      <w:r>
        <w:t>0底层驱动集成14bit-ADC和 16 bit-ADC模块主要去实现对</w:t>
      </w:r>
      <w:r>
        <w:rPr>
          <w:rFonts w:hint="eastAsia"/>
        </w:rPr>
        <w:t>单体</w:t>
      </w:r>
      <w:r>
        <w:t>电池电芯电压、温度、采样电流采集，IIC驱动则用于与</w:t>
      </w:r>
      <w:r>
        <w:rPr>
          <w:rFonts w:hint="eastAsia"/>
        </w:rPr>
        <w:t>BCU</w:t>
      </w:r>
      <w:r>
        <w:t>进行通信</w:t>
      </w:r>
      <w:r>
        <w:rPr>
          <w:rFonts w:hint="eastAsia"/>
        </w:rPr>
        <w:t>。</w:t>
      </w:r>
      <w:r>
        <w:t>单体电芯计算公式为:</w:t>
      </w:r>
    </w:p>
    <w:p w14:paraId="60960C17">
      <w:pPr>
        <w:pStyle w:val="34"/>
        <w:rPr>
          <w:color w:val="auto"/>
        </w:rPr>
      </w:pPr>
      <w:r>
        <w:tab/>
      </w:r>
      <w:r>
        <w:rPr>
          <w:position w:val="-10"/>
        </w:rPr>
        <w:object>
          <v:shape id="_x0000_i1028" o:spt="75" type="#_x0000_t75" style="height:16.05pt;width:234.95pt;" o:ole="t" filled="f" o:preferrelative="t" stroked="f" coordsize="21600,21600">
            <v:path/>
            <v:fill on="f" focussize="0,0"/>
            <v:stroke on="f" joinstyle="miter"/>
            <v:imagedata r:id="rId35" o:title=""/>
            <o:lock v:ext="edit" aspectratio="t"/>
            <w10:wrap type="none"/>
            <w10:anchorlock/>
          </v:shape>
          <o:OLEObject Type="Embed" ProgID="Equation.DSMT4" ShapeID="_x0000_i1028" DrawAspect="Content" ObjectID="_1468075728" r:id="rId34">
            <o:LockedField>false</o:LockedField>
          </o:OLEObject>
        </w:object>
      </w:r>
      <w:r>
        <w:t xml:space="preserve"> </w:t>
      </w:r>
      <w:r>
        <w:rPr>
          <w:rFonts w:hint="eastAsia"/>
        </w:rPr>
        <w:t xml:space="preserve">           </w:t>
      </w:r>
      <w:r>
        <w:rPr>
          <w:rFonts w:hint="eastAsia"/>
          <w:color w:val="auto"/>
        </w:rPr>
        <w:t xml:space="preserve"> </w:t>
      </w:r>
      <w:r>
        <w:rPr>
          <w:color w:val="auto"/>
        </w:rPr>
        <w:tab/>
      </w:r>
      <w:r>
        <w:rPr>
          <w:rFonts w:hint="eastAsia"/>
          <w:color w:val="auto"/>
        </w:rPr>
        <w:t>(4.1)</w:t>
      </w:r>
    </w:p>
    <w:p w14:paraId="37D748DE">
      <w:pPr>
        <w:pStyle w:val="34"/>
        <w:ind w:firstLine="480" w:firstLineChars="200"/>
        <w:jc w:val="both"/>
        <w:rPr>
          <w:color w:val="auto"/>
        </w:rPr>
      </w:pPr>
      <w:r>
        <w:rPr>
          <w:rFonts w:hint="eastAsia"/>
          <w:color w:val="auto"/>
        </w:rPr>
        <w:t>其</w:t>
      </w:r>
      <w:r>
        <w:rPr>
          <w:color w:val="auto"/>
        </w:rPr>
        <w:t>中</w:t>
      </w:r>
      <w:r>
        <w:rPr>
          <w:rFonts w:hint="eastAsia"/>
          <w:color w:val="auto"/>
        </w:rPr>
        <w:t>，</w:t>
      </w:r>
      <w:r>
        <w:rPr>
          <w:color w:val="auto"/>
        </w:rPr>
        <w:t>V(cell)是计算出来的电压真实值，GAIN是增益，芯片出厂时会经过校 准然后存储在内部EEPROM，单位mV，ADC(cell)是读取的14bit-ADC采样值， OFFSET是ADC偏移值，单位mV。</w:t>
      </w:r>
    </w:p>
    <w:p w14:paraId="70854333">
      <w:pPr>
        <w:pStyle w:val="34"/>
        <w:ind w:firstLine="480" w:firstLineChars="200"/>
        <w:jc w:val="both"/>
        <w:rPr>
          <w:color w:val="auto"/>
        </w:rPr>
      </w:pPr>
      <w:r>
        <w:rPr>
          <w:color w:val="auto"/>
        </w:rPr>
        <w:t>总电压计算公式为：</w:t>
      </w:r>
    </w:p>
    <w:p w14:paraId="436FDFB5">
      <w:pPr>
        <w:pStyle w:val="34"/>
        <w:rPr>
          <w:color w:val="auto"/>
        </w:rPr>
      </w:pPr>
      <w:r>
        <w:tab/>
      </w:r>
      <w:r>
        <w:rPr>
          <w:position w:val="-10"/>
        </w:rPr>
        <w:object>
          <v:shape id="_x0000_i1029" o:spt="75" type="#_x0000_t75" style="height:16.05pt;width:256.5pt;" o:ole="t" filled="f" o:preferrelative="t" stroked="f" coordsize="21600,21600">
            <v:path/>
            <v:fill on="f" focussize="0,0"/>
            <v:stroke on="f" joinstyle="miter"/>
            <v:imagedata r:id="rId37" o:title=""/>
            <o:lock v:ext="edit" aspectratio="t"/>
            <w10:wrap type="none"/>
            <w10:anchorlock/>
          </v:shape>
          <o:OLEObject Type="Embed" ProgID="Equation.DSMT4" ShapeID="_x0000_i1029" DrawAspect="Content" ObjectID="_1468075729" r:id="rId36">
            <o:LockedField>false</o:LockedField>
          </o:OLEObject>
        </w:object>
      </w:r>
      <w:r>
        <w:t xml:space="preserve"> </w:t>
      </w:r>
      <w:r>
        <w:rPr>
          <w:rFonts w:hint="eastAsia"/>
        </w:rPr>
        <w:t xml:space="preserve">             </w:t>
      </w:r>
      <w:r>
        <w:tab/>
      </w:r>
      <w:r>
        <w:rPr>
          <w:rFonts w:hint="eastAsia"/>
          <w:color w:val="auto"/>
        </w:rPr>
        <w:t>(4.2)</w:t>
      </w:r>
    </w:p>
    <w:p w14:paraId="52436E76">
      <w:pPr>
        <w:pStyle w:val="34"/>
        <w:ind w:firstLine="480" w:firstLineChars="200"/>
        <w:jc w:val="both"/>
        <w:rPr>
          <w:color w:val="auto"/>
        </w:rPr>
      </w:pPr>
      <w:r>
        <w:rPr>
          <w:rFonts w:hint="eastAsia"/>
          <w:color w:val="auto"/>
        </w:rPr>
        <w:t>其</w:t>
      </w:r>
      <w:r>
        <w:rPr>
          <w:color w:val="auto"/>
        </w:rPr>
        <w:t>中</w:t>
      </w:r>
      <w:r>
        <w:rPr>
          <w:rFonts w:hint="eastAsia"/>
          <w:color w:val="auto"/>
        </w:rPr>
        <w:t>，</w:t>
      </w:r>
      <w:r>
        <w:rPr>
          <w:color w:val="auto"/>
        </w:rPr>
        <w:t>ADC为采样值 ，Cells为电芯节</w:t>
      </w:r>
      <w:r>
        <w:rPr>
          <w:rFonts w:hint="eastAsia"/>
          <w:color w:val="auto"/>
        </w:rPr>
        <w:t>数，</w:t>
      </w:r>
      <w:r>
        <w:rPr>
          <w:color w:val="auto"/>
        </w:rPr>
        <w:t>温度计算公式为：</w:t>
      </w:r>
    </w:p>
    <w:p w14:paraId="7FF17C4E">
      <w:pPr>
        <w:pStyle w:val="34"/>
      </w:pPr>
      <w:r>
        <w:tab/>
      </w:r>
      <w:r>
        <w:rPr>
          <w:position w:val="-10"/>
        </w:rPr>
        <w:object>
          <v:shape id="_x0000_i1030" o:spt="75" type="#_x0000_t75" style="height:16.05pt;width:113pt;" o:ole="t" filled="f" o:preferrelative="t" stroked="f" coordsize="21600,21600">
            <v:path/>
            <v:fill on="f" focussize="0,0"/>
            <v:stroke on="f" joinstyle="miter"/>
            <v:imagedata r:id="rId39" o:title=""/>
            <o:lock v:ext="edit" aspectratio="t"/>
            <w10:wrap type="none"/>
            <w10:anchorlock/>
          </v:shape>
          <o:OLEObject Type="Embed" ProgID="Equation.DSMT4" ShapeID="_x0000_i1030" DrawAspect="Content" ObjectID="_1468075730" r:id="rId38">
            <o:LockedField>false</o:LockedField>
          </o:OLEObject>
        </w:object>
      </w:r>
      <w:r>
        <w:t xml:space="preserve"> </w:t>
      </w:r>
      <w:r>
        <w:rPr>
          <w:rFonts w:hint="eastAsia"/>
        </w:rPr>
        <w:t xml:space="preserve">                                      </w:t>
      </w:r>
      <w:r>
        <w:tab/>
      </w:r>
      <w:r>
        <w:rPr>
          <w:rFonts w:hint="eastAsia"/>
          <w:color w:val="auto"/>
        </w:rPr>
        <w:t>(4.3)</w:t>
      </w:r>
    </w:p>
    <w:p w14:paraId="6E3ABB90">
      <w:pPr>
        <w:pStyle w:val="34"/>
        <w:rPr>
          <w:color w:val="auto"/>
        </w:rPr>
      </w:pPr>
      <w:r>
        <w:tab/>
      </w:r>
      <w:r>
        <w:rPr>
          <w:position w:val="-10"/>
        </w:rPr>
        <w:object>
          <v:shape id="_x0000_i1031" o:spt="75" type="#_x0000_t75" style="height:16.05pt;width:184.35pt;" o:ole="t" filled="f" o:preferrelative="t" stroked="f" coordsize="21600,21600">
            <v:path/>
            <v:fill on="f" focussize="0,0"/>
            <v:stroke on="f" joinstyle="miter"/>
            <v:imagedata r:id="rId41" o:title=""/>
            <o:lock v:ext="edit" aspectratio="t"/>
            <w10:wrap type="none"/>
            <w10:anchorlock/>
          </v:shape>
          <o:OLEObject Type="Embed" ProgID="Equation.DSMT4" ShapeID="_x0000_i1031" DrawAspect="Content" ObjectID="_1468075731" r:id="rId40">
            <o:LockedField>false</o:LockedField>
          </o:OLEObject>
        </w:object>
      </w:r>
      <w:r>
        <w:rPr>
          <w:rFonts w:hint="eastAsia"/>
        </w:rPr>
        <w:t xml:space="preserve">                      </w:t>
      </w:r>
      <w:r>
        <w:t xml:space="preserve"> </w:t>
      </w:r>
      <w:r>
        <w:tab/>
      </w:r>
      <w:r>
        <w:rPr>
          <w:rFonts w:hint="eastAsia"/>
          <w:color w:val="auto"/>
        </w:rPr>
        <w:t>(4.4)</w:t>
      </w:r>
    </w:p>
    <w:p w14:paraId="5E3A6DA2">
      <w:pPr>
        <w:pStyle w:val="34"/>
        <w:ind w:firstLine="480" w:firstLineChars="200"/>
        <w:jc w:val="both"/>
        <w:rPr>
          <w:color w:val="auto"/>
        </w:rPr>
      </w:pPr>
      <w:r>
        <w:rPr>
          <w:color w:val="auto"/>
        </w:rPr>
        <w:t>其中</w:t>
      </w:r>
      <w:r>
        <w:rPr>
          <w:rFonts w:hint="eastAsia"/>
          <w:color w:val="auto"/>
        </w:rPr>
        <w:t>，</w:t>
      </w:r>
      <w:r>
        <w:rPr>
          <w:color w:val="auto"/>
        </w:rPr>
        <w:t>10000是10K内部上拉</w:t>
      </w:r>
      <w:r>
        <w:rPr>
          <w:rFonts w:hint="eastAsia"/>
          <w:color w:val="auto"/>
        </w:rPr>
        <w:t>电阻</w:t>
      </w:r>
      <w:r>
        <w:rPr>
          <w:color w:val="auto"/>
        </w:rPr>
        <w:t>，RTS该值只是热敏电阻阻值，需要查看热敏电阻的阻值与温度的对应表进行转换。</w:t>
      </w:r>
      <w:bookmarkEnd w:id="46"/>
    </w:p>
    <w:p w14:paraId="2517DBDE">
      <w:pPr>
        <w:pStyle w:val="59"/>
        <w:spacing w:line="400" w:lineRule="exact"/>
        <w:ind w:firstLine="480" w:firstLineChars="200"/>
        <w:jc w:val="both"/>
        <w:rPr>
          <w:sz w:val="24"/>
          <w:szCs w:val="24"/>
        </w:rPr>
      </w:pPr>
      <w:r>
        <w:rPr>
          <w:rFonts w:hint="eastAsia"/>
          <w:sz w:val="24"/>
        </w:rPr>
        <w:t>数据采集</w:t>
      </w:r>
      <w:r>
        <w:rPr>
          <w:rFonts w:hint="eastAsia"/>
          <w:sz w:val="24"/>
          <w:szCs w:val="24"/>
        </w:rPr>
        <w:t>状态机的流程如图4</w:t>
      </w:r>
      <w:r>
        <w:rPr>
          <w:sz w:val="24"/>
          <w:szCs w:val="24"/>
        </w:rPr>
        <w:t>.2</w:t>
      </w:r>
      <w:r>
        <w:rPr>
          <w:rFonts w:hint="eastAsia"/>
          <w:sz w:val="24"/>
          <w:szCs w:val="24"/>
        </w:rPr>
        <w:t>所示，</w:t>
      </w:r>
      <w:r>
        <w:rPr>
          <w:sz w:val="24"/>
          <w:szCs w:val="24"/>
        </w:rPr>
        <w:t>首先要完成对软件IIC设计与BQ76930 初始化，主要包含初始化ADC转换模式、ADC转换通道、GPIO转换通道。 电池数据采集程序设计分为两个部分：1、启动电池数据ADC转换；2、获取ADC转换后的电池数据。首先是启动电池数据ADC转换，以启动电池电压ADC转换为例：首先</w:t>
      </w:r>
      <w:r>
        <w:rPr>
          <w:rFonts w:hint="eastAsia"/>
          <w:sz w:val="24"/>
          <w:szCs w:val="24"/>
        </w:rPr>
        <w:t>激活唤醒引脚</w:t>
      </w:r>
      <w:r>
        <w:rPr>
          <w:sz w:val="24"/>
          <w:szCs w:val="24"/>
        </w:rPr>
        <w:t xml:space="preserve">，然后微控制器通过IIC通信方式向采集芯片发送启动电池 电压ADC转换的8位二进制命令，当采集芯片接收到命令后便开启启动电池电压ADC 转换过程。同理使用同样的方法启动 GPIO ADC 转换来对电池电流与电池温度进行转换。 </w:t>
      </w:r>
    </w:p>
    <w:p w14:paraId="1F5A88ED">
      <w:pPr>
        <w:pStyle w:val="59"/>
        <w:spacing w:line="400" w:lineRule="exact"/>
        <w:ind w:firstLine="480" w:firstLineChars="200"/>
        <w:jc w:val="both"/>
        <w:rPr>
          <w:sz w:val="24"/>
          <w:szCs w:val="24"/>
        </w:rPr>
      </w:pPr>
      <w:r>
        <w:rPr>
          <w:sz w:val="24"/>
          <w:szCs w:val="24"/>
        </w:rPr>
        <w:t>另外就是获取ADC转换后的电池数据，以获取ADC转换后的电池电压数据为例</w:t>
      </w:r>
      <w:r>
        <w:rPr>
          <w:rFonts w:hint="eastAsia"/>
          <w:sz w:val="24"/>
          <w:szCs w:val="24"/>
        </w:rPr>
        <w:t>：</w:t>
      </w:r>
      <w:r>
        <w:rPr>
          <w:sz w:val="24"/>
          <w:szCs w:val="24"/>
        </w:rPr>
        <w:t xml:space="preserve">首选确定需要读出的电压寄存器，确定好读出那个电压寄存器8位二进制命令，然后微控制器通过IIC通信方式向采集芯片发送获取电池电压数据，并将电池电压数据存储在数组内，方便微控制器的使用。同理使用同样的方法完成对GPIO ADC转换后电池电流与电池温度数据的获取。 </w:t>
      </w:r>
    </w:p>
    <w:p w14:paraId="6F43A531">
      <w:pPr>
        <w:pStyle w:val="59"/>
        <w:spacing w:line="400" w:lineRule="exact"/>
        <w:ind w:firstLine="480" w:firstLineChars="200"/>
        <w:jc w:val="both"/>
        <w:rPr>
          <w:sz w:val="24"/>
          <w:szCs w:val="24"/>
        </w:rPr>
      </w:pPr>
      <w:r>
        <w:rPr>
          <w:sz w:val="24"/>
          <w:szCs w:val="24"/>
        </w:rPr>
        <w:t>最后通过FreeRTOS实时操作系统的加持，对整个电池数据采集程序分成两个单元任务：1、启动电池数据ADC转换任务Task1；2、获取ADC转换后的电池数据任务Task2， 并在两个任务间引入二值信号量xQueueCreate( )，目的是当采集芯片完成电池数据ADC 转换任务1后，发送信号给获取电池数据任务2，这样使得获取电池数据有了确定的时间，使的采集数据与获取数据达到同步效果，任务连续过程不会被打断。</w:t>
      </w:r>
    </w:p>
    <w:p w14:paraId="3FFCD791">
      <w:pPr>
        <w:spacing w:line="240" w:lineRule="auto"/>
        <w:jc w:val="center"/>
      </w:pPr>
    </w:p>
    <w:p w14:paraId="55D7B920">
      <w:pPr>
        <w:spacing w:line="240" w:lineRule="auto"/>
        <w:jc w:val="center"/>
      </w:pPr>
      <w:r>
        <w:rPr>
          <w:rFonts w:hint="eastAsia"/>
        </w:rPr>
        <w:object>
          <v:shape id="_x0000_i1032" o:spt="75" type="#_x0000_t75" style="height:324.15pt;width:385pt;" o:ole="t" filled="f" o:preferrelative="t" stroked="f" coordsize="21600,21600">
            <v:path/>
            <v:fill on="f" focussize="0,0"/>
            <v:stroke on="f" joinstyle="miter"/>
            <v:imagedata r:id="rId43" o:title=""/>
            <o:lock v:ext="edit" aspectratio="t"/>
            <w10:wrap type="none"/>
            <w10:anchorlock/>
          </v:shape>
          <o:OLEObject Type="Embed" ProgID="Visio.Drawing.15" ShapeID="_x0000_i1032" DrawAspect="Content" ObjectID="_1468075732" r:id="rId42">
            <o:LockedField>false</o:LockedField>
          </o:OLEObject>
        </w:object>
      </w:r>
    </w:p>
    <w:p w14:paraId="18C3776A">
      <w:pPr>
        <w:pStyle w:val="7"/>
        <w:spacing w:before="93" w:after="93"/>
        <w:rPr>
          <w:szCs w:val="22"/>
        </w:rPr>
      </w:pPr>
      <w:r>
        <w:rPr>
          <w:rFonts w:hint="eastAsia"/>
        </w:rPr>
        <w:t>图4</w:t>
      </w:r>
      <w:r>
        <w:t>.2</w:t>
      </w:r>
      <w:r>
        <w:rPr>
          <w:rFonts w:hint="eastAsia"/>
        </w:rPr>
        <w:t xml:space="preserve"> 数据采集程序设计</w:t>
      </w:r>
    </w:p>
    <w:p w14:paraId="11253261">
      <w:pPr>
        <w:pStyle w:val="3"/>
      </w:pPr>
      <w:bookmarkStart w:id="47" w:name="_Toc200699966"/>
      <w:r>
        <w:t>4.</w:t>
      </w:r>
      <w:r>
        <w:rPr>
          <w:rFonts w:hint="eastAsia"/>
        </w:rPr>
        <w:t>3</w:t>
      </w:r>
      <w:r>
        <w:t xml:space="preserve"> 通信交互和信息管理模块</w:t>
      </w:r>
      <w:bookmarkEnd w:id="47"/>
    </w:p>
    <w:p w14:paraId="5B0A642A">
      <w:pPr>
        <w:ind w:firstLine="480" w:firstLineChars="200"/>
      </w:pPr>
      <w:r>
        <w:t>本次设计BQ769</w:t>
      </w:r>
      <w:r>
        <w:rPr>
          <w:rFonts w:hint="eastAsia"/>
        </w:rPr>
        <w:t>3</w:t>
      </w:r>
      <w:r>
        <w:t>0和</w:t>
      </w:r>
      <w:r>
        <w:rPr>
          <w:rFonts w:hint="eastAsia"/>
        </w:rPr>
        <w:t>BMU</w:t>
      </w:r>
      <w:r>
        <w:t>之间通过IIC协议进行通讯</w:t>
      </w:r>
      <w:r>
        <w:rPr>
          <w:rFonts w:hint="eastAsia"/>
        </w:rPr>
        <w:t>，</w:t>
      </w:r>
      <w:r>
        <w:t>这种协议基于两条串行信号线：时钟线（SCL）和数据线（SDA）。在IIC总线上，每个设备都有一个唯一7位地址，用于识别该设备。IIC协议支持双向通讯，因此可以在总线 上发送和接收数据。在IIC通讯过程中，</w:t>
      </w:r>
      <w:r>
        <w:rPr>
          <w:rFonts w:hint="eastAsia"/>
        </w:rPr>
        <w:t>BMU</w:t>
      </w:r>
      <w:r>
        <w:t>控制总线并负责启动和停止通讯， BQ769</w:t>
      </w:r>
      <w:r>
        <w:rPr>
          <w:rFonts w:hint="eastAsia"/>
        </w:rPr>
        <w:t>3</w:t>
      </w:r>
      <w:r>
        <w:t>0则被动响应主设备的请求。如图4.3所示为IIC通讯时序图,在IIC通讯中，空闲状态时SCL（串行时钟线）和SDA（串行数据线）均为高电平，主设备在SCL为高电平时，将SDA从高拉低，形成起始条件，主设备发送从设备地址（包括读写位）至总线上，从设备在接收到地址后会 给出应答信号，主设备发送或接收数据，每个数据位在时钟的下降沿或上升沿进行传输，从设备也会给出相应的应答信号，主设备在SCL为高电平时，将SDA从低拉高，形成停止条件</w:t>
      </w:r>
      <w:r>
        <w:rPr>
          <w:rFonts w:hint="eastAsia"/>
        </w:rPr>
        <w:t>。</w:t>
      </w:r>
    </w:p>
    <w:p w14:paraId="38B1908D">
      <w:pPr>
        <w:spacing w:line="240" w:lineRule="auto"/>
        <w:jc w:val="center"/>
      </w:pPr>
      <w:r>
        <w:rPr>
          <w:rFonts w:hint="eastAsia"/>
        </w:rPr>
        <w:object>
          <v:shape id="_x0000_i1033" o:spt="75" type="#_x0000_t75" style="height:99.3pt;width:350.55pt;" o:ole="t" filled="f" o:preferrelative="t" stroked="f" coordsize="21600,21600">
            <v:path/>
            <v:fill on="f" focussize="0,0"/>
            <v:stroke on="f" joinstyle="miter"/>
            <v:imagedata r:id="rId45" o:title=""/>
            <o:lock v:ext="edit" aspectratio="t"/>
            <w10:wrap type="none"/>
            <w10:anchorlock/>
          </v:shape>
          <o:OLEObject Type="Embed" ProgID="Visio.Drawing.15" ShapeID="_x0000_i1033" DrawAspect="Content" ObjectID="_1468075733" r:id="rId44">
            <o:LockedField>false</o:LockedField>
          </o:OLEObject>
        </w:object>
      </w:r>
    </w:p>
    <w:p w14:paraId="0F033D47">
      <w:pPr>
        <w:pStyle w:val="7"/>
        <w:spacing w:before="93" w:after="93"/>
      </w:pPr>
      <w:r>
        <w:rPr>
          <w:rFonts w:hint="eastAsia"/>
        </w:rPr>
        <w:t>图</w:t>
      </w:r>
      <w:r>
        <w:t>4.3</w:t>
      </w:r>
      <w:r>
        <w:rPr>
          <w:rFonts w:hint="eastAsia"/>
        </w:rPr>
        <w:t xml:space="preserve"> IIC通讯时序图</w:t>
      </w:r>
    </w:p>
    <w:p w14:paraId="0A528E49">
      <w:pPr>
        <w:ind w:firstLine="480" w:firstLineChars="200"/>
      </w:pPr>
      <w:r>
        <w:t>本次设计利用软件模拟IIC功能，将STM32的两个GPIO引脚作为SCL和SDA, 其中SCL一直被配置为通用推挽输岀模式，而SDA引脚应该配置为开漏输出模式。 在IIC通信中，SDA线是双向的数据线，可以由主设备或从设备拉低，但只能由 从设备拉高。因此，SDA引脚通常被配置为开漏输出模式，以便多个设备能够共享总线并正确驱动SDA线</w:t>
      </w:r>
      <w:r>
        <w:rPr>
          <w:rFonts w:hint="eastAsia"/>
        </w:rPr>
        <w:t>。</w:t>
      </w:r>
    </w:p>
    <w:p w14:paraId="775C949B">
      <w:pPr>
        <w:pStyle w:val="3"/>
      </w:pPr>
      <w:bookmarkStart w:id="48" w:name="_Toc200699967"/>
      <w:r>
        <w:t>4.</w:t>
      </w:r>
      <w:r>
        <w:rPr>
          <w:rFonts w:hint="eastAsia"/>
        </w:rPr>
        <w:t>4 CAN协议交互程序</w:t>
      </w:r>
      <w:bookmarkEnd w:id="48"/>
    </w:p>
    <w:p w14:paraId="1C29308F">
      <w:pPr>
        <w:ind w:firstLine="480" w:firstLineChars="200"/>
      </w:pPr>
      <w:r>
        <w:t>利用CAN总线实现B</w:t>
      </w:r>
      <w:r>
        <w:rPr>
          <w:rFonts w:hint="eastAsia"/>
        </w:rPr>
        <w:t>CU</w:t>
      </w:r>
      <w:r>
        <w:t>与</w:t>
      </w:r>
      <w:r>
        <w:rPr>
          <w:rFonts w:hint="eastAsia"/>
        </w:rPr>
        <w:t>BMU</w:t>
      </w:r>
      <w:r>
        <w:t>之间的数据交互。B</w:t>
      </w:r>
      <w:r>
        <w:rPr>
          <w:rFonts w:hint="eastAsia"/>
        </w:rPr>
        <w:t>CU</w:t>
      </w:r>
      <w:r>
        <w:t>与</w:t>
      </w:r>
      <w:r>
        <w:rPr>
          <w:rFonts w:hint="eastAsia"/>
        </w:rPr>
        <w:t>BMU</w:t>
      </w:r>
      <w:r>
        <w:t>之间进行通信，</w:t>
      </w:r>
      <w:r>
        <w:rPr>
          <w:rFonts w:hint="eastAsia"/>
        </w:rPr>
        <w:t>BMU</w:t>
      </w:r>
      <w:r>
        <w:t>上报电池的基本数据，如电池电压、温度、SOC等数据，</w:t>
      </w:r>
      <w:r>
        <w:rPr>
          <w:rFonts w:hint="eastAsia"/>
        </w:rPr>
        <w:t>BMU</w:t>
      </w:r>
      <w:r>
        <w:t>通过CAN总线向B</w:t>
      </w:r>
      <w:r>
        <w:rPr>
          <w:rFonts w:hint="eastAsia"/>
        </w:rPr>
        <w:t>CU</w:t>
      </w:r>
      <w:r>
        <w:t>发送指令。因此通信模块实现的主要 功能包括配合上层应用程序进行信号的配置和获取、生成CAN报文、配置报文的参数信息和数据域、发送和接收CAN报文。</w:t>
      </w:r>
    </w:p>
    <w:p w14:paraId="73388D9A">
      <w:pPr>
        <w:ind w:firstLine="480" w:firstLineChars="200"/>
      </w:pPr>
      <w:r>
        <w:t>针对来自下位机不同种类的动力电池数据和状态信息，通过给各类 CAN数据分配不同的ID号加以区分，实际采用的是标准帧。标识符扩展位用来 表明是标准帧或扩展帧，保留位R0用于扩展使用。数据长度DLC 用于指定每 一帧数据的长度，范围是0至8个字节。循环冗余错误CRC用于确保CAN数据传输的完整性。ACK是应答标志，用来表示CRC是否校验准确。</w:t>
      </w:r>
    </w:p>
    <w:p w14:paraId="5B9D3ADD">
      <w:pPr>
        <w:ind w:firstLine="480" w:firstLineChars="200"/>
      </w:pPr>
      <w:r>
        <w:t>在数据接收线程中，首先轮询判断是否有来自下位机的CAN数据，如果有则利用CAN帧结构体进行接收，之后根据设定的CAN通信报文协议进行动力电池组数据的分类解析，依次获取 SOC值、总电压、电流、单体</w:t>
      </w:r>
      <w:r>
        <w:rPr>
          <w:rFonts w:hint="eastAsia"/>
        </w:rPr>
        <w:t>电池</w:t>
      </w:r>
      <w:r>
        <w:t>电压值、温度等数据，存在</w:t>
      </w:r>
      <w:r>
        <w:rPr>
          <w:rFonts w:hint="eastAsia"/>
        </w:rPr>
        <w:t>E</w:t>
      </w:r>
      <w:r>
        <w:t>EPROM中。</w:t>
      </w:r>
    </w:p>
    <w:p w14:paraId="39E81C1C">
      <w:pPr>
        <w:ind w:firstLine="480" w:firstLineChars="200"/>
      </w:pPr>
      <w:r>
        <w:t>另外，在多线程程序设计中采用了互斥机制，实际采用QMutex类的lock函 数来锁住互斥量，因为若互斥量处于解锁状态，则线程会立刻锁定互斥量，否则 将会造成当前线程的阻塞。由于在界面设计主程序的构造函数中已经完成了窗口控件的初始化，需要进一步考虑CAN接收数据的动态显示，因此采用定时器来每隔20ms来执行控件数据的刷新工作，即在定时器对应的槽函数中将暂存在共享数据区中解析完成的动力电池数据实时显示在窗口控件中。</w:t>
      </w:r>
    </w:p>
    <w:p w14:paraId="2C6165C2">
      <w:pPr>
        <w:ind w:firstLine="480" w:firstLineChars="200"/>
      </w:pPr>
      <w:r>
        <w:t>通信模块按照设计流程主要分为数据域的设计、CAN初始化、CAN报文发送、CAN 报文接收。CAN 总线帧主要分为数据帧、远程帧、错误帧和过载帧。数据帧为携带数据从发送器至接收器。远程帧是接收单元向发送单元请求发送具有相同标识符数据所用的帧。 错误帧是单元检测CAN总线出现错误时发送的帧，通过此帧可以了解CAN总线发生了 何种故障。过载帧主要用来在数据或远程帧之间提供一定的延时。在数据帧中，其主要由开始域、状态域、控制域、数据域、安全域、检验域以及结束域组成。而数据域就是表示要发送和接收的数据部分。</w:t>
      </w:r>
    </w:p>
    <w:p w14:paraId="2F899EE4">
      <w:pPr>
        <w:ind w:firstLine="480" w:firstLineChars="200"/>
      </w:pPr>
      <w:r>
        <w:t>数据域的设计：按照如下方式定义CAN报文数据域的数据结构，这种数据结构对 应用层来讲可以方便地操作每个信号，对CAN驱动层来讲可以方便地一次性存取8字节数据。</w:t>
      </w:r>
    </w:p>
    <w:p w14:paraId="4DA15B62">
      <w:pPr>
        <w:ind w:firstLine="480" w:firstLineChars="200"/>
      </w:pPr>
      <w:r>
        <w:t xml:space="preserve">（1）建立 N个结构体声明，每结构体声明代表实现某种功能的1个报文的数据域。 </w:t>
      </w:r>
    </w:p>
    <w:p w14:paraId="423B8E2D">
      <w:pPr>
        <w:ind w:firstLine="480" w:firstLineChars="200"/>
      </w:pPr>
      <w:r>
        <w:t xml:space="preserve">（2）在每个报文结构声明中定义1个8字节的联合变量，包含1个uint8型数组和 1个结构声明，此结构声明代表该报文所包含的所有信号。 </w:t>
      </w:r>
    </w:p>
    <w:p w14:paraId="01CA2A72">
      <w:pPr>
        <w:ind w:firstLine="480" w:firstLineChars="200"/>
      </w:pPr>
      <w:r>
        <w:t>（3）为此信号结构声明定义位字段，每个字段代表一种信号，为每个位字段提供 标签，并决定字段的宽度。</w:t>
      </w:r>
    </w:p>
    <w:p w14:paraId="091A696E">
      <w:pPr>
        <w:spacing w:line="240" w:lineRule="auto"/>
        <w:ind w:firstLine="480" w:firstLineChars="200"/>
      </w:pPr>
      <w:r>
        <w:t>初始化有关CAN的全局变量和2路硬件寄存器配置，并配置2路 CAN发送和接收缓存。如图4</w:t>
      </w:r>
      <w:r>
        <w:rPr>
          <w:rFonts w:hint="eastAsia"/>
        </w:rPr>
        <w:t>.4</w:t>
      </w:r>
      <w:r>
        <w:t>所示为CAN初始化流程图</w:t>
      </w:r>
      <w:r>
        <w:rPr>
          <w:rFonts w:hint="eastAsia"/>
        </w:rPr>
        <w:t>。</w:t>
      </w:r>
    </w:p>
    <w:p w14:paraId="1383B7FC">
      <w:pPr>
        <w:spacing w:line="240" w:lineRule="auto"/>
        <w:jc w:val="center"/>
      </w:pPr>
      <w:r>
        <w:rPr>
          <w:rFonts w:hint="eastAsia"/>
        </w:rPr>
        <w:object>
          <v:shape id="_x0000_i1034" o:spt="75" type="#_x0000_t75" style="height:182.65pt;width:114.8pt;" o:ole="t" filled="f" o:preferrelative="t" stroked="f" coordsize="21600,21600">
            <v:path/>
            <v:fill on="f" focussize="0,0"/>
            <v:stroke on="f" joinstyle="miter"/>
            <v:imagedata r:id="rId47" o:title=""/>
            <o:lock v:ext="edit" aspectratio="t"/>
            <w10:wrap type="none"/>
            <w10:anchorlock/>
          </v:shape>
          <o:OLEObject Type="Embed" ProgID="Visio.Drawing.15" ShapeID="_x0000_i1034" DrawAspect="Content" ObjectID="_1468075734" r:id="rId46">
            <o:LockedField>false</o:LockedField>
          </o:OLEObject>
        </w:object>
      </w:r>
    </w:p>
    <w:p w14:paraId="7FDE0F66">
      <w:pPr>
        <w:pStyle w:val="7"/>
        <w:spacing w:before="93" w:after="93"/>
      </w:pPr>
      <w:r>
        <w:t>图4.4 CAN初始化流程图</w:t>
      </w:r>
    </w:p>
    <w:p w14:paraId="0501BBBD">
      <w:pPr>
        <w:ind w:firstLine="480" w:firstLineChars="200"/>
      </w:pPr>
      <w:r>
        <w:t>CAN模块在10ms周期性任务中轮询2路报文信息表，将循环发送模式的报文通过 CAN驱动层发送至总线，然后进行报文发送诊断，主要是判断2路CAN通道的BusOff 状态。CAN模块通过CAN中断接收报文，然后根据CanId判断是否应接收此报文，如接收则将其数据存入对应的接收缓存</w:t>
      </w:r>
      <w:r>
        <w:rPr>
          <w:rFonts w:hint="eastAsia"/>
        </w:rPr>
        <w:t>。</w:t>
      </w:r>
      <w:r>
        <w:t>其发送</w:t>
      </w:r>
      <w:r>
        <w:rPr>
          <w:rFonts w:hint="eastAsia"/>
        </w:rPr>
        <w:t>和接收</w:t>
      </w:r>
      <w:r>
        <w:t>流程如图4.5所示。</w:t>
      </w:r>
    </w:p>
    <w:p w14:paraId="2E8BE28E">
      <w:pPr>
        <w:spacing w:line="240" w:lineRule="auto"/>
        <w:jc w:val="center"/>
      </w:pPr>
    </w:p>
    <w:p w14:paraId="71BCDBFD">
      <w:pPr>
        <w:spacing w:line="240" w:lineRule="auto"/>
        <w:jc w:val="center"/>
      </w:pPr>
      <w:r>
        <w:rPr>
          <w:rFonts w:hint="eastAsia"/>
        </w:rPr>
        <w:object>
          <v:shape id="_x0000_i1035" o:spt="75" type="#_x0000_t75" style="height:283.95pt;width:284.35pt;" o:ole="t" filled="f" o:preferrelative="t" stroked="f" coordsize="21600,21600">
            <v:path/>
            <v:fill on="f" focussize="0,0"/>
            <v:stroke on="f" joinstyle="miter"/>
            <v:imagedata r:id="rId49" o:title=""/>
            <o:lock v:ext="edit" aspectratio="t"/>
            <w10:wrap type="none"/>
            <w10:anchorlock/>
          </v:shape>
          <o:OLEObject Type="Embed" ProgID="Visio.Drawing.15" ShapeID="_x0000_i1035" DrawAspect="Content" ObjectID="_1468075735" r:id="rId48">
            <o:LockedField>false</o:LockedField>
          </o:OLEObject>
        </w:object>
      </w:r>
    </w:p>
    <w:p w14:paraId="477F3176">
      <w:pPr>
        <w:pStyle w:val="7"/>
        <w:spacing w:before="93" w:after="93"/>
      </w:pPr>
      <w:r>
        <w:rPr>
          <w:rFonts w:hint="eastAsia"/>
        </w:rPr>
        <w:t>图</w:t>
      </w:r>
      <w:r>
        <w:t>4.5</w:t>
      </w:r>
      <w:r>
        <w:rPr>
          <w:rFonts w:hint="eastAsia"/>
        </w:rPr>
        <w:t xml:space="preserve"> CAN报文发送和接收流程图</w:t>
      </w:r>
    </w:p>
    <w:p w14:paraId="41747A36">
      <w:pPr>
        <w:ind w:firstLine="480" w:firstLineChars="200"/>
      </w:pPr>
      <w:r>
        <w:t>CAN模块在10ms周期性任务中对除采集子网外的其它2路CAN通道接收到的所有报文进行处理。如报文接收成功，则将Ａ接收缓存中的数据存入Ｂ接收缓存，等待上层取用，最后进行报文接收诊断。CAN模块在100ms周期性任务中对传输采集子网报文的两路CAN通道接收到的所有报文进行处理。如报文接收成功，则将此报文接收缓存中的数据存入B接收缓存，等待上层取用。采用A和B两个孪生数组而非一个数组存储报文数据的目的是首先对A数组中的数据进行校验。如果正确，则复制到B数组供上层软件调用。如果错误，则舍弃本次接收到的数据，上层应用继续调用上一次B数组中的数据。为实现鲁棒通信与高效同步，本协议在标准CAN 2.0</w:t>
      </w:r>
      <w:r>
        <w:rPr>
          <w:rFonts w:hint="eastAsia"/>
        </w:rPr>
        <w:t xml:space="preserve"> </w:t>
      </w:r>
      <w:r>
        <w:t xml:space="preserve">A/B物理层和数据链路层的基础上，定义了严谨的应用层规范。BCU作为CAN总线主站，负责发起通信、管理节点、处理数据和决策。BMU作为从站，响应请求、执行命令、上报数据和状态。 </w:t>
      </w:r>
    </w:p>
    <w:p w14:paraId="2C81458E">
      <w:pPr>
        <w:ind w:firstLine="480" w:firstLineChars="200"/>
      </w:pPr>
      <w:r>
        <w:t>在分布式采集软件设计中，</w:t>
      </w:r>
      <w:r>
        <w:rPr>
          <w:rFonts w:hint="eastAsia"/>
        </w:rPr>
        <w:t>BMU</w:t>
      </w:r>
      <w:r>
        <w:t>负责向</w:t>
      </w:r>
      <w:r>
        <w:rPr>
          <w:rFonts w:hint="eastAsia"/>
        </w:rPr>
        <w:t>BCU</w:t>
      </w:r>
      <w:r>
        <w:t>发送采集的电流、单体电池电压和温度信息，其基本流程为：BMU</w:t>
      </w:r>
      <w:r>
        <w:rPr>
          <w:rFonts w:hint="eastAsia"/>
        </w:rPr>
        <w:t>上电后向总线广播注册帧请求分配逻辑地址并传递物理地址，得到B</w:t>
      </w:r>
      <w:r>
        <w:t>CU</w:t>
      </w:r>
      <w:r>
        <w:rPr>
          <w:rFonts w:hint="eastAsia"/>
        </w:rPr>
        <w:t>所分配的逻辑地址后，组合物理地址和逻辑地址作为基本帧I</w:t>
      </w:r>
      <w:r>
        <w:t>D</w:t>
      </w:r>
      <w:r>
        <w:rPr>
          <w:rFonts w:hint="eastAsia"/>
        </w:rPr>
        <w:t>进行数据帧和心跳帧的上传</w:t>
      </w:r>
      <w:r>
        <w:t>。由于串口是单字节发送，而</w:t>
      </w:r>
      <w:r>
        <w:rPr>
          <w:rFonts w:hint="eastAsia"/>
        </w:rPr>
        <w:t>BMU</w:t>
      </w:r>
      <w:r>
        <w:t>是22位AD的数字量，所以电压和温度数字量各占3字节，附加上ID和校验字节，每帧数据总共占用8字节。</w:t>
      </w:r>
    </w:p>
    <w:p w14:paraId="76562D8D">
      <w:pPr>
        <w:ind w:firstLine="480" w:firstLineChars="200"/>
      </w:pPr>
      <w:r>
        <w:t>主控板和采集板之间制定的通讯协议帧格式如表1所示。</w:t>
      </w:r>
    </w:p>
    <w:p w14:paraId="631E79AD">
      <w:pPr>
        <w:ind w:firstLine="480" w:firstLineChars="200"/>
        <w:jc w:val="center"/>
      </w:pPr>
      <w:r>
        <w:rPr>
          <w:rFonts w:hint="eastAsia"/>
        </w:rPr>
        <w:t>表4.1 数据帧格式</w:t>
      </w:r>
    </w:p>
    <w:tbl>
      <w:tblPr>
        <w:tblStyle w:val="74"/>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1"/>
        <w:gridCol w:w="922"/>
        <w:gridCol w:w="922"/>
        <w:gridCol w:w="922"/>
        <w:gridCol w:w="921"/>
        <w:gridCol w:w="922"/>
        <w:gridCol w:w="922"/>
        <w:gridCol w:w="922"/>
        <w:gridCol w:w="922"/>
      </w:tblGrid>
      <w:tr w14:paraId="29EB4AF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921" w:type="dxa"/>
            <w:tcBorders>
              <w:top w:val="single" w:color="auto" w:sz="4" w:space="0"/>
              <w:bottom w:val="single" w:color="auto" w:sz="4" w:space="0"/>
            </w:tcBorders>
          </w:tcPr>
          <w:p w14:paraId="232EBAA4">
            <w:pPr>
              <w:jc w:val="center"/>
              <w:rPr>
                <w:b/>
                <w:bCs/>
              </w:rPr>
            </w:pPr>
            <w:r>
              <w:rPr>
                <w:rFonts w:hint="eastAsia"/>
                <w:b w:val="0"/>
                <w:bCs w:val="0"/>
              </w:rPr>
              <w:t>字节</w:t>
            </w:r>
          </w:p>
        </w:tc>
        <w:tc>
          <w:tcPr>
            <w:tcW w:w="922" w:type="dxa"/>
            <w:tcBorders>
              <w:top w:val="single" w:color="auto" w:sz="4" w:space="0"/>
              <w:bottom w:val="single" w:color="auto" w:sz="4" w:space="0"/>
            </w:tcBorders>
          </w:tcPr>
          <w:p w14:paraId="52BAE26B">
            <w:pPr>
              <w:jc w:val="center"/>
              <w:rPr>
                <w:b/>
                <w:bCs/>
              </w:rPr>
            </w:pPr>
            <w:r>
              <w:rPr>
                <w:rFonts w:hint="eastAsia"/>
                <w:b w:val="0"/>
                <w:bCs w:val="0"/>
              </w:rPr>
              <w:t>ID</w:t>
            </w:r>
          </w:p>
        </w:tc>
        <w:tc>
          <w:tcPr>
            <w:tcW w:w="922" w:type="dxa"/>
            <w:tcBorders>
              <w:top w:val="single" w:color="auto" w:sz="4" w:space="0"/>
              <w:bottom w:val="single" w:color="auto" w:sz="4" w:space="0"/>
            </w:tcBorders>
          </w:tcPr>
          <w:p w14:paraId="668D0F97">
            <w:pPr>
              <w:jc w:val="center"/>
              <w:rPr>
                <w:b/>
                <w:bCs/>
              </w:rPr>
            </w:pPr>
            <w:r>
              <w:rPr>
                <w:rFonts w:hint="eastAsia"/>
                <w:b w:val="0"/>
                <w:bCs w:val="0"/>
              </w:rPr>
              <w:t>1</w:t>
            </w:r>
          </w:p>
        </w:tc>
        <w:tc>
          <w:tcPr>
            <w:tcW w:w="922" w:type="dxa"/>
            <w:tcBorders>
              <w:top w:val="single" w:color="auto" w:sz="4" w:space="0"/>
              <w:bottom w:val="single" w:color="auto" w:sz="4" w:space="0"/>
            </w:tcBorders>
          </w:tcPr>
          <w:p w14:paraId="4C9C0333">
            <w:pPr>
              <w:jc w:val="center"/>
              <w:rPr>
                <w:b/>
                <w:bCs/>
              </w:rPr>
            </w:pPr>
            <w:r>
              <w:rPr>
                <w:rFonts w:hint="eastAsia"/>
                <w:b w:val="0"/>
                <w:bCs w:val="0"/>
              </w:rPr>
              <w:t>2</w:t>
            </w:r>
          </w:p>
        </w:tc>
        <w:tc>
          <w:tcPr>
            <w:tcW w:w="921" w:type="dxa"/>
            <w:tcBorders>
              <w:top w:val="single" w:color="auto" w:sz="4" w:space="0"/>
              <w:bottom w:val="single" w:color="auto" w:sz="4" w:space="0"/>
            </w:tcBorders>
          </w:tcPr>
          <w:p w14:paraId="18339239">
            <w:pPr>
              <w:jc w:val="center"/>
              <w:rPr>
                <w:b/>
                <w:bCs/>
              </w:rPr>
            </w:pPr>
            <w:r>
              <w:rPr>
                <w:rFonts w:hint="eastAsia"/>
                <w:b w:val="0"/>
                <w:bCs w:val="0"/>
              </w:rPr>
              <w:t>3</w:t>
            </w:r>
          </w:p>
        </w:tc>
        <w:tc>
          <w:tcPr>
            <w:tcW w:w="922" w:type="dxa"/>
            <w:tcBorders>
              <w:top w:val="single" w:color="auto" w:sz="4" w:space="0"/>
              <w:bottom w:val="single" w:color="auto" w:sz="4" w:space="0"/>
            </w:tcBorders>
          </w:tcPr>
          <w:p w14:paraId="0D7D4E41">
            <w:pPr>
              <w:jc w:val="center"/>
              <w:rPr>
                <w:b/>
                <w:bCs/>
              </w:rPr>
            </w:pPr>
            <w:r>
              <w:rPr>
                <w:rFonts w:hint="eastAsia"/>
                <w:b w:val="0"/>
                <w:bCs w:val="0"/>
              </w:rPr>
              <w:t>4</w:t>
            </w:r>
          </w:p>
        </w:tc>
        <w:tc>
          <w:tcPr>
            <w:tcW w:w="922" w:type="dxa"/>
            <w:tcBorders>
              <w:top w:val="single" w:color="auto" w:sz="4" w:space="0"/>
              <w:bottom w:val="single" w:color="auto" w:sz="4" w:space="0"/>
            </w:tcBorders>
          </w:tcPr>
          <w:p w14:paraId="1B2FDA46">
            <w:pPr>
              <w:jc w:val="center"/>
              <w:rPr>
                <w:b/>
                <w:bCs/>
              </w:rPr>
            </w:pPr>
            <w:r>
              <w:rPr>
                <w:rFonts w:hint="eastAsia"/>
                <w:b w:val="0"/>
                <w:bCs w:val="0"/>
              </w:rPr>
              <w:t>5</w:t>
            </w:r>
          </w:p>
        </w:tc>
        <w:tc>
          <w:tcPr>
            <w:tcW w:w="922" w:type="dxa"/>
            <w:tcBorders>
              <w:top w:val="single" w:color="auto" w:sz="4" w:space="0"/>
              <w:bottom w:val="single" w:color="auto" w:sz="4" w:space="0"/>
            </w:tcBorders>
          </w:tcPr>
          <w:p w14:paraId="15D56DEC">
            <w:pPr>
              <w:jc w:val="center"/>
              <w:rPr>
                <w:b/>
                <w:bCs/>
              </w:rPr>
            </w:pPr>
            <w:r>
              <w:rPr>
                <w:rFonts w:hint="eastAsia"/>
                <w:b w:val="0"/>
                <w:bCs w:val="0"/>
              </w:rPr>
              <w:t>6</w:t>
            </w:r>
          </w:p>
        </w:tc>
        <w:tc>
          <w:tcPr>
            <w:tcW w:w="922" w:type="dxa"/>
            <w:tcBorders>
              <w:top w:val="single" w:color="auto" w:sz="4" w:space="0"/>
              <w:bottom w:val="single" w:color="auto" w:sz="4" w:space="0"/>
            </w:tcBorders>
          </w:tcPr>
          <w:p w14:paraId="37E6BCF1">
            <w:pPr>
              <w:jc w:val="center"/>
              <w:rPr>
                <w:b/>
                <w:bCs/>
              </w:rPr>
            </w:pPr>
            <w:r>
              <w:rPr>
                <w:rFonts w:hint="eastAsia"/>
                <w:b w:val="0"/>
                <w:bCs w:val="0"/>
              </w:rPr>
              <w:t>校验</w:t>
            </w:r>
          </w:p>
        </w:tc>
      </w:tr>
      <w:tr w14:paraId="55BBF88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921" w:type="dxa"/>
            <w:tcBorders>
              <w:top w:val="single" w:color="auto" w:sz="4" w:space="0"/>
            </w:tcBorders>
          </w:tcPr>
          <w:p w14:paraId="42A777F0">
            <w:pPr>
              <w:jc w:val="center"/>
              <w:rPr>
                <w:b/>
                <w:bCs/>
              </w:rPr>
            </w:pPr>
            <w:r>
              <w:rPr>
                <w:rFonts w:hint="eastAsia"/>
                <w:b w:val="0"/>
                <w:bCs w:val="0"/>
              </w:rPr>
              <w:t>数据</w:t>
            </w:r>
          </w:p>
        </w:tc>
        <w:tc>
          <w:tcPr>
            <w:tcW w:w="922" w:type="dxa"/>
            <w:tcBorders>
              <w:top w:val="single" w:color="auto" w:sz="4" w:space="0"/>
            </w:tcBorders>
          </w:tcPr>
          <w:p w14:paraId="2DB11159">
            <w:pPr>
              <w:jc w:val="center"/>
            </w:pPr>
            <w:r>
              <w:rPr>
                <w:rFonts w:hint="eastAsia"/>
              </w:rPr>
              <w:t>0x01</w:t>
            </w:r>
          </w:p>
        </w:tc>
        <w:tc>
          <w:tcPr>
            <w:tcW w:w="922" w:type="dxa"/>
            <w:tcBorders>
              <w:top w:val="single" w:color="auto" w:sz="4" w:space="0"/>
            </w:tcBorders>
          </w:tcPr>
          <w:p w14:paraId="7CF35107">
            <w:pPr>
              <w:jc w:val="center"/>
            </w:pPr>
            <w:r>
              <w:rPr>
                <w:rFonts w:hint="eastAsia"/>
              </w:rPr>
              <w:t>0x02</w:t>
            </w:r>
          </w:p>
        </w:tc>
        <w:tc>
          <w:tcPr>
            <w:tcW w:w="922" w:type="dxa"/>
            <w:tcBorders>
              <w:top w:val="single" w:color="auto" w:sz="4" w:space="0"/>
            </w:tcBorders>
          </w:tcPr>
          <w:p w14:paraId="1D78879C">
            <w:pPr>
              <w:jc w:val="center"/>
            </w:pPr>
            <w:r>
              <w:rPr>
                <w:rFonts w:hint="eastAsia"/>
              </w:rPr>
              <w:t>0x33</w:t>
            </w:r>
          </w:p>
        </w:tc>
        <w:tc>
          <w:tcPr>
            <w:tcW w:w="921" w:type="dxa"/>
            <w:tcBorders>
              <w:top w:val="single" w:color="auto" w:sz="4" w:space="0"/>
            </w:tcBorders>
          </w:tcPr>
          <w:p w14:paraId="33F72E22">
            <w:pPr>
              <w:jc w:val="center"/>
            </w:pPr>
            <w:r>
              <w:rPr>
                <w:rFonts w:hint="eastAsia"/>
              </w:rPr>
              <w:t>0x44</w:t>
            </w:r>
          </w:p>
        </w:tc>
        <w:tc>
          <w:tcPr>
            <w:tcW w:w="922" w:type="dxa"/>
            <w:tcBorders>
              <w:top w:val="single" w:color="auto" w:sz="4" w:space="0"/>
            </w:tcBorders>
          </w:tcPr>
          <w:p w14:paraId="2CB1AC9D">
            <w:pPr>
              <w:jc w:val="center"/>
            </w:pPr>
            <w:r>
              <w:rPr>
                <w:rFonts w:hint="eastAsia"/>
              </w:rPr>
              <w:t>0x03</w:t>
            </w:r>
          </w:p>
        </w:tc>
        <w:tc>
          <w:tcPr>
            <w:tcW w:w="922" w:type="dxa"/>
            <w:tcBorders>
              <w:top w:val="single" w:color="auto" w:sz="4" w:space="0"/>
            </w:tcBorders>
          </w:tcPr>
          <w:p w14:paraId="3737C9D8">
            <w:pPr>
              <w:jc w:val="center"/>
            </w:pPr>
            <w:r>
              <w:rPr>
                <w:rFonts w:hint="eastAsia"/>
              </w:rPr>
              <w:t>0x55</w:t>
            </w:r>
          </w:p>
        </w:tc>
        <w:tc>
          <w:tcPr>
            <w:tcW w:w="922" w:type="dxa"/>
            <w:tcBorders>
              <w:top w:val="single" w:color="auto" w:sz="4" w:space="0"/>
            </w:tcBorders>
          </w:tcPr>
          <w:p w14:paraId="72472FE5">
            <w:pPr>
              <w:jc w:val="center"/>
            </w:pPr>
            <w:r>
              <w:rPr>
                <w:rFonts w:hint="eastAsia"/>
              </w:rPr>
              <w:t>0x66</w:t>
            </w:r>
          </w:p>
        </w:tc>
        <w:tc>
          <w:tcPr>
            <w:tcW w:w="922" w:type="dxa"/>
            <w:tcBorders>
              <w:top w:val="single" w:color="auto" w:sz="4" w:space="0"/>
            </w:tcBorders>
          </w:tcPr>
          <w:p w14:paraId="30054886">
            <w:pPr>
              <w:jc w:val="center"/>
            </w:pPr>
            <w:r>
              <w:rPr>
                <w:rFonts w:hint="eastAsia"/>
              </w:rPr>
              <w:t>0x37</w:t>
            </w:r>
          </w:p>
        </w:tc>
      </w:tr>
    </w:tbl>
    <w:p w14:paraId="4F2762AB">
      <w:pPr>
        <w:ind w:firstLine="480" w:firstLineChars="200"/>
      </w:pPr>
      <w:r>
        <w:t>应用层数据帧采用统一结构设计，封装于CAN报文的8字节数据区域中，以提升协议的扩展能力和数据解析的便捷性。其中，第0字节为序列号（SN），由发送端维护并在0至255之间循环递增，接收端可据此识别报文是否丢失或重复；第1字节为命令码或数据类型标识（CMD），用于界定报文内容，例如0x01代表电压数据请求，0x81为电压数据响应，0x10表示心跳请求，0x90为心跳响应，0xF0则为BMU严重告警等；第2至第6字节构成数据载荷区域，根据命令类型携带对应的电压、温度、状态标志或控制参数等信息；第7字节为校验和（Checksum），通常采用CRC-8等算法，对前7字节进行校验，提供数据完整性验证，弥补CAN协议在位级错误检测方面的不足。当主控板收到此帧完整的信息时，通过比较校验字节就可判断此帧数据是否正确，进而决定下一步处理流程。该协议还可以判断采集板是否正常工作。在读取数据的时候，如果数据帧中某一字节超时等待，则可断定此采集板损坏，具体流程如下：</w:t>
      </w:r>
    </w:p>
    <w:p w14:paraId="35011A7B">
      <w:pPr>
        <w:ind w:firstLine="480" w:firstLineChars="200"/>
      </w:pPr>
      <w:r>
        <w:rPr>
          <w:rFonts w:hint="eastAsia" w:ascii="Cambria Math" w:hAnsi="Cambria Math" w:cs="Cambria Math"/>
        </w:rPr>
        <w:t>1.</w:t>
      </w:r>
      <w:r>
        <w:t>主控板发送采集板ID，等待采集板发送8 字节；</w:t>
      </w:r>
    </w:p>
    <w:p w14:paraId="0661AACB">
      <w:pPr>
        <w:ind w:firstLine="480" w:firstLineChars="200"/>
      </w:pPr>
      <w:r>
        <w:rPr>
          <w:rFonts w:hint="eastAsia" w:ascii="Cambria Math" w:hAnsi="Cambria Math" w:cs="Cambria Math"/>
        </w:rPr>
        <w:t>2.</w:t>
      </w:r>
      <w:r>
        <w:t>等待超时还未收到8字节，则主控板重新发送采集板ID；</w:t>
      </w:r>
    </w:p>
    <w:p w14:paraId="6BE1D382">
      <w:pPr>
        <w:ind w:firstLine="480" w:firstLineChars="200"/>
      </w:pPr>
      <w:r>
        <w:rPr>
          <w:rFonts w:hint="eastAsia" w:ascii="Cambria Math" w:hAnsi="Cambria Math" w:cs="Cambria Math"/>
        </w:rPr>
        <w:t>3.</w:t>
      </w:r>
      <w:r>
        <w:t xml:space="preserve">继续等待超时还未收到8字节则断定此采集板损坏，标记并采集下一个。 </w:t>
      </w:r>
    </w:p>
    <w:p w14:paraId="1FA6C5B7">
      <w:pPr>
        <w:ind w:firstLine="480" w:firstLineChars="200"/>
      </w:pPr>
      <w:r>
        <w:t>具体的软件设计流程如图4.6所示。此协议既可以确保采集数据的正确性又可以诊断采集板是否能正常工作。</w:t>
      </w:r>
    </w:p>
    <w:p w14:paraId="625AA9B9">
      <w:pPr>
        <w:spacing w:line="240" w:lineRule="auto"/>
        <w:jc w:val="center"/>
      </w:pPr>
      <w:r>
        <w:rPr>
          <w:rFonts w:hint="eastAsia"/>
        </w:rPr>
        <w:object>
          <v:shape id="_x0000_i1036" o:spt="75" type="#_x0000_t75" style="height:226.15pt;width:204pt;" o:ole="t" filled="f" o:preferrelative="t" stroked="f" coordsize="21600,21600">
            <v:path/>
            <v:fill on="f" focussize="0,0"/>
            <v:stroke on="f" joinstyle="miter"/>
            <v:imagedata r:id="rId51" o:title=""/>
            <o:lock v:ext="edit" aspectratio="t"/>
            <w10:wrap type="none"/>
            <w10:anchorlock/>
          </v:shape>
          <o:OLEObject Type="Embed" ProgID="Visio.Drawing.15" ShapeID="_x0000_i1036" DrawAspect="Content" ObjectID="_1468075736" r:id="rId50">
            <o:LockedField>false</o:LockedField>
          </o:OLEObject>
        </w:object>
      </w:r>
    </w:p>
    <w:p w14:paraId="5BFBB47A">
      <w:pPr>
        <w:pStyle w:val="7"/>
        <w:spacing w:before="93" w:after="93"/>
      </w:pPr>
      <w:r>
        <w:rPr>
          <w:rFonts w:hint="eastAsia"/>
        </w:rPr>
        <w:t>图</w:t>
      </w:r>
      <w:r>
        <w:t>4.6</w:t>
      </w:r>
      <w:r>
        <w:rPr>
          <w:rFonts w:hint="eastAsia"/>
        </w:rPr>
        <w:t xml:space="preserve"> 分布式采集软件流程图</w:t>
      </w:r>
    </w:p>
    <w:p w14:paraId="62479298">
      <w:pPr>
        <w:ind w:firstLine="480" w:firstLineChars="200"/>
      </w:pPr>
      <w:r>
        <w:rPr>
          <w:rFonts w:hint="eastAsia"/>
        </w:rPr>
        <w:t>BC</w:t>
      </w:r>
      <w:r>
        <w:t>U的CAN通信模块是整个机制的核心执行者，</w:t>
      </w:r>
      <w:r>
        <w:rPr>
          <w:rFonts w:hint="eastAsia"/>
        </w:rPr>
        <w:t>当</w:t>
      </w:r>
      <w:r>
        <w:t>系统启动时，BCU广播“节点发现请求”报文。网络中所有处于正常状态的BMU收到后，各自延迟一个基于自身ID计算的随机或固定时间后，发送包含自身唯一标识符（如硬件编码或预设地址）和基本状态信息的“节点发现响应”报文。BCU监听这些响应，构建并维护一个在线BMU列表。</w:t>
      </w:r>
      <w:r>
        <w:rPr>
          <w:rFonts w:hint="eastAsia"/>
        </w:rPr>
        <w:t>为</w:t>
      </w:r>
      <w:r>
        <w:t>动态识别当前系统中活动的BMU单元，为后续的数据轮询、状态监控奠定基础。</w:t>
      </w:r>
    </w:p>
    <w:p w14:paraId="6ECFCF19">
      <w:pPr>
        <w:ind w:firstLine="480" w:firstLineChars="200"/>
      </w:pPr>
      <w:r>
        <w:rPr>
          <w:rFonts w:hint="eastAsia"/>
        </w:rPr>
        <w:t>注册与离线软件流程图如图4.7所示，</w:t>
      </w:r>
      <w:r>
        <w:t>BCU周期性地向已发现的每个BMU发送“心跳请求”报文（或约定BMU主动周期性发送心跳），并启动一个超时定时器 T</w:t>
      </w:r>
      <w:r>
        <w:rPr>
          <w:vertAlign w:val="subscript"/>
        </w:rPr>
        <w:t xml:space="preserve">timeout </w:t>
      </w:r>
      <w:r>
        <w:t>等待该BMU的“心跳响应”。实时监控BMU的在线状态和基本通信能力。是检测节点掉线或“假死”状态的关键手段。</w:t>
      </w:r>
      <w:r>
        <w:rPr>
          <w:szCs w:val="24"/>
        </w:rPr>
        <w:t>当心跳监测超时或连续多次数据请求无响应时，BCU判定该BMU掉线。此时将该BMU标记为</w:t>
      </w:r>
      <w:r>
        <w:rPr>
          <w:rFonts w:hint="eastAsia"/>
          <w:szCs w:val="24"/>
        </w:rPr>
        <w:t>“待机”</w:t>
      </w:r>
      <w:r>
        <w:rPr>
          <w:szCs w:val="24"/>
        </w:rPr>
        <w:t>状态。</w:t>
      </w:r>
      <w:r>
        <w:rPr>
          <w:rFonts w:hint="eastAsia"/>
          <w:szCs w:val="24"/>
        </w:rPr>
        <w:t>并轮询待机列表，给第一次待机的B</w:t>
      </w:r>
      <w:r>
        <w:rPr>
          <w:szCs w:val="24"/>
        </w:rPr>
        <w:t>MU</w:t>
      </w:r>
      <w:r>
        <w:rPr>
          <w:rFonts w:hint="eastAsia"/>
          <w:szCs w:val="24"/>
        </w:rPr>
        <w:t>发送唤醒命令，若3</w:t>
      </w:r>
      <w:r>
        <w:rPr>
          <w:szCs w:val="24"/>
        </w:rPr>
        <w:t>s</w:t>
      </w:r>
      <w:r>
        <w:rPr>
          <w:rFonts w:hint="eastAsia"/>
          <w:szCs w:val="24"/>
        </w:rPr>
        <w:t>后未收到回应，则</w:t>
      </w:r>
      <w:r>
        <w:rPr>
          <w:szCs w:val="24"/>
        </w:rPr>
        <w:t>停止向该BMU发送请求。在进行系统级状态估算和决策时，排除此BMU的数据（或使用最后有效数据并标记为过时）。触发通信丢失告警（上传云端，本地提示）。执行预设的安全策略（降低系统功率限制，或根据剩余在线BMU情况判断是否需要停机）。周期性尝试发送“节点发现请求”或直接的心跳请求，以检测BMU是否重新上线。若来自不同BMU的数据出现逻辑矛盾（如相邻单体电压差过大），除了上报数据可疑告警外，通信模块需确保将此情况通知给数据处理和安全决策模块。</w:t>
      </w:r>
    </w:p>
    <w:p w14:paraId="22597001">
      <w:pPr>
        <w:spacing w:line="240" w:lineRule="auto"/>
        <w:ind w:firstLine="480" w:firstLineChars="200"/>
        <w:jc w:val="center"/>
      </w:pPr>
      <w:r>
        <w:rPr>
          <w:rFonts w:hint="eastAsia"/>
        </w:rPr>
        <w:object>
          <v:shape id="_x0000_i1037" o:spt="75" type="#_x0000_t75" style="height:263.1pt;width:292.6pt;" o:ole="t" filled="f" o:preferrelative="t" stroked="f" coordsize="21600,21600">
            <v:path/>
            <v:fill on="f" focussize="0,0"/>
            <v:stroke on="f" joinstyle="miter"/>
            <v:imagedata r:id="rId53" o:title=""/>
            <o:lock v:ext="edit" aspectratio="t"/>
            <w10:wrap type="none"/>
            <w10:anchorlock/>
          </v:shape>
          <o:OLEObject Type="Embed" ProgID="Visio.Drawing.15" ShapeID="_x0000_i1037" DrawAspect="Content" ObjectID="_1468075737" r:id="rId52">
            <o:LockedField>false</o:LockedField>
          </o:OLEObject>
        </w:object>
      </w:r>
    </w:p>
    <w:p w14:paraId="785DAD89">
      <w:pPr>
        <w:pStyle w:val="7"/>
        <w:spacing w:before="93" w:after="93"/>
      </w:pPr>
      <w:r>
        <w:rPr>
          <w:rFonts w:hint="eastAsia"/>
        </w:rPr>
        <w:t>图</w:t>
      </w:r>
      <w:r>
        <w:t>4.7</w:t>
      </w:r>
      <w:r>
        <w:rPr>
          <w:rFonts w:hint="eastAsia"/>
        </w:rPr>
        <w:t xml:space="preserve"> 注册与离线软件流程图</w:t>
      </w:r>
    </w:p>
    <w:p w14:paraId="45A9E423">
      <w:pPr>
        <w:pStyle w:val="3"/>
      </w:pPr>
      <w:bookmarkStart w:id="49" w:name="_Toc200699968"/>
      <w:r>
        <w:t>4.</w:t>
      </w:r>
      <w:r>
        <w:rPr>
          <w:rFonts w:hint="eastAsia"/>
        </w:rPr>
        <w:t xml:space="preserve">5 </w:t>
      </w:r>
      <w:r>
        <w:t>SOC估算程序</w:t>
      </w:r>
      <w:bookmarkEnd w:id="49"/>
    </w:p>
    <w:p w14:paraId="598D1152">
      <w:pPr>
        <w:pStyle w:val="34"/>
        <w:spacing w:line="400" w:lineRule="exact"/>
        <w:ind w:firstLine="480" w:firstLineChars="200"/>
        <w:jc w:val="both"/>
        <w:rPr>
          <w:color w:val="auto"/>
        </w:rPr>
      </w:pPr>
      <w:r>
        <w:rPr>
          <w:color w:val="auto"/>
        </w:rPr>
        <w:t>SOC 估计策略选择安时积分法，该算法只需要充放电电流作为输入参数，计算方法简单，对主控芯片算力要求低。由于电流采样误差等因素，安时积分法存在系统误差，并且该误差会随充放电循环次数累计，导致估计算法精度逐渐降低。锂电池组在循环过程中，存在两个固定状态信号：满电量信号、零电量信号。电池组满电量被定义为电池组充电过程中输入最大可存储电量阈值电量时刻的状态；电池组零电量被定义为电池组放电过程输出最大可释放电量阈值电量时刻的状态。在固定状态时刻对 SOC 估算算法进行修正，消除累计误差，提高安时积分法 的估算精度。 (1)满电量修正：电池组在充电完成时，强制修正 SOC 值为 100%。该方法可以消除安时积分法由于采样误差导致的系统累计误差，但是无法消除电池组在充放 电循环中导致电池容量衰减产生的误差。 (2)零电量修正：电池组在放电至欠压电压阈值时，强制修正 SOC 值为 0%。 并且在零电量状态，会计算从上一次满电量状态到零电量状态电池组所释放的电量 （累计过程进入充电工作状态，应该减去此次充入的电量），将此电量修正为电池 组下一次 SOC 估算的电池容量，因此零电量修正可以消除由于使用过程导致电池 容量衰减产生的误差。 使用满电量修正与零电量修正方法，SOC 与电池容量初始值可以为任意值， 经过一次满电量状态到零电量状态循环，均衡管理系统自动更新 SOC 与电池容量值。为方便主控在充放电过程对参数采集与 SOC 估计，将上述算计进行功能函数封装定时调用。SOC估算流程图如图 4.8所示。</w:t>
      </w:r>
    </w:p>
    <w:p w14:paraId="5239A0B4">
      <w:pPr>
        <w:pStyle w:val="34"/>
        <w:spacing w:line="240" w:lineRule="auto"/>
        <w:ind w:firstLine="480" w:firstLineChars="200"/>
        <w:jc w:val="center"/>
      </w:pPr>
      <w:r>
        <w:rPr>
          <w:rFonts w:hint="eastAsia"/>
        </w:rPr>
        <w:object>
          <v:shape id="_x0000_i1038" o:spt="75" type="#_x0000_t75" style="height:297.25pt;width:278.75pt;" o:ole="t" filled="f" o:preferrelative="t" stroked="f" coordsize="21600,21600">
            <v:path/>
            <v:fill on="f" focussize="0,0"/>
            <v:stroke on="f" joinstyle="miter"/>
            <v:imagedata r:id="rId55" o:title=""/>
            <o:lock v:ext="edit" aspectratio="t"/>
            <w10:wrap type="none"/>
            <w10:anchorlock/>
          </v:shape>
          <o:OLEObject Type="Embed" ProgID="Visio.Drawing.15" ShapeID="_x0000_i1038" DrawAspect="Content" ObjectID="_1468075738" r:id="rId54">
            <o:LockedField>false</o:LockedField>
          </o:OLEObject>
        </w:object>
      </w:r>
    </w:p>
    <w:p w14:paraId="13DE5C18">
      <w:pPr>
        <w:pStyle w:val="7"/>
        <w:spacing w:before="93" w:after="93"/>
      </w:pPr>
      <w:r>
        <w:rPr>
          <w:rFonts w:hint="eastAsia"/>
        </w:rPr>
        <w:t>图4.</w:t>
      </w:r>
      <w:r>
        <w:t>8</w:t>
      </w:r>
      <w:r>
        <w:rPr>
          <w:rFonts w:hint="eastAsia"/>
        </w:rPr>
        <w:t xml:space="preserve"> SOC估算程序流程图</w:t>
      </w:r>
    </w:p>
    <w:p w14:paraId="547FCE5F">
      <w:pPr>
        <w:pStyle w:val="3"/>
      </w:pPr>
      <w:bookmarkStart w:id="50" w:name="_Toc200699969"/>
      <w:r>
        <w:rPr>
          <w:rFonts w:hint="eastAsia"/>
        </w:rPr>
        <w:t>4</w:t>
      </w:r>
      <w:r>
        <w:t>.</w:t>
      </w:r>
      <w:r>
        <w:rPr>
          <w:rFonts w:hint="eastAsia"/>
        </w:rPr>
        <w:t>6</w:t>
      </w:r>
      <w:r>
        <w:t xml:space="preserve"> 均衡控制模块</w:t>
      </w:r>
      <w:bookmarkEnd w:id="50"/>
      <w:r>
        <w:t xml:space="preserve"> </w:t>
      </w:r>
    </w:p>
    <w:p w14:paraId="461D018E">
      <w:pPr>
        <w:ind w:firstLine="480" w:firstLineChars="200"/>
      </w:pPr>
      <w:r>
        <w:t>根据BQ769</w:t>
      </w:r>
      <w:r>
        <w:rPr>
          <w:rFonts w:hint="eastAsia"/>
        </w:rPr>
        <w:t>3</w:t>
      </w:r>
      <w:r>
        <w:t>0 硬件特性，均衡采用的是被动均衡思路，每次开启均衡之后，系统就会通过指令StartTime开启时间计时，然后到设定的均衡时间，系统就会把这个均衡给它关掉，从Balance往里的核心也是调用了一个BQ769</w:t>
      </w:r>
      <w:r>
        <w:rPr>
          <w:rFonts w:hint="eastAsia"/>
        </w:rPr>
        <w:t>3</w:t>
      </w:r>
      <w:r>
        <w:t>0底层和IIC驱动用来获取采集的单体电芯电压和通信。动态调整均衡启停条件和均衡优先级，以实现更高效、更安全、更能最大化电池组可用容量和延长循环寿命的智能均衡控制。</w:t>
      </w:r>
    </w:p>
    <w:p w14:paraId="3E05A099">
      <w:pPr>
        <w:ind w:firstLine="480" w:firstLineChars="200"/>
      </w:pPr>
      <w:r>
        <w:t>均衡程序的设计主要是解决</w:t>
      </w:r>
      <w:r>
        <w:rPr>
          <w:rFonts w:hint="eastAsia"/>
        </w:rPr>
        <w:t>锂</w:t>
      </w:r>
      <w:r>
        <w:t>电池之间不一致性问题，此前根据</w:t>
      </w:r>
      <w:r>
        <w:rPr>
          <w:rFonts w:hint="eastAsia"/>
        </w:rPr>
        <w:t>锂</w:t>
      </w:r>
      <w:r>
        <w:t xml:space="preserve">电池间不一致性情况，设计了单体电池电压均衡硬件电路。基于提出的均衡硬件电路，本文的均衡程序设计思想：首先微控制器对电池采集芯片 </w:t>
      </w:r>
      <w:r>
        <w:rPr>
          <w:rFonts w:hint="eastAsia"/>
        </w:rPr>
        <w:t>BQ76930</w:t>
      </w:r>
      <w:r>
        <w:t>采集到的电池数据进行计算分析，首先设置单体</w:t>
      </w:r>
      <w:r>
        <w:rPr>
          <w:rFonts w:hint="eastAsia"/>
        </w:rPr>
        <w:t>锂</w:t>
      </w:r>
      <w:r>
        <w:t>电池之间的电压差阈值，通过程序设计找出</w:t>
      </w:r>
      <w:r>
        <w:rPr>
          <w:rFonts w:hint="eastAsia"/>
        </w:rPr>
        <w:t>锂</w:t>
      </w:r>
      <w:r>
        <w:t>电池单体电压值的最大值与最小值，然后通过比较最大值与最小值之间差值是否超过电压差阈值，如果超过则打开相应</w:t>
      </w:r>
      <w:r>
        <w:rPr>
          <w:rFonts w:hint="eastAsia"/>
        </w:rPr>
        <w:t>锂</w:t>
      </w:r>
      <w:r>
        <w:t>电池的均衡端口，否则则无需打开任何均衡端口，均衡功能的打开主要以</w:t>
      </w:r>
      <w:r>
        <w:rPr>
          <w:rFonts w:hint="eastAsia"/>
        </w:rPr>
        <w:t>BQ76930</w:t>
      </w:r>
      <w:r>
        <w:t>的均衡端口S与均衡硬件电路中的MOS管相配合，当需要对响应电池进行均衡时，微控值向采集芯片发送均衡命令，S端口会置1导致与S端口相连的MOS 导通，电池开始主动耗能，完成均衡过程。如图4.9所示</w:t>
      </w:r>
    </w:p>
    <w:p w14:paraId="7CE8F8FA">
      <w:pPr>
        <w:spacing w:line="240" w:lineRule="auto"/>
        <w:jc w:val="center"/>
      </w:pPr>
      <w:r>
        <w:rPr>
          <w:rFonts w:hint="eastAsia"/>
        </w:rPr>
        <w:object>
          <v:shape id="_x0000_i1039" o:spt="75" type="#_x0000_t75" style="height:278.75pt;width:306.45pt;" o:ole="t" filled="f" o:preferrelative="t" stroked="f" coordsize="21600,21600">
            <v:path/>
            <v:fill on="f" focussize="0,0"/>
            <v:stroke on="f" joinstyle="miter"/>
            <v:imagedata r:id="rId57" o:title=""/>
            <o:lock v:ext="edit" aspectratio="t"/>
            <w10:wrap type="none"/>
            <w10:anchorlock/>
          </v:shape>
          <o:OLEObject Type="Embed" ProgID="Visio.Drawing.15" ShapeID="_x0000_i1039" DrawAspect="Content" ObjectID="_1468075739" r:id="rId56">
            <o:LockedField>false</o:LockedField>
          </o:OLEObject>
        </w:object>
      </w:r>
    </w:p>
    <w:p w14:paraId="78EED2BD">
      <w:pPr>
        <w:pStyle w:val="7"/>
        <w:spacing w:before="93" w:after="93"/>
      </w:pPr>
      <w:r>
        <w:rPr>
          <w:rFonts w:hint="eastAsia"/>
        </w:rPr>
        <w:t>图</w:t>
      </w:r>
      <w:r>
        <w:t>4</w:t>
      </w:r>
      <w:r>
        <w:rPr>
          <w:rFonts w:hint="eastAsia"/>
        </w:rPr>
        <w:t>.9 均衡程序框图</w:t>
      </w:r>
    </w:p>
    <w:p w14:paraId="7D178F99">
      <w:pPr>
        <w:pStyle w:val="4"/>
      </w:pPr>
      <w:bookmarkStart w:id="51" w:name="_Toc200699970"/>
      <w:r>
        <w:t>4.</w:t>
      </w:r>
      <w:r>
        <w:rPr>
          <w:rFonts w:hint="eastAsia"/>
        </w:rPr>
        <w:t>6.1</w:t>
      </w:r>
      <w:r>
        <w:t xml:space="preserve"> 算法原理与多因子融合机制策略</w:t>
      </w:r>
      <w:bookmarkEnd w:id="51"/>
    </w:p>
    <w:p w14:paraId="0BECD300">
      <w:pPr>
        <w:ind w:firstLine="480" w:firstLineChars="200"/>
      </w:pPr>
      <w:r>
        <w:rPr>
          <w:rFonts w:hint="eastAsia"/>
        </w:rPr>
        <w:t>本</w:t>
      </w:r>
      <w:r>
        <w:t>策略的核心思想是将单一的电压判据扩展为多维度的综合评估：电压仍然是均衡的基本驱动力之一，尤其在充电末端或静置状态下，电压差能直观反映局部的不一致性。但其阈值和权重将是动态的。荷电状态SOC更能真实地反映单体间存储能量的差异。基于ΔSOC进行均衡，目标更明确，尤其是在电压平台区。准确的SOC估算（由数据处理与状态估算模块提供）是本策略有效性的前提。不同的单体，其充放电行为和均衡响应也不同。温度是均衡过程（尤其是产生热量的被动均衡）的关键约束条件。过高温度下进行均衡会加速电池老化甚至引发热失控；过低温度下均衡效率低下且可能导致锂析出。因此，必须设定严格的均衡工作温度窗口，并可能根据温度梯度调整策略。</w:t>
      </w:r>
    </w:p>
    <w:p w14:paraId="17676891">
      <w:pPr>
        <w:ind w:firstLine="480" w:firstLineChars="200"/>
      </w:pPr>
      <w:r>
        <w:t>融合机制主要体现在以下几个方面：</w:t>
      </w:r>
    </w:p>
    <w:p w14:paraId="752333AD">
      <w:pPr>
        <w:ind w:firstLine="480" w:firstLineChars="200"/>
      </w:pPr>
      <w:r>
        <w:t xml:space="preserve"> 动态阈值: 均衡启动和停止的电压差(ΔV)或SOC差(ΔSOC)阈值不再是固定值，而是根据当前电池组的平均SOC、平均温度等因素自适应调整。 </w:t>
      </w:r>
    </w:p>
    <w:p w14:paraId="62826C1B">
      <w:pPr>
        <w:ind w:firstLine="480" w:firstLineChars="200"/>
      </w:pPr>
      <w:r>
        <w:t xml:space="preserve">优先级评分: 对需要均衡的候选单体（通常是电压或SOC高于平均值/最低值的单体），根据其ΔV、ΔSOC、T等计算一个综合优先级分数。 </w:t>
      </w:r>
    </w:p>
    <w:p w14:paraId="407A362E">
      <w:pPr>
        <w:ind w:firstLine="480" w:firstLineChars="200"/>
      </w:pPr>
      <w:r>
        <w:t>安全约束: 温度、电压等安全边界条件具有最高否决权，任何时候超出安全范围，均衡必须禁止或立即停止。</w:t>
      </w:r>
    </w:p>
    <w:p w14:paraId="2B7D4B8B">
      <w:pPr>
        <w:pStyle w:val="4"/>
      </w:pPr>
      <w:bookmarkStart w:id="52" w:name="_Toc200699971"/>
      <w:r>
        <w:t>4.</w:t>
      </w:r>
      <w:r>
        <w:rPr>
          <w:rFonts w:hint="eastAsia"/>
        </w:rPr>
        <w:t>6.2</w:t>
      </w:r>
      <w:r>
        <w:t xml:space="preserve"> 均衡控制逻辑与流程</w:t>
      </w:r>
      <w:bookmarkEnd w:id="52"/>
    </w:p>
    <w:p w14:paraId="00C7DC41">
      <w:pPr>
        <w:ind w:firstLine="480" w:firstLineChars="200"/>
      </w:pPr>
      <w:r>
        <w:rPr>
          <w:rFonts w:hint="eastAsia"/>
        </w:rPr>
        <w:t>B</w:t>
      </w:r>
      <w:r>
        <w:t>CU的均衡控制模块负责实现该智能算法</w:t>
      </w:r>
      <w:r>
        <w:rPr>
          <w:rFonts w:hint="eastAsia"/>
        </w:rPr>
        <w:t>。</w:t>
      </w:r>
      <w:r>
        <w:t>均衡并非时刻进行，模块首先判断是否满足全局启动条件：</w:t>
      </w:r>
    </w:p>
    <w:p w14:paraId="0E596B67">
      <w:r>
        <w:t>系统状态允许: 电池组处于充电状态（特别是恒压充电阶段）或静置状态。避免在剧烈放电或复杂工况下启动均衡，以保证数据稳定性和安全性。</w:t>
      </w:r>
    </w:p>
    <w:p w14:paraId="177A1454">
      <w:pPr>
        <w:ind w:firstLine="480" w:firstLineChars="200"/>
      </w:pPr>
      <w:r>
        <w:t>电池组状态正常: 电池组未处于严重故障状态（如过温、过压告警）。</w:t>
      </w:r>
    </w:p>
    <w:p w14:paraId="416AAB8D">
      <w:pPr>
        <w:pStyle w:val="34"/>
        <w:spacing w:line="400" w:lineRule="exact"/>
        <w:jc w:val="both"/>
        <w:rPr>
          <w:color w:val="auto"/>
        </w:rPr>
      </w:pPr>
      <w:r>
        <w:rPr>
          <w:color w:val="auto"/>
        </w:rPr>
        <w:t>最小不一致性存在: 电池组内最大电压差或最大SOC差超过动态设定的启动阈值。</w:t>
      </w:r>
    </w:p>
    <w:p w14:paraId="344417ED">
      <w:pPr>
        <w:pStyle w:val="34"/>
        <w:spacing w:line="400" w:lineRule="exact"/>
        <w:ind w:firstLine="480" w:firstLineChars="200"/>
        <w:jc w:val="both"/>
        <w:rPr>
          <w:color w:val="auto"/>
        </w:rPr>
      </w:pPr>
      <w:r>
        <w:rPr>
          <w:color w:val="auto"/>
        </w:rPr>
        <w:t>动态启动阈值 (</w:t>
      </w:r>
      <w:r>
        <w:rPr>
          <w:position w:val="-12"/>
        </w:rPr>
        <w:object>
          <v:shape id="_x0000_i1040" o:spt="75" type="#_x0000_t75" style="height:19.4pt;width:35.1pt;" o:ole="t" filled="f" o:preferrelative="t" stroked="f" coordsize="21600,21600">
            <v:path/>
            <v:fill on="f" focussize="0,0"/>
            <v:stroke on="f" joinstyle="miter"/>
            <v:imagedata r:id="rId59" o:title=""/>
            <o:lock v:ext="edit" aspectratio="t"/>
            <w10:wrap type="none"/>
            <w10:anchorlock/>
          </v:shape>
          <o:OLEObject Type="Embed" ProgID="Equation.DSMT4" ShapeID="_x0000_i1040" DrawAspect="Content" ObjectID="_1468075740" r:id="rId58">
            <o:LockedField>false</o:LockedField>
          </o:OLEObject>
        </w:object>
      </w:r>
      <w:r>
        <w:rPr>
          <w:color w:val="auto"/>
        </w:rPr>
        <w:t xml:space="preserve">): 该阈值可设计为当前状态的函数 </w:t>
      </w:r>
    </w:p>
    <w:p w14:paraId="3356BD35">
      <w:pPr>
        <w:pStyle w:val="34"/>
        <w:spacing w:line="400" w:lineRule="exact"/>
        <w:rPr>
          <w:color w:val="auto"/>
        </w:rPr>
      </w:pPr>
      <w:r>
        <w:rPr>
          <w:position w:val="-14"/>
        </w:rPr>
        <w:object>
          <v:shape id="_x0000_i1041" o:spt="75" type="#_x0000_t75" style="height:21.25pt;width:132.9pt;" o:ole="t" filled="f" o:preferrelative="t" stroked="f" coordsize="21600,21600">
            <v:path/>
            <v:fill on="f" focussize="0,0"/>
            <v:stroke on="f" joinstyle="miter"/>
            <v:imagedata r:id="rId61" o:title=""/>
            <o:lock v:ext="edit" aspectratio="t"/>
            <w10:wrap type="none"/>
            <w10:anchorlock/>
          </v:shape>
          <o:OLEObject Type="Embed" ProgID="Equation.DSMT4" ShapeID="_x0000_i1041" DrawAspect="Content" ObjectID="_1468075741" r:id="rId60">
            <o:LockedField>false</o:LockedField>
          </o:OLEObject>
        </w:object>
      </w:r>
      <w:r>
        <w:t xml:space="preserve"> </w:t>
      </w:r>
      <w:r>
        <w:rPr>
          <w:rFonts w:hint="eastAsia"/>
        </w:rPr>
        <w:t xml:space="preserve">                                   </w:t>
      </w:r>
      <w:r>
        <w:tab/>
      </w:r>
      <w:r>
        <w:rPr>
          <w:rFonts w:hint="eastAsia"/>
          <w:color w:val="auto"/>
        </w:rPr>
        <w:t>(4.5)</w:t>
      </w:r>
    </w:p>
    <w:p w14:paraId="21A5797D">
      <w:pPr>
        <w:pStyle w:val="34"/>
        <w:spacing w:line="400" w:lineRule="exact"/>
        <w:ind w:firstLine="480" w:firstLineChars="200"/>
        <w:jc w:val="left"/>
        <w:rPr>
          <w:color w:val="auto"/>
        </w:rPr>
      </w:pPr>
      <w:r>
        <w:rPr>
          <w:color w:val="auto"/>
        </w:rPr>
        <w:t>在接近满充 (高</w:t>
      </w:r>
      <w:r>
        <w:rPr>
          <w:rFonts w:hint="eastAsia"/>
          <w:i/>
          <w:iCs/>
          <w:color w:val="auto"/>
        </w:rPr>
        <w:t>SOC</w:t>
      </w:r>
      <w:r>
        <w:rPr>
          <w:rFonts w:hint="eastAsia"/>
          <w:i/>
          <w:iCs/>
          <w:color w:val="auto"/>
          <w:vertAlign w:val="subscript"/>
        </w:rPr>
        <w:t>avg</w:t>
      </w:r>
      <w:r>
        <w:rPr>
          <w:color w:val="auto"/>
        </w:rPr>
        <w:t>) 时采用更小的</w:t>
      </w:r>
      <w:r>
        <w:rPr>
          <w:position w:val="-12"/>
        </w:rPr>
        <w:object>
          <v:shape id="_x0000_i1042" o:spt="75" type="#_x0000_t75" style="height:19.4pt;width:35.1pt;" o:ole="t" filled="f" o:preferrelative="t" stroked="f" coordsize="21600,21600">
            <v:path/>
            <v:fill on="f" focussize="0,0"/>
            <v:stroke on="f" joinstyle="miter"/>
            <v:imagedata r:id="rId59" o:title=""/>
            <o:lock v:ext="edit" aspectratio="t"/>
            <w10:wrap type="none"/>
            <w10:anchorlock/>
          </v:shape>
          <o:OLEObject Type="Embed" ProgID="Equation.DSMT4" ShapeID="_x0000_i1042" DrawAspect="Content" ObjectID="_1468075742" r:id="rId62">
            <o:LockedField>false</o:LockedField>
          </o:OLEObject>
        </w:object>
      </w:r>
      <w:r>
        <w:rPr>
          <w:color w:val="auto"/>
        </w:rPr>
        <w:t>以提高一致性；在适宜温度 (</w:t>
      </w:r>
      <w:r>
        <w:rPr>
          <w:position w:val="-14"/>
        </w:rPr>
        <w:object>
          <v:shape id="_x0000_i1043" o:spt="75" type="#_x0000_t75" style="height:20.3pt;width:21.25pt;" o:ole="t" filled="f" o:preferrelative="t" stroked="f" coordsize="21600,21600">
            <v:path/>
            <v:fill on="f" focussize="0,0"/>
            <v:stroke on="f" joinstyle="miter"/>
            <v:imagedata r:id="rId64" o:title=""/>
            <o:lock v:ext="edit" aspectratio="t"/>
            <w10:wrap type="none"/>
            <w10:anchorlock/>
          </v:shape>
          <o:OLEObject Type="Embed" ProgID="Equation.DSMT4" ShapeID="_x0000_i1043" DrawAspect="Content" ObjectID="_1468075743" r:id="rId63">
            <o:LockedField>false</o:LockedField>
          </o:OLEObject>
        </w:object>
      </w:r>
      <w:r>
        <w:rPr>
          <w:color w:val="auto"/>
        </w:rPr>
        <w:t xml:space="preserve"> 在最佳范围) 时可适当降低阈值。</w:t>
      </w:r>
    </w:p>
    <w:p w14:paraId="64328514">
      <w:pPr>
        <w:pStyle w:val="34"/>
        <w:spacing w:line="240" w:lineRule="auto"/>
      </w:pPr>
      <w:r>
        <w:tab/>
      </w:r>
      <w:r>
        <w:rPr>
          <w:position w:val="-14"/>
        </w:rPr>
        <w:object>
          <v:shape id="_x0000_i1044" o:spt="75" type="#_x0000_t75" style="height:21.25pt;width:279.7pt;" o:ole="t" filled="f" o:preferrelative="t" stroked="f" coordsize="21600,21600">
            <v:path/>
            <v:fill on="f" focussize="0,0"/>
            <v:stroke on="f" joinstyle="miter"/>
            <v:imagedata r:id="rId66" o:title=""/>
            <o:lock v:ext="edit" aspectratio="t"/>
            <w10:wrap type="none"/>
            <w10:anchorlock/>
          </v:shape>
          <o:OLEObject Type="Embed" ProgID="Equation.DSMT4" ShapeID="_x0000_i1044" DrawAspect="Content" ObjectID="_1468075744" r:id="rId65">
            <o:LockedField>false</o:LockedField>
          </o:OLEObject>
        </w:object>
      </w:r>
      <w:r>
        <w:rPr>
          <w:rFonts w:hint="eastAsia"/>
        </w:rPr>
        <w:t xml:space="preserve">      </w:t>
      </w:r>
      <w:r>
        <w:t xml:space="preserve"> </w:t>
      </w:r>
      <w:r>
        <w:tab/>
      </w:r>
      <w:r>
        <w:rPr>
          <w:rFonts w:hint="eastAsia"/>
          <w:color w:val="auto"/>
        </w:rPr>
        <w:t>(4.6)</w:t>
      </w:r>
    </w:p>
    <w:p w14:paraId="012833D9">
      <w:pPr>
        <w:pStyle w:val="34"/>
        <w:spacing w:line="400" w:lineRule="exact"/>
        <w:jc w:val="left"/>
        <w:rPr>
          <w:color w:val="auto"/>
        </w:rPr>
      </w:pPr>
      <w:r>
        <w:rPr>
          <w:color w:val="auto"/>
        </w:rPr>
        <w:t>其中</w:t>
      </w:r>
      <w:r>
        <w:rPr>
          <w:rFonts w:hint="eastAsia"/>
          <w:color w:val="auto"/>
        </w:rPr>
        <w:t>，</w:t>
      </w:r>
      <w:r>
        <w:rPr>
          <w:position w:val="-12"/>
        </w:rPr>
        <w:object>
          <v:shape id="_x0000_i1045" o:spt="75" type="#_x0000_t75" style="height:19.4pt;width:24pt;" o:ole="t" filled="f" o:preferrelative="t" stroked="f" coordsize="21600,21600">
            <v:path/>
            <v:fill on="f" focussize="0,0"/>
            <v:stroke on="f" joinstyle="miter"/>
            <v:imagedata r:id="rId68" o:title=""/>
            <o:lock v:ext="edit" aspectratio="t"/>
            <w10:wrap type="none"/>
            <w10:anchorlock/>
          </v:shape>
          <o:OLEObject Type="Embed" ProgID="Equation.DSMT4" ShapeID="_x0000_i1045" DrawAspect="Content" ObjectID="_1468075745" r:id="rId67">
            <o:LockedField>false</o:LockedField>
          </o:OLEObject>
        </w:object>
      </w:r>
      <w:r>
        <w:rPr>
          <w:color w:val="auto"/>
        </w:rPr>
        <w:t>是基础阈值，</w:t>
      </w:r>
      <w:r>
        <w:rPr>
          <w:position w:val="-12"/>
        </w:rPr>
        <w:object>
          <v:shape id="_x0000_i1046" o:spt="75" type="#_x0000_t75" style="height:21.25pt;width:23.1pt;" o:ole="t" filled="f" o:preferrelative="t" stroked="f" coordsize="21600,21600">
            <v:path/>
            <v:fill on="f" focussize="0,0"/>
            <v:stroke on="f" joinstyle="miter"/>
            <v:imagedata r:id="rId70" o:title=""/>
            <o:lock v:ext="edit" aspectratio="t"/>
            <w10:wrap type="none"/>
            <w10:anchorlock/>
          </v:shape>
          <o:OLEObject Type="Embed" ProgID="Equation.DSMT4" ShapeID="_x0000_i1046" DrawAspect="Content" ObjectID="_1468075746" r:id="rId69">
            <o:LockedField>false</o:LockedField>
          </o:OLEObject>
        </w:object>
      </w:r>
      <w:r>
        <w:rPr>
          <w:color w:val="auto"/>
        </w:rPr>
        <w:t>是SOC影响因子，</w:t>
      </w:r>
      <w:r>
        <w:rPr>
          <w:position w:val="-14"/>
        </w:rPr>
        <w:object>
          <v:shape id="_x0000_i1047" o:spt="75" type="#_x0000_t75" style="height:20.3pt;width:66.45pt;" o:ole="t" filled="f" o:preferrelative="t" stroked="f" coordsize="21600,21600">
            <v:path/>
            <v:fill on="f" focussize="0,0"/>
            <v:stroke on="f" joinstyle="miter"/>
            <v:imagedata r:id="rId72" o:title=""/>
            <o:lock v:ext="edit" aspectratio="t"/>
            <w10:wrap type="none"/>
            <w10:anchorlock/>
          </v:shape>
          <o:OLEObject Type="Embed" ProgID="Equation.DSMT4" ShapeID="_x0000_i1047" DrawAspect="Content" ObjectID="_1468075747" r:id="rId71">
            <o:LockedField>false</o:LockedField>
          </o:OLEObject>
        </w:object>
      </w:r>
      <w:r>
        <w:rPr>
          <w:color w:val="auto"/>
        </w:rPr>
        <w:t>是接近满充的SOC点，</w:t>
      </w:r>
      <w:r>
        <w:rPr>
          <w:position w:val="-14"/>
        </w:rPr>
        <w:object>
          <v:shape id="_x0000_i1048" o:spt="75" type="#_x0000_t75" style="height:19.4pt;width:40.6pt;" o:ole="t" filled="f" o:preferrelative="t" stroked="f" coordsize="21600,21600">
            <v:path/>
            <v:fill on="f" focussize="0,0"/>
            <v:stroke on="f" joinstyle="miter"/>
            <v:imagedata r:id="rId74" o:title=""/>
            <o:lock v:ext="edit" aspectratio="t"/>
            <w10:wrap type="none"/>
            <w10:anchorlock/>
          </v:shape>
          <o:OLEObject Type="Embed" ProgID="Equation.DSMT4" ShapeID="_x0000_i1048" DrawAspect="Content" ObjectID="_1468075748" r:id="rId73">
            <o:LockedField>false</o:LockedField>
          </o:OLEObject>
        </w:object>
      </w:r>
      <w:r>
        <w:rPr>
          <w:color w:val="auto"/>
        </w:rPr>
        <w:t xml:space="preserve"> 是温度影响函数（在适宜温度区间为1，边缘区间&gt;1）。</w:t>
      </w:r>
    </w:p>
    <w:p w14:paraId="7E59CEAA">
      <w:pPr>
        <w:pStyle w:val="34"/>
        <w:spacing w:line="400" w:lineRule="exact"/>
        <w:jc w:val="left"/>
        <w:rPr>
          <w:color w:val="auto"/>
        </w:rPr>
      </w:pPr>
      <w:r>
        <w:rPr>
          <w:color w:val="auto"/>
        </w:rPr>
        <w:t>一旦满足启动条件，模块将识别需要进行均衡的单体（对于被动均衡，通常是电压/SOC偏高的单体），并计算其优先级：</w:t>
      </w:r>
    </w:p>
    <w:p w14:paraId="565A50DC">
      <w:pPr>
        <w:pStyle w:val="34"/>
        <w:spacing w:line="400" w:lineRule="exact"/>
        <w:jc w:val="left"/>
        <w:rPr>
          <w:color w:val="auto"/>
        </w:rPr>
      </w:pPr>
      <w:r>
        <w:rPr>
          <w:color w:val="auto"/>
        </w:rPr>
        <w:t>候选单体筛选: 找出所有</w:t>
      </w:r>
      <w:r>
        <w:rPr>
          <w:position w:val="-14"/>
        </w:rPr>
        <w:object>
          <v:shape id="_x0000_i1049" o:spt="75" type="#_x0000_t75" style="height:21.25pt;width:91.4pt;" o:ole="t" filled="f" o:preferrelative="t" stroked="f" coordsize="21600,21600">
            <v:path/>
            <v:fill on="f" focussize="0,0"/>
            <v:stroke on="f" joinstyle="miter"/>
            <v:imagedata r:id="rId76" o:title=""/>
            <o:lock v:ext="edit" aspectratio="t"/>
            <w10:wrap type="none"/>
            <w10:anchorlock/>
          </v:shape>
          <o:OLEObject Type="Embed" ProgID="Equation.DSMT4" ShapeID="_x0000_i1049" DrawAspect="Content" ObjectID="_1468075749" r:id="rId75">
            <o:LockedField>false</o:LockedField>
          </o:OLEObject>
        </w:object>
      </w:r>
      <w:r>
        <w:rPr>
          <w:color w:val="auto"/>
        </w:rPr>
        <w:t>的单体</w:t>
      </w:r>
      <w:r>
        <w:rPr>
          <w:rFonts w:hint="eastAsia"/>
          <w:color w:val="auto"/>
        </w:rPr>
        <w:t>,</w:t>
      </w:r>
      <w:r>
        <w:rPr>
          <w:color w:val="auto"/>
        </w:rPr>
        <w:t xml:space="preserve"> 其中</w:t>
      </w:r>
      <w:r>
        <w:rPr>
          <w:position w:val="-14"/>
        </w:rPr>
        <w:object>
          <v:shape id="_x0000_i1050" o:spt="75" type="#_x0000_t75" style="height:21.25pt;width:21.25pt;" o:ole="t" filled="f" o:preferrelative="t" stroked="f" coordsize="21600,21600">
            <v:path/>
            <v:fill on="f" focussize="0,0"/>
            <v:stroke on="f" joinstyle="miter"/>
            <v:imagedata r:id="rId78" o:title=""/>
            <o:lock v:ext="edit" aspectratio="t"/>
            <w10:wrap type="none"/>
            <w10:anchorlock/>
          </v:shape>
          <o:OLEObject Type="Embed" ProgID="Equation.DSMT4" ShapeID="_x0000_i1050" DrawAspect="Content" ObjectID="_1468075750" r:id="rId77">
            <o:LockedField>false</o:LockedField>
          </o:OLEObject>
        </w:object>
      </w:r>
      <w:r>
        <w:rPr>
          <w:color w:val="auto"/>
        </w:rPr>
        <w:t>是电池组的平均值 (</w:t>
      </w:r>
      <w:r>
        <w:rPr>
          <w:position w:val="-14"/>
        </w:rPr>
        <w:object>
          <v:shape id="_x0000_i1051" o:spt="75" type="#_x0000_t75" style="height:19.4pt;width:20.3pt;" o:ole="t" filled="f" o:preferrelative="t" stroked="f" coordsize="21600,21600">
            <v:path/>
            <v:fill on="f" focussize="0,0"/>
            <v:stroke on="f" joinstyle="miter"/>
            <v:imagedata r:id="rId80" o:title=""/>
            <o:lock v:ext="edit" aspectratio="t"/>
            <w10:wrap type="none"/>
            <w10:anchorlock/>
          </v:shape>
          <o:OLEObject Type="Embed" ProgID="Equation.DSMT4" ShapeID="_x0000_i1051" DrawAspect="Content" ObjectID="_1468075751" r:id="rId79">
            <o:LockedField>false</o:LockedField>
          </o:OLEObject>
        </w:object>
      </w:r>
      <w:r>
        <w:rPr>
          <w:color w:val="auto"/>
        </w:rPr>
        <w:t>)或最小值 (</w:t>
      </w:r>
      <w:r>
        <w:rPr>
          <w:position w:val="-12"/>
        </w:rPr>
        <w:object>
          <v:shape id="_x0000_i1052" o:spt="75" type="#_x0000_t75" style="height:18.45pt;width:21.25pt;" o:ole="t" filled="f" o:preferrelative="t" stroked="f" coordsize="21600,21600">
            <v:path/>
            <v:fill on="f" focussize="0,0"/>
            <v:stroke on="f" joinstyle="miter"/>
            <v:imagedata r:id="rId82" o:title=""/>
            <o:lock v:ext="edit" aspectratio="t"/>
            <w10:wrap type="none"/>
            <w10:anchorlock/>
          </v:shape>
          <o:OLEObject Type="Embed" ProgID="Equation.DSMT4" ShapeID="_x0000_i1052" DrawAspect="Content" ObjectID="_1468075752" r:id="rId81">
            <o:LockedField>false</o:LockedField>
          </o:OLEObject>
        </w:object>
      </w:r>
      <w:r>
        <w:rPr>
          <w:color w:val="auto"/>
        </w:rPr>
        <w:t>)。</w:t>
      </w:r>
    </w:p>
    <w:p w14:paraId="61DCEC19">
      <w:pPr>
        <w:pStyle w:val="34"/>
        <w:spacing w:line="400" w:lineRule="exact"/>
        <w:jc w:val="left"/>
        <w:rPr>
          <w:color w:val="auto"/>
        </w:rPr>
      </w:pPr>
      <w:r>
        <w:rPr>
          <w:color w:val="auto"/>
        </w:rPr>
        <w:t>优先级评分 (</w:t>
      </w:r>
      <w:r>
        <w:rPr>
          <w:position w:val="-12"/>
        </w:rPr>
        <w:object>
          <v:shape id="_x0000_i1053" o:spt="75" type="#_x0000_t75" style="height:18.45pt;width:12pt;" o:ole="t" filled="f" o:preferrelative="t" stroked="f" coordsize="21600,21600">
            <v:path/>
            <v:fill on="f" focussize="0,0"/>
            <v:stroke on="f" joinstyle="miter"/>
            <v:imagedata r:id="rId84" o:title=""/>
            <o:lock v:ext="edit" aspectratio="t"/>
            <w10:wrap type="none"/>
            <w10:anchorlock/>
          </v:shape>
          <o:OLEObject Type="Embed" ProgID="Equation.DSMT4" ShapeID="_x0000_i1053" DrawAspect="Content" ObjectID="_1468075753" r:id="rId83">
            <o:LockedField>false</o:LockedField>
          </o:OLEObject>
        </w:object>
      </w:r>
      <w:r>
        <w:rPr>
          <w:color w:val="auto"/>
        </w:rPr>
        <w:t>)为每个候选计算一个综合优先级分数。该分数越高，表示该单体越需要（且适合）被均衡。评分函数</w:t>
      </w:r>
      <w:r>
        <w:rPr>
          <w:rFonts w:hint="eastAsia"/>
          <w:color w:val="auto"/>
        </w:rPr>
        <w:t>被</w:t>
      </w:r>
      <w:r>
        <w:rPr>
          <w:color w:val="auto"/>
        </w:rPr>
        <w:t>设计为：</w:t>
      </w:r>
    </w:p>
    <w:p w14:paraId="735A75A9">
      <w:pPr>
        <w:pStyle w:val="34"/>
        <w:spacing w:line="240" w:lineRule="auto"/>
      </w:pPr>
      <w:r>
        <w:rPr>
          <w:position w:val="-30"/>
        </w:rPr>
        <w:object>
          <v:shape id="_x0000_i1054" o:spt="75" type="#_x0000_t75" style="height:36pt;width:340.6pt;" o:ole="t" filled="f" o:preferrelative="t" stroked="f" coordsize="21600,21600">
            <v:path/>
            <v:fill on="f" focussize="0,0"/>
            <v:stroke on="f" joinstyle="miter"/>
            <v:imagedata r:id="rId86" o:title=""/>
            <o:lock v:ext="edit" aspectratio="t"/>
            <w10:wrap type="none"/>
            <w10:anchorlock/>
          </v:shape>
          <o:OLEObject Type="Embed" ProgID="Equation.DSMT4" ShapeID="_x0000_i1054" DrawAspect="Content" ObjectID="_1468075754" r:id="rId85">
            <o:LockedField>false</o:LockedField>
          </o:OLEObject>
        </w:object>
      </w:r>
      <w:r>
        <w:rPr>
          <w:rFonts w:hint="eastAsia"/>
        </w:rPr>
        <w:t xml:space="preserve">    </w:t>
      </w:r>
      <w:r>
        <w:t xml:space="preserve"> </w:t>
      </w:r>
      <w:r>
        <w:tab/>
      </w:r>
      <w:r>
        <w:rPr>
          <w:rFonts w:hint="eastAsia"/>
          <w:color w:val="auto"/>
        </w:rPr>
        <w:t>(4.7)</w:t>
      </w:r>
    </w:p>
    <w:p w14:paraId="7060DAE3">
      <w:r>
        <w:t>其中</w:t>
      </w:r>
      <w:r>
        <w:rPr>
          <w:rFonts w:hint="eastAsia"/>
        </w:rPr>
        <w:t>，</w:t>
      </w:r>
      <w:r>
        <w:rPr>
          <w:position w:val="-12"/>
        </w:rPr>
        <w:object>
          <v:shape id="_x0000_i1055" o:spt="75" type="#_x0000_t75" style="height:21.25pt;width:19.4pt;" o:ole="t" filled="f" o:preferrelative="t" stroked="f" coordsize="21600,21600">
            <v:path/>
            <v:fill on="f" focussize="0,0"/>
            <v:stroke on="f" joinstyle="miter"/>
            <v:imagedata r:id="rId88" o:title=""/>
            <o:lock v:ext="edit" aspectratio="t"/>
            <w10:wrap type="none"/>
            <w10:anchorlock/>
          </v:shape>
          <o:OLEObject Type="Embed" ProgID="Equation.DSMT4" ShapeID="_x0000_i1055" DrawAspect="Content" ObjectID="_1468075755" r:id="rId87">
            <o:LockedField>false</o:LockedField>
          </o:OLEObject>
        </w:object>
      </w:r>
      <w:r>
        <w:t>,</w:t>
      </w:r>
      <w:r>
        <w:rPr>
          <w:position w:val="-12"/>
        </w:rPr>
        <w:object>
          <v:shape id="_x0000_i1056" o:spt="75" type="#_x0000_t75" style="height:20.3pt;width:27.7pt;" o:ole="t" filled="f" o:preferrelative="t" stroked="f" coordsize="21600,21600">
            <v:path/>
            <v:fill on="f" focussize="0,0"/>
            <v:stroke on="f" joinstyle="miter"/>
            <v:imagedata r:id="rId90" o:title=""/>
            <o:lock v:ext="edit" aspectratio="t"/>
            <w10:wrap type="none"/>
            <w10:anchorlock/>
          </v:shape>
          <o:OLEObject Type="Embed" ProgID="Equation.DSMT4" ShapeID="_x0000_i1056" DrawAspect="Content" ObjectID="_1468075756" r:id="rId89">
            <o:LockedField>false</o:LockedField>
          </o:OLEObject>
        </w:object>
      </w:r>
      <w:r>
        <w:t>是电压和SOC偏差的权重，可根据电池类型和工作阶段调整。</w:t>
      </w:r>
      <w:bookmarkStart w:id="53" w:name="MTBlankEqn"/>
      <w:r>
        <w:rPr>
          <w:position w:val="-12"/>
        </w:rPr>
        <w:object>
          <v:shape id="_x0000_i1057" o:spt="75" type="#_x0000_t75" style="height:18.45pt;width:32.3pt;" o:ole="t" filled="f" o:preferrelative="t" stroked="f" coordsize="21600,21600">
            <v:path/>
            <v:fill on="f" focussize="0,0"/>
            <v:stroke on="f" joinstyle="miter"/>
            <v:imagedata r:id="rId92" o:title=""/>
            <o:lock v:ext="edit" aspectratio="t"/>
            <w10:wrap type="none"/>
            <w10:anchorlock/>
          </v:shape>
          <o:OLEObject Type="Embed" ProgID="Equation.DSMT4" ShapeID="_x0000_i1057" DrawAspect="Content" ObjectID="_1468075757" r:id="rId91">
            <o:LockedField>false</o:LockedField>
          </o:OLEObject>
        </w:object>
      </w:r>
      <w:bookmarkEnd w:id="53"/>
      <w:r>
        <w:t>,</w:t>
      </w:r>
      <w:r>
        <w:rPr>
          <w:position w:val="-12"/>
        </w:rPr>
        <w:object>
          <v:shape id="_x0000_i1058" o:spt="75" type="#_x0000_t75" style="height:18.45pt;width:48.9pt;" o:ole="t" filled="f" o:preferrelative="t" stroked="f" coordsize="21600,21600">
            <v:path/>
            <v:fill on="f" focussize="0,0"/>
            <v:stroke on="f" joinstyle="miter"/>
            <v:imagedata r:id="rId94" o:title=""/>
            <o:lock v:ext="edit" aspectratio="t"/>
            <w10:wrap type="none"/>
            <w10:anchorlock/>
          </v:shape>
          <o:OLEObject Type="Embed" ProgID="Equation.DSMT4" ShapeID="_x0000_i1058" DrawAspect="Content" ObjectID="_1468075758" r:id="rId93">
            <o:LockedField>false</o:LockedField>
          </o:OLEObject>
        </w:object>
      </w:r>
      <w:r>
        <w:t>是归一化因子，使得不同物理量的偏差具有可比性。</w:t>
      </w:r>
      <w:r>
        <w:rPr>
          <w:position w:val="-12"/>
        </w:rPr>
        <w:object>
          <v:shape id="_x0000_i1059" o:spt="75" type="#_x0000_t75" style="height:18.45pt;width:61.85pt;" o:ole="t" filled="f" o:preferrelative="t" stroked="f" coordsize="21600,21600">
            <v:path/>
            <v:fill on="f" focussize="0,0"/>
            <v:stroke on="f" joinstyle="miter"/>
            <v:imagedata r:id="rId96" o:title=""/>
            <o:lock v:ext="edit" aspectratio="t"/>
            <w10:wrap type="none"/>
            <w10:anchorlock/>
          </v:shape>
          <o:OLEObject Type="Embed" ProgID="Equation.DSMT4" ShapeID="_x0000_i1059" DrawAspect="Content" ObjectID="_1468075759" r:id="rId95">
            <o:LockedField>false</o:LockedField>
          </o:OLEObject>
        </w:object>
      </w:r>
      <w:r>
        <w:t>是SOH影响因子。</w:t>
      </w:r>
      <w:r>
        <w:rPr>
          <w:position w:val="-14"/>
        </w:rPr>
        <w:pict>
          <v:shape id="_x0000_i1060" o:spt="75" type="#_x0000_t75" style="height:21.25pt;width:72.9pt;" filled="f" o:preferrelative="t" stroked="f" coordsize="21600,21600">
            <v:path/>
            <v:fill on="f" focussize="0,0"/>
            <v:stroke on="f" joinstyle="miter"/>
            <v:imagedata r:id="rId97" o:title=""/>
            <o:lock v:ext="edit" aspectratio="t"/>
            <w10:wrap type="none"/>
            <w10:anchorlock/>
          </v:shape>
        </w:pict>
      </w:r>
      <w:r>
        <w:t xml:space="preserve">是温度影响因子。若单体温度 </w:t>
      </w:r>
      <w:r>
        <w:rPr>
          <w:position w:val="-12"/>
        </w:rPr>
        <w:object>
          <v:shape id="_x0000_i1061" o:spt="75" type="#_x0000_t75" style="height:18.45pt;width:11.1pt;" o:ole="t" filled="f" o:preferrelative="t" stroked="f" coordsize="21600,21600">
            <v:path/>
            <v:fill on="f" focussize="0,0"/>
            <v:stroke on="f" joinstyle="miter"/>
            <v:imagedata r:id="rId99" o:title=""/>
            <o:lock v:ext="edit" aspectratio="t"/>
            <w10:wrap type="none"/>
            <w10:anchorlock/>
          </v:shape>
          <o:OLEObject Type="Embed" ProgID="Equation.DSMT4" ShapeID="_x0000_i1061" DrawAspect="Content" ObjectID="_1468075760" r:id="rId98">
            <o:LockedField>false</o:LockedField>
          </o:OLEObject>
        </w:object>
      </w:r>
      <w:r>
        <w:t>超出预设的安全均衡温度窗口</w:t>
      </w:r>
      <w:r>
        <w:rPr>
          <w:position w:val="-14"/>
        </w:rPr>
        <w:object>
          <v:shape id="_x0000_i1062" o:spt="75" type="#_x0000_t75" style="height:22.15pt;width:91.4pt;" o:ole="t" filled="f" o:preferrelative="t" stroked="f" coordsize="21600,21600">
            <v:path/>
            <v:fill on="f" focussize="0,0"/>
            <v:stroke on="f" joinstyle="miter"/>
            <v:imagedata r:id="rId101" o:title=""/>
            <o:lock v:ext="edit" aspectratio="t"/>
            <w10:wrap type="none"/>
            <w10:anchorlock/>
          </v:shape>
          <o:OLEObject Type="Embed" ProgID="Equation.DSMT4" ShapeID="_x0000_i1062" DrawAspect="Content" ObjectID="_1468075761" r:id="rId100">
            <o:LockedField>false</o:LockedField>
          </o:OLEObject>
        </w:object>
      </w:r>
      <w:r>
        <w:t xml:space="preserve">，则 </w:t>
      </w:r>
      <w:r>
        <w:rPr>
          <w:position w:val="-14"/>
        </w:rPr>
        <w:object>
          <v:shape id="_x0000_i1063" o:spt="75" type="#_x0000_t75" style="height:21.25pt;width:52.6pt;" o:ole="t" filled="f" o:preferrelative="t" stroked="f" coordsize="21600,21600">
            <v:path/>
            <v:fill on="f" focussize="0,0"/>
            <v:stroke on="f" joinstyle="miter"/>
            <v:imagedata r:id="rId103" o:title=""/>
            <o:lock v:ext="edit" aspectratio="t"/>
            <w10:wrap type="none"/>
            <w10:anchorlock/>
          </v:shape>
          <o:OLEObject Type="Embed" ProgID="Equation.DSMT4" ShapeID="_x0000_i1063" DrawAspect="Content" ObjectID="_1468075762" r:id="rId102">
            <o:LockedField>false</o:LockedField>
          </o:OLEObject>
        </w:object>
      </w:r>
      <w:r>
        <w:t xml:space="preserve">，使得 </w:t>
      </w:r>
      <w:r>
        <w:rPr>
          <w:position w:val="-12"/>
        </w:rPr>
        <w:object>
          <v:shape id="_x0000_i1064" o:spt="75" type="#_x0000_t75" style="height:18.45pt;width:31.4pt;" o:ole="t" filled="f" o:preferrelative="t" stroked="f" coordsize="21600,21600">
            <v:path/>
            <v:fill on="f" focussize="0,0"/>
            <v:stroke on="f" joinstyle="miter"/>
            <v:imagedata r:id="rId105" o:title=""/>
            <o:lock v:ext="edit" aspectratio="t"/>
            <w10:wrap type="none"/>
            <w10:anchorlock/>
          </v:shape>
          <o:OLEObject Type="Embed" ProgID="Equation.DSMT4" ShapeID="_x0000_i1064" DrawAspect="Content" ObjectID="_1468075763" r:id="rId104">
            <o:LockedField>false</o:LockedField>
          </o:OLEObject>
        </w:object>
      </w:r>
      <w:r>
        <w:t>，该单体绝不会被选中。在安全窗口内，此因子可以接近1，或根据与平均温度</w:t>
      </w:r>
      <w:r>
        <w:rPr>
          <w:position w:val="-14"/>
        </w:rPr>
        <w:object>
          <v:shape id="_x0000_i1065" o:spt="75" type="#_x0000_t75" style="height:19.4pt;width:20.3pt;" o:ole="t" filled="f" o:preferrelative="t" stroked="f" coordsize="21600,21600">
            <v:path/>
            <v:fill on="f" focussize="0,0"/>
            <v:stroke on="f" joinstyle="miter"/>
            <v:imagedata r:id="rId107" o:title=""/>
            <o:lock v:ext="edit" aspectratio="t"/>
            <w10:wrap type="none"/>
            <w10:anchorlock/>
          </v:shape>
          <o:OLEObject Type="Embed" ProgID="Equation.DSMT4" ShapeID="_x0000_i1065" DrawAspect="Content" ObjectID="_1468075764" r:id="rId106">
            <o:LockedField>false</o:LockedField>
          </o:OLEObject>
        </w:object>
      </w:r>
      <w:r>
        <w:t xml:space="preserve">的差异、温度本身的高低进行微调（温度偏高时适当降权）。电压 Vi：确保不会被过度放电。温度 </w:t>
      </w:r>
      <w:r>
        <w:rPr>
          <w:position w:val="-12"/>
        </w:rPr>
        <w:object>
          <v:shape id="_x0000_i1066" o:spt="75" type="#_x0000_t75" style="height:18.45pt;width:11.1pt;" o:ole="t" filled="f" o:preferrelative="t" stroked="f" coordsize="21600,21600">
            <v:path/>
            <v:fill on="f" focussize="0,0"/>
            <v:stroke on="f" joinstyle="miter"/>
            <v:imagedata r:id="rId109" o:title=""/>
            <o:lock v:ext="edit" aspectratio="t"/>
            <w10:wrap type="none"/>
            <w10:anchorlock/>
          </v:shape>
          <o:OLEObject Type="Embed" ProgID="Equation.DSMT4" ShapeID="_x0000_i1066" DrawAspect="Content" ObjectID="_1468075765" r:id="rId108">
            <o:LockedField>false</o:LockedField>
          </o:OLEObject>
        </w:object>
      </w:r>
      <w:r>
        <w:t>​：确保温度不超过安全上限</w:t>
      </w:r>
      <w:r>
        <w:rPr>
          <w:position w:val="-14"/>
        </w:rPr>
        <w:object>
          <v:shape id="_x0000_i1067" o:spt="75" type="#_x0000_t75" style="height:19.4pt;width:33.25pt;" o:ole="t" filled="f" o:preferrelative="t" stroked="f" coordsize="21600,21600">
            <v:path/>
            <v:fill on="f" focussize="0,0"/>
            <v:stroke on="f" joinstyle="miter"/>
            <v:imagedata r:id="rId111" o:title=""/>
            <o:lock v:ext="edit" aspectratio="t"/>
            <w10:wrap type="none"/>
            <w10:anchorlock/>
          </v:shape>
          <o:OLEObject Type="Embed" ProgID="Equation.DSMT4" ShapeID="_x0000_i1067" DrawAspect="Content" ObjectID="_1468075766" r:id="rId110">
            <o:LockedField>false</o:LockedField>
          </o:OLEObject>
        </w:object>
      </w:r>
      <w:r>
        <w:t>（均衡过程中的瞬时允许最高温度）。均衡时间</w:t>
      </w:r>
      <w:r>
        <w:rPr>
          <w:position w:val="-14"/>
        </w:rPr>
        <w:object>
          <v:shape id="_x0000_i1068" o:spt="75" type="#_x0000_t75" style="height:19.4pt;width:21.25pt;" o:ole="t" filled="f" o:preferrelative="t" stroked="f" coordsize="21600,21600">
            <v:path/>
            <v:fill on="f" focussize="0,0"/>
            <v:stroke on="f" joinstyle="miter"/>
            <v:imagedata r:id="rId113" o:title=""/>
            <o:lock v:ext="edit" aspectratio="t"/>
            <w10:wrap type="none"/>
            <w10:anchorlock/>
          </v:shape>
          <o:OLEObject Type="Embed" ProgID="Equation.DSMT4" ShapeID="_x0000_i1068" DrawAspect="Content" ObjectID="_1468075767" r:id="rId112">
            <o:LockedField>false</o:LockedField>
          </o:OLEObject>
        </w:object>
      </w:r>
      <w:r>
        <w:t>为单次均衡设置最大时长限制。</w:t>
      </w:r>
    </w:p>
    <w:p w14:paraId="4EBA3877">
      <w:pPr>
        <w:ind w:firstLine="480"/>
      </w:pPr>
      <w:r>
        <w:t>根据计算出的优先级分数</w:t>
      </w:r>
      <w:r>
        <w:rPr>
          <w:position w:val="-12"/>
        </w:rPr>
        <w:object>
          <v:shape id="_x0000_i1069" o:spt="75" type="#_x0000_t75" style="height:18.45pt;width:12pt;" o:ole="t" filled="f" o:preferrelative="t" stroked="f" coordsize="21600,21600">
            <v:path/>
            <v:fill on="f" focussize="0,0"/>
            <v:stroke on="f" joinstyle="miter"/>
            <v:imagedata r:id="rId115" o:title=""/>
            <o:lock v:ext="edit" aspectratio="t"/>
            <w10:wrap type="none"/>
            <w10:anchorlock/>
          </v:shape>
          <o:OLEObject Type="Embed" ProgID="Equation.DSMT4" ShapeID="_x0000_i1069" DrawAspect="Content" ObjectID="_1468075768" r:id="rId114">
            <o:LockedField>false</o:LockedField>
          </o:OLEObject>
        </w:object>
      </w:r>
      <w:r>
        <w:t>对所有候选单体进行降序排序。选择排名最高的 N 个单体进行均衡，N取决于硬件均衡通道数量和系统散热能力（防止局部过热）。对选中的 N 个单体，均衡控制模块通过驱动层接口，向BCU板载的均衡电路发送指令，打开对应单体的被动均衡回路（控制MOSFET导通，让电流流过旁路电阻）。在均衡执行期间，模块持续、高频地监控正在均衡的单体的关键参数</w:t>
      </w:r>
      <w:r>
        <w:rPr>
          <w:rFonts w:hint="eastAsia"/>
        </w:rPr>
        <w:t>。</w:t>
      </w:r>
    </w:p>
    <w:p w14:paraId="59150CC3">
      <w:pPr>
        <w:pStyle w:val="34"/>
        <w:spacing w:line="400" w:lineRule="exact"/>
        <w:ind w:firstLine="480" w:firstLineChars="200"/>
        <w:jc w:val="both"/>
        <w:rPr>
          <w:color w:val="auto"/>
        </w:rPr>
      </w:pPr>
      <w:r>
        <w:rPr>
          <w:color w:val="auto"/>
        </w:rPr>
        <w:t>如果发生以下任</w:t>
      </w:r>
      <w:r>
        <w:rPr>
          <w:rFonts w:hint="eastAsia"/>
          <w:color w:val="auto"/>
        </w:rPr>
        <w:t>意</w:t>
      </w:r>
      <w:r>
        <w:rPr>
          <w:color w:val="auto"/>
        </w:rPr>
        <w:t>情况，单体均衡</w:t>
      </w:r>
      <w:r>
        <w:rPr>
          <w:rFonts w:hint="eastAsia"/>
          <w:color w:val="auto"/>
        </w:rPr>
        <w:t>将</w:t>
      </w:r>
      <w:r>
        <w:rPr>
          <w:color w:val="auto"/>
        </w:rPr>
        <w:t>终止：</w:t>
      </w:r>
    </w:p>
    <w:p w14:paraId="17978563">
      <w:pPr>
        <w:pStyle w:val="34"/>
        <w:spacing w:line="400" w:lineRule="exact"/>
        <w:ind w:firstLine="480" w:firstLineChars="200"/>
        <w:jc w:val="both"/>
        <w:rPr>
          <w:color w:val="auto"/>
        </w:rPr>
      </w:pPr>
      <w:r>
        <w:rPr>
          <w:color w:val="auto"/>
        </w:rPr>
        <w:t>Vi下降到目标值（</w:t>
      </w:r>
      <w:r>
        <w:rPr>
          <w:position w:val="-14"/>
        </w:rPr>
        <w:object>
          <v:shape id="_x0000_i1070" o:spt="75" type="#_x0000_t75" style="height:19.4pt;width:19.4pt;" o:ole="t" filled="f" o:preferrelative="t" stroked="f" coordsize="21600,21600">
            <v:path/>
            <v:fill on="f" focussize="0,0"/>
            <v:stroke on="f" joinstyle="miter"/>
            <v:imagedata r:id="rId78" o:title=""/>
            <o:lock v:ext="edit" aspectratio="t"/>
            <w10:wrap type="none"/>
            <w10:anchorlock/>
          </v:shape>
          <o:OLEObject Type="Embed" ProgID="Equation.DSMT4" ShapeID="_x0000_i1070" DrawAspect="Content" ObjectID="_1468075769" r:id="rId116">
            <o:LockedField>false</o:LockedField>
          </o:OLEObject>
        </w:object>
      </w:r>
      <w:r>
        <w:rPr>
          <w:color w:val="auto"/>
        </w:rPr>
        <w:t>+</w:t>
      </w:r>
      <w:r>
        <w:rPr>
          <w:position w:val="-14"/>
        </w:rPr>
        <w:object>
          <v:shape id="_x0000_i1071" o:spt="75" type="#_x0000_t75" style="height:19.4pt;width:31.4pt;" o:ole="t" filled="f" o:preferrelative="t" stroked="f" coordsize="21600,21600">
            <v:path/>
            <v:fill on="f" focussize="0,0"/>
            <v:stroke on="f" joinstyle="miter"/>
            <v:imagedata r:id="rId118" o:title=""/>
            <o:lock v:ext="edit" aspectratio="t"/>
            <w10:wrap type="none"/>
            <w10:anchorlock/>
          </v:shape>
          <o:OLEObject Type="Embed" ProgID="Equation.DSMT4" ShapeID="_x0000_i1071" DrawAspect="Content" ObjectID="_1468075770" r:id="rId117">
            <o:LockedField>false</o:LockedField>
          </o:OLEObject>
        </w:object>
      </w:r>
      <w:r>
        <w:rPr>
          <w:color w:val="auto"/>
        </w:rPr>
        <w:t xml:space="preserve">，其中 </w:t>
      </w:r>
      <w:r>
        <w:rPr>
          <w:position w:val="-14"/>
        </w:rPr>
        <w:object>
          <v:shape id="_x0000_i1072" o:spt="75" type="#_x0000_t75" style="height:19.4pt;width:31.4pt;" o:ole="t" filled="f" o:preferrelative="t" stroked="f" coordsize="21600,21600">
            <v:path/>
            <v:fill on="f" focussize="0,0"/>
            <v:stroke on="f" joinstyle="miter"/>
            <v:imagedata r:id="rId118" o:title=""/>
            <o:lock v:ext="edit" aspectratio="t"/>
            <w10:wrap type="none"/>
            <w10:anchorlock/>
          </v:shape>
          <o:OLEObject Type="Embed" ProgID="Equation.DSMT4" ShapeID="_x0000_i1072" DrawAspect="Content" ObjectID="_1468075771" r:id="rId119">
            <o:LockedField>false</o:LockedField>
          </o:OLEObject>
        </w:object>
      </w:r>
      <w:r>
        <w:rPr>
          <w:color w:val="auto"/>
        </w:rPr>
        <w:t xml:space="preserve">是一个小的停止裕量，通常 </w:t>
      </w:r>
      <w:r>
        <w:rPr>
          <w:position w:val="-14"/>
        </w:rPr>
        <w:object>
          <v:shape id="_x0000_i1073" o:spt="75" type="#_x0000_t75" style="height:19.4pt;width:68.3pt;" o:ole="t" filled="f" o:preferrelative="t" stroked="f" coordsize="21600,21600">
            <v:path/>
            <v:fill on="f" focussize="0,0"/>
            <v:stroke on="f" joinstyle="miter"/>
            <v:imagedata r:id="rId121" o:title=""/>
            <o:lock v:ext="edit" aspectratio="t"/>
            <w10:wrap type="none"/>
            <w10:anchorlock/>
          </v:shape>
          <o:OLEObject Type="Embed" ProgID="Equation.DSMT4" ShapeID="_x0000_i1073" DrawAspect="Content" ObjectID="_1468075772" r:id="rId120">
            <o:LockedField>false</o:LockedField>
          </o:OLEObject>
        </w:object>
      </w:r>
      <w:r>
        <w:rPr>
          <w:color w:val="auto"/>
        </w:rPr>
        <w:t>）</w:t>
      </w:r>
      <w:r>
        <w:rPr>
          <w:rFonts w:hint="eastAsia"/>
          <w:color w:val="auto"/>
        </w:rPr>
        <w:t>；</w:t>
      </w:r>
      <w:r>
        <w:rPr>
          <w:position w:val="-12"/>
        </w:rPr>
        <w:object>
          <v:shape id="_x0000_i1074" o:spt="75" type="#_x0000_t75" style="height:18.45pt;width:27.7pt;" o:ole="t" filled="f" o:preferrelative="t" stroked="f" coordsize="21600,21600">
            <v:path/>
            <v:fill on="f" focussize="0,0"/>
            <v:stroke on="f" joinstyle="miter"/>
            <v:imagedata r:id="rId123" o:title=""/>
            <o:lock v:ext="edit" aspectratio="t"/>
            <w10:wrap type="none"/>
            <w10:anchorlock/>
          </v:shape>
          <o:OLEObject Type="Embed" ProgID="Equation.DSMT4" ShapeID="_x0000_i1074" DrawAspect="Content" ObjectID="_1468075773" r:id="rId122">
            <o:LockedField>false</o:LockedField>
          </o:OLEObject>
        </w:object>
      </w:r>
      <w:r>
        <w:rPr>
          <w:color w:val="auto"/>
        </w:rPr>
        <w:t>下降到目标值（如</w:t>
      </w:r>
      <w:r>
        <w:rPr>
          <w:position w:val="-14"/>
        </w:rPr>
        <w:object>
          <v:shape id="_x0000_i1075" o:spt="75" type="#_x0000_t75" style="height:19.4pt;width:93.25pt;" o:ole="t" filled="f" o:preferrelative="t" stroked="f" coordsize="21600,21600">
            <v:path/>
            <v:fill on="f" focussize="0,0"/>
            <v:stroke on="f" joinstyle="miter"/>
            <v:imagedata r:id="rId125" o:title=""/>
            <o:lock v:ext="edit" aspectratio="t"/>
            <w10:wrap type="none"/>
            <w10:anchorlock/>
          </v:shape>
          <o:OLEObject Type="Embed" ProgID="Equation.DSMT4" ShapeID="_x0000_i1075" DrawAspect="Content" ObjectID="_1468075774" r:id="rId124">
            <o:LockedField>false</o:LockedField>
          </o:OLEObject>
        </w:object>
      </w:r>
      <w:r>
        <w:rPr>
          <w:color w:val="auto"/>
        </w:rPr>
        <w:t>）</w:t>
      </w:r>
      <w:r>
        <w:rPr>
          <w:rFonts w:hint="eastAsia"/>
          <w:color w:val="auto"/>
        </w:rPr>
        <w:t>；</w:t>
      </w:r>
      <w:r>
        <w:rPr>
          <w:position w:val="-14"/>
        </w:rPr>
        <w:object>
          <v:shape id="_x0000_i1076" o:spt="75" type="#_x0000_t75" style="height:19.4pt;width:52.6pt;" o:ole="t" filled="f" o:preferrelative="t" stroked="f" coordsize="21600,21600">
            <v:path/>
            <v:fill on="f" focussize="0,0"/>
            <v:stroke on="f" joinstyle="miter"/>
            <v:imagedata r:id="rId127" o:title=""/>
            <o:lock v:ext="edit" aspectratio="t"/>
            <w10:wrap type="none"/>
            <w10:anchorlock/>
          </v:shape>
          <o:OLEObject Type="Embed" ProgID="Equation.DSMT4" ShapeID="_x0000_i1076" DrawAspect="Content" ObjectID="_1468075775" r:id="rId126">
            <o:LockedField>false</o:LockedField>
          </o:OLEObject>
        </w:object>
      </w:r>
      <w:r>
        <w:rPr>
          <w:rFonts w:hint="eastAsia"/>
          <w:color w:val="auto"/>
        </w:rPr>
        <w:t>。</w:t>
      </w:r>
    </w:p>
    <w:p w14:paraId="2AE4D3B3">
      <w:pPr>
        <w:pStyle w:val="34"/>
        <w:spacing w:line="400" w:lineRule="exact"/>
        <w:ind w:firstLine="480" w:firstLineChars="200"/>
        <w:jc w:val="both"/>
        <w:rPr>
          <w:color w:val="auto"/>
        </w:rPr>
      </w:pPr>
      <w:r>
        <w:rPr>
          <w:color w:val="auto"/>
        </w:rPr>
        <w:t>在一个均衡周期内（比如每隔几秒或几十秒），模块应重新执行优先级排序，因为正在均衡的单体状态会变化，可能有新的单体变得更需要均衡。这允许均衡资源在最需要的单体间动态分配。</w:t>
      </w:r>
    </w:p>
    <w:p w14:paraId="279A3E5D">
      <w:pPr>
        <w:pStyle w:val="34"/>
        <w:spacing w:line="400" w:lineRule="exact"/>
        <w:ind w:firstLine="480" w:firstLineChars="200"/>
        <w:jc w:val="both"/>
        <w:rPr>
          <w:color w:val="auto"/>
        </w:rPr>
      </w:pPr>
      <w:r>
        <w:rPr>
          <w:color w:val="auto"/>
        </w:rPr>
        <w:t>整体均衡终止条件</w:t>
      </w:r>
      <w:r>
        <w:rPr>
          <w:rFonts w:hint="eastAsia"/>
          <w:color w:val="auto"/>
        </w:rPr>
        <w:t>:</w:t>
      </w:r>
      <w:r>
        <w:rPr>
          <w:color w:val="auto"/>
        </w:rPr>
        <w:t>当整个电池组达到预定的一致性目标时，当前均衡周期结束</w:t>
      </w:r>
      <w:r>
        <w:rPr>
          <w:rFonts w:hint="eastAsia"/>
          <w:color w:val="auto"/>
        </w:rPr>
        <w:t>。即</w:t>
      </w:r>
      <w:r>
        <w:rPr>
          <w:color w:val="auto"/>
        </w:rPr>
        <w:t xml:space="preserve">最大电压差 </w:t>
      </w:r>
      <w:r>
        <w:rPr>
          <w:position w:val="-14"/>
        </w:rPr>
        <w:object>
          <v:shape id="_x0000_i1077" o:spt="75" type="#_x0000_t75" style="height:19.4pt;width:76.6pt;" o:ole="t" filled="f" o:preferrelative="t" stroked="f" coordsize="21600,21600">
            <v:path/>
            <v:fill on="f" focussize="0,0"/>
            <v:stroke on="f" joinstyle="miter"/>
            <v:imagedata r:id="rId129" o:title=""/>
            <o:lock v:ext="edit" aspectratio="t"/>
            <w10:wrap type="none"/>
            <w10:anchorlock/>
          </v:shape>
          <o:OLEObject Type="Embed" ProgID="Equation.DSMT4" ShapeID="_x0000_i1077" DrawAspect="Content" ObjectID="_1468075776" r:id="rId128">
            <o:LockedField>false</o:LockedField>
          </o:OLEObject>
        </w:object>
      </w:r>
      <w:r>
        <w:rPr>
          <w:rFonts w:hint="eastAsia"/>
          <w:color w:val="auto"/>
        </w:rPr>
        <w:t>,</w:t>
      </w:r>
      <w:r>
        <w:rPr>
          <w:color w:val="auto"/>
        </w:rPr>
        <w:t>最大SOC差</w:t>
      </w:r>
      <w:r>
        <w:rPr>
          <w:position w:val="-14"/>
        </w:rPr>
        <w:object>
          <v:shape id="_x0000_i1078" o:spt="75" type="#_x0000_t75" style="height:19.4pt;width:108.9pt;" o:ole="t" filled="f" o:preferrelative="t" stroked="f" coordsize="21600,21600">
            <v:path/>
            <v:fill on="f" focussize="0,0"/>
            <v:stroke on="f" joinstyle="miter"/>
            <v:imagedata r:id="rId131" o:title=""/>
            <o:lock v:ext="edit" aspectratio="t"/>
            <w10:wrap type="none"/>
            <w10:anchorlock/>
          </v:shape>
          <o:OLEObject Type="Embed" ProgID="Equation.DSMT4" ShapeID="_x0000_i1078" DrawAspect="Content" ObjectID="_1468075777" r:id="rId130">
            <o:LockedField>false</o:LockedField>
          </o:OLEObject>
        </w:object>
      </w:r>
      <w:r>
        <w:rPr>
          <w:rFonts w:hint="eastAsia"/>
          <w:color w:val="auto"/>
        </w:rPr>
        <w:t>,</w:t>
      </w:r>
      <w:r>
        <w:rPr>
          <w:color w:val="auto"/>
        </w:rPr>
        <w:t>系统状态改变（充电完成、开始大电流放电）。</w:t>
      </w:r>
    </w:p>
    <w:p w14:paraId="6357426F">
      <w:pPr>
        <w:pStyle w:val="3"/>
      </w:pPr>
      <w:bookmarkStart w:id="54" w:name="_Toc100584103"/>
      <w:bookmarkStart w:id="55" w:name="_Toc99742303"/>
      <w:bookmarkStart w:id="56" w:name="_Hlk196144898"/>
      <w:bookmarkStart w:id="57" w:name="_Toc200699972"/>
      <w:r>
        <w:t>4.</w:t>
      </w:r>
      <w:r>
        <w:rPr>
          <w:rFonts w:hint="eastAsia"/>
        </w:rPr>
        <w:t>7</w:t>
      </w:r>
      <w:r>
        <w:t xml:space="preserve"> </w:t>
      </w:r>
      <w:bookmarkEnd w:id="54"/>
      <w:bookmarkEnd w:id="55"/>
      <w:bookmarkEnd w:id="56"/>
      <w:bookmarkStart w:id="58" w:name="_Hlk196212731"/>
      <w:r>
        <w:rPr>
          <w:rFonts w:hint="eastAsia"/>
        </w:rPr>
        <w:t>告警与保护</w:t>
      </w:r>
      <w:r>
        <w:t>模块</w:t>
      </w:r>
      <w:bookmarkEnd w:id="57"/>
      <w:bookmarkEnd w:id="58"/>
    </w:p>
    <w:p w14:paraId="032264BF">
      <w:pPr>
        <w:ind w:firstLine="480" w:firstLineChars="200"/>
      </w:pPr>
      <w:r>
        <w:rPr>
          <w:rFonts w:hint="eastAsia"/>
        </w:rPr>
        <w:t>如图4.</w:t>
      </w:r>
      <w:r>
        <w:t>10</w:t>
      </w:r>
      <w:r>
        <w:rPr>
          <w:rFonts w:hint="eastAsia"/>
        </w:rPr>
        <w:t>为电池安全保护架构图，</w:t>
      </w:r>
      <w:r>
        <w:t>保护功能主要划分为软件保护和硬件保护，其中硬件保护由IC自动触发。硬件保护板和软件保护板是两种不同类型的保护方案，硬件保护板具有较高的可靠性和安全性，但成本较高；而软件保护板则成本低廉，但安全性相对较弱。</w:t>
      </w:r>
    </w:p>
    <w:p w14:paraId="71CAE6D3">
      <w:pPr>
        <w:spacing w:line="240" w:lineRule="auto"/>
        <w:jc w:val="center"/>
      </w:pPr>
      <w:r>
        <w:rPr>
          <w:rFonts w:hint="eastAsia"/>
        </w:rPr>
        <w:object>
          <v:shape id="_x0000_i1079" o:spt="75" type="#_x0000_t75" style="height:425.55pt;width:415.4pt;" o:ole="t" filled="f" o:preferrelative="t" stroked="f" coordsize="21600,21600">
            <v:path/>
            <v:fill on="f" focussize="0,0"/>
            <v:stroke on="f" joinstyle="miter"/>
            <v:imagedata r:id="rId133" o:title=""/>
            <o:lock v:ext="edit" aspectratio="t"/>
            <w10:wrap type="none"/>
            <w10:anchorlock/>
          </v:shape>
          <o:OLEObject Type="Embed" ProgID="Visio.Drawing.15" ShapeID="_x0000_i1079" DrawAspect="Content" ObjectID="_1468075778" r:id="rId132">
            <o:LockedField>false</o:LockedField>
          </o:OLEObject>
        </w:object>
      </w:r>
    </w:p>
    <w:p w14:paraId="597FA609">
      <w:pPr>
        <w:pStyle w:val="7"/>
        <w:spacing w:before="93" w:after="93"/>
      </w:pPr>
      <w:r>
        <w:rPr>
          <w:rFonts w:hint="eastAsia"/>
        </w:rPr>
        <w:t>图4</w:t>
      </w:r>
      <w:r>
        <w:t>.10</w:t>
      </w:r>
      <w:r>
        <w:rPr>
          <w:rFonts w:hint="eastAsia"/>
        </w:rPr>
        <w:t xml:space="preserve"> </w:t>
      </w:r>
      <w:r>
        <w:t>告警与保护模块</w:t>
      </w:r>
    </w:p>
    <w:p w14:paraId="11119F63">
      <w:pPr>
        <w:ind w:firstLine="480" w:firstLineChars="200"/>
      </w:pPr>
      <w:r>
        <w:t>充电的时候的软件保护包含三种，过流、过温</w:t>
      </w:r>
      <w:r>
        <w:rPr>
          <w:rFonts w:hint="eastAsia"/>
        </w:rPr>
        <w:t>和</w:t>
      </w:r>
      <w:r>
        <w:t>低温，图4.11为充电过流保护流程图，首先是判断Battery</w:t>
      </w:r>
      <w:r>
        <w:rPr>
          <w:rFonts w:hint="eastAsia"/>
        </w:rPr>
        <w:t xml:space="preserve"> </w:t>
      </w:r>
      <w:r>
        <w:t>Current值大小，Battery</w:t>
      </w:r>
      <w:r>
        <w:rPr>
          <w:rFonts w:hint="eastAsia"/>
        </w:rPr>
        <w:t xml:space="preserve"> </w:t>
      </w:r>
      <w:r>
        <w:t>Current是当前充电电流，充电电流如果大于OCCProtect就判定为充电过流，OCCProtect这个值是充电 时候的过流阈值，如果检测到的实时电流大于这个阈值，就说明充电过流了,同时就会触发BMS设定的保护机制。首先充电过流就会触发HalCtrlCharge，随后由 BMS_STATE_disable 这个命令，把这个充电状态置为disable，也就是停止充电， 然后StartTimer启动了一个Timer（定时器），当停止充电之后，这个Timer完成启动后，定时器开始计时，时间到了之后就要去考虑恢复充电，这就是充电过流的程序设计逻辑。</w:t>
      </w:r>
    </w:p>
    <w:p w14:paraId="6C1C4399">
      <w:pPr>
        <w:spacing w:line="240" w:lineRule="auto"/>
        <w:ind w:firstLine="480" w:firstLineChars="200"/>
        <w:jc w:val="center"/>
      </w:pPr>
    </w:p>
    <w:p w14:paraId="49FA40C6">
      <w:pPr>
        <w:spacing w:line="240" w:lineRule="auto"/>
        <w:ind w:firstLine="480" w:firstLineChars="200"/>
        <w:jc w:val="center"/>
      </w:pPr>
      <w:r>
        <w:rPr>
          <w:rFonts w:hint="eastAsia"/>
        </w:rPr>
        <w:object>
          <v:shape id="_x0000_i1080" o:spt="75" type="#_x0000_t75" style="height:201.25pt;width:201.25pt;" o:ole="t" filled="f" o:preferrelative="t" stroked="f" coordsize="21600,21600">
            <v:path/>
            <v:fill on="f" focussize="0,0"/>
            <v:stroke on="f" joinstyle="miter"/>
            <v:imagedata r:id="rId135" o:title=""/>
            <o:lock v:ext="edit" aspectratio="t"/>
            <w10:wrap type="none"/>
            <w10:anchorlock/>
          </v:shape>
          <o:OLEObject Type="Embed" ProgID="Visio.Drawing.15" ShapeID="_x0000_i1080" DrawAspect="Content" ObjectID="_1468075779" r:id="rId134">
            <o:LockedField>false</o:LockedField>
          </o:OLEObject>
        </w:object>
      </w:r>
    </w:p>
    <w:p w14:paraId="135A2BFC">
      <w:pPr>
        <w:pStyle w:val="7"/>
        <w:spacing w:before="93" w:after="93"/>
      </w:pPr>
      <w:r>
        <w:t>图4.11 充电过流程序流程图</w:t>
      </w:r>
    </w:p>
    <w:p w14:paraId="566909E1">
      <w:pPr>
        <w:ind w:firstLine="480" w:firstLineChars="200"/>
      </w:pPr>
      <w:r>
        <w:t>以充电过流得逻辑为例，三种软件保护的实现逻辑都相似，首先停止充电， 然后观察有没有恢复的需要，如果这个软件需要自动恢复，就做一个定时器，然后定一个时间，到时间了之后，然后恢复工作状态。 如图4.12为放电时硬件保护流程图，放电时硬件自我驱动保护主要是放电过流和短路保护，其中OCD是放电过流，SCD就是放电流短路，短路了之后电流会快速的升高，然后通过指令Protect</w:t>
      </w:r>
      <w:r>
        <w:rPr>
          <w:rFonts w:hint="eastAsia"/>
        </w:rPr>
        <w:t xml:space="preserve"> </w:t>
      </w:r>
      <w:r>
        <w:t>Start</w:t>
      </w:r>
      <w:r>
        <w:rPr>
          <w:rFonts w:hint="eastAsia"/>
        </w:rPr>
        <w:t xml:space="preserve"> </w:t>
      </w:r>
      <w:r>
        <w:t>Timer去启动这个定时器，同时给出报警 WARING,此时就触发硬件保护条件，DSG放电MOS将关闭，不再用软件操控停止充放电。当然恢复充放电逻辑</w:t>
      </w:r>
      <w:r>
        <w:rPr>
          <w:rFonts w:hint="eastAsia"/>
        </w:rPr>
        <w:t>仍然</w:t>
      </w:r>
      <w:r>
        <w:t>由定时器软件控制。定时器会去做一些收尾工作，去做一些这种清理，其对应有一个relief函数去保护、解除、等待或监控恢复条件。</w:t>
      </w:r>
    </w:p>
    <w:p w14:paraId="7F5B8CF4">
      <w:pPr>
        <w:spacing w:line="240" w:lineRule="auto"/>
        <w:ind w:firstLine="480" w:firstLineChars="200"/>
        <w:jc w:val="center"/>
      </w:pPr>
      <w:r>
        <w:rPr>
          <w:rFonts w:hint="eastAsia"/>
        </w:rPr>
        <w:object>
          <v:shape id="_x0000_i1081" o:spt="75" type="#_x0000_t75" style="height:196.6pt;width:249.25pt;" o:ole="t" filled="f" o:preferrelative="t" stroked="f" coordsize="21600,21600">
            <v:path/>
            <v:fill on="f" focussize="0,0"/>
            <v:stroke on="f" joinstyle="miter"/>
            <v:imagedata r:id="rId137" o:title=""/>
            <o:lock v:ext="edit" aspectratio="t"/>
            <w10:wrap type="none"/>
            <w10:anchorlock/>
          </v:shape>
          <o:OLEObject Type="Embed" ProgID="Visio.Drawing.15" ShapeID="_x0000_i1081" DrawAspect="Content" ObjectID="_1468075780" r:id="rId136">
            <o:LockedField>false</o:LockedField>
          </o:OLEObject>
        </w:object>
      </w:r>
    </w:p>
    <w:p w14:paraId="16ACE86A">
      <w:pPr>
        <w:pStyle w:val="7"/>
        <w:spacing w:before="93" w:after="93"/>
      </w:pPr>
      <w:r>
        <w:t>图4.12 硬件保护程序流程图</w:t>
      </w:r>
    </w:p>
    <w:p w14:paraId="025CDEA9">
      <w:pPr>
        <w:spacing w:line="240" w:lineRule="auto"/>
        <w:ind w:firstLine="480" w:firstLineChars="200"/>
      </w:pPr>
      <w:r>
        <w:t>以放电时的逻辑为例充电时的硬件保护相似都是通过硬件自我驱动控制，首先是判断充电状态是否异常，异常了就停止，然后一段时间后恢复工作，非异常就继续</w:t>
      </w:r>
      <w:r>
        <w:rPr>
          <w:rFonts w:hint="eastAsia"/>
        </w:rPr>
        <w:t>。</w:t>
      </w:r>
    </w:p>
    <w:p w14:paraId="3FD6BD0E">
      <w:pPr>
        <w:pStyle w:val="3"/>
      </w:pPr>
      <w:bookmarkStart w:id="59" w:name="_Toc200699973"/>
      <w:r>
        <w:rPr>
          <w:rFonts w:hint="eastAsia"/>
        </w:rPr>
        <w:t>4.8</w:t>
      </w:r>
      <w:r>
        <w:t xml:space="preserve"> </w:t>
      </w:r>
      <w:r>
        <w:rPr>
          <w:rFonts w:hint="eastAsia"/>
        </w:rPr>
        <w:t>锂</w:t>
      </w:r>
      <w:r>
        <w:t>电池充放电控制程序设计</w:t>
      </w:r>
      <w:bookmarkEnd w:id="59"/>
    </w:p>
    <w:p w14:paraId="40AEA560">
      <w:pPr>
        <w:pStyle w:val="34"/>
        <w:spacing w:line="400" w:lineRule="exact"/>
        <w:ind w:firstLine="480" w:firstLineChars="200"/>
        <w:jc w:val="both"/>
        <w:rPr>
          <w:color w:val="auto"/>
        </w:rPr>
      </w:pPr>
      <w:r>
        <w:rPr>
          <w:color w:val="auto"/>
        </w:rPr>
        <w:t>电池充放电控制程序的设计核心在于确保锂电池的运行处于安全、可靠的状态，防止因异常工况导致性能退化甚至安全事故的发生。该程序旨在有效避免锂电池在使用过程中出现过充、过放、过流及过热等问题，从而延长电池的使用寿命，提升其工作稳定性和整体系统的安全性能。充放控制程序分为手动按键控制电池充放电状态与通过电池数据自动控制充放电状态。充放电管理是均衡管理系统最基本、最重要的功能之一。在系统结构方面，该充放电管理系统采用六片 IRFS4310 场效应管（MOSFET），通过与主控单元协同配合，实现对锂电池组充放电过程的精准控制。系统会根据当前检测到的系统故障状态、工作模式（如充电、放电、待机等）及系统运行状态等信息，智能地切换充放电开关和均衡开关的导通与断开状态，确保各类工况下电池组都能运行在安全的电压、电流范围内，从根本上避免因异常导致的过充、过放、过流等危险事件发生。均衡管理系统充放电控制程序如图 4.13所示</w:t>
      </w:r>
      <w:r>
        <w:rPr>
          <w:rFonts w:hint="eastAsia"/>
          <w:color w:val="auto"/>
        </w:rPr>
        <w:t>，</w:t>
      </w:r>
      <w:r>
        <w:rPr>
          <w:color w:val="auto"/>
        </w:rPr>
        <w:t xml:space="preserve">展示了其运行逻辑和控制流程。 </w:t>
      </w:r>
    </w:p>
    <w:p w14:paraId="2C1F9CC1">
      <w:pPr>
        <w:pStyle w:val="34"/>
        <w:spacing w:line="400" w:lineRule="exact"/>
        <w:ind w:firstLine="480" w:firstLineChars="200"/>
        <w:jc w:val="both"/>
        <w:rPr>
          <w:color w:val="auto"/>
        </w:rPr>
      </w:pPr>
      <w:r>
        <w:rPr>
          <w:color w:val="auto"/>
        </w:rPr>
        <w:t>在充电初期单体电池电压较低，需要使用低倍率充电电流进行预充电，减少极化效应对电池的损害；在充电末期单体电池接近满电量，加入均衡充电阶段，避免 出现过充故障，同时使单体电池电量至满电量饱和状态。充电控制程序中首先读取电池组信息寄存器，判定系统是否存在故障，若存在故障，则关闭充放电MOS，电池组停止充电；若无故障且放电MOS未打开，需要确保放电MOS正常导通，避免充电电流流经放电 MOS 等效体二极管，损坏放电 MOS。接下来主控读取并检测单体电池电压值，判定单体电池电压是否达到均衡开启电压阈值，若达到，进入均衡充电阶段，若单体电池电压达到预充电开启电压阈值，进入预充电 阶段，若单体电池电压均未达到上述条件，则进入恒流充电阶段。单体电池电压未达到充电截至电压阈值前周期循环上述流程，直至所有单体电池达到满电量状态，关闭充电MOS与均衡充电MOS结束充电阶段。充电控制流程图如图 4.13(a)所示。 如图 4.13(b)所示为放电控制流程图，放电控制程序中主控首先读取电池信息寄存器；接下来确认均衡充电 MOS是否关闭，均衡充电电路只能通过较 小的充电电流；然后确认系统是否存在故障，若存在故障则关闭充电 MOS，退出电池组放电模式，若无故障并且充电 MOS未打开，确认充电 MOS导通；然后判定电池组电量是否放完，若已放完则关闭放电 MOS，退出放电阶段；若电量未放完且系统无故障产生，打开放电 MOS。最后判定电池组单体电池电压是否达到放电截至电压，若未达到重复进行上述步骤，若单体电池电压达到放电截至电压阈值，则关闭放电MOS，电池组结束放电阶段。</w:t>
      </w:r>
    </w:p>
    <w:p w14:paraId="53CD5A59">
      <w:pPr>
        <w:pStyle w:val="34"/>
        <w:spacing w:line="360" w:lineRule="auto"/>
        <w:jc w:val="center"/>
      </w:pPr>
      <w:r>
        <w:rPr>
          <w:rFonts w:hint="eastAsia"/>
        </w:rPr>
        <w:object>
          <v:shape id="_x0000_i1082" o:spt="75" type="#_x0000_t75" style="height:382.15pt;width:374.75pt;" o:ole="t" filled="f" o:preferrelative="t" stroked="f" coordsize="21600,21600">
            <v:path/>
            <v:fill on="f" focussize="0,0"/>
            <v:stroke on="f" joinstyle="miter"/>
            <v:imagedata r:id="rId139" cropleft="2304f" cropright="2497f" o:title=""/>
            <o:lock v:ext="edit" aspectratio="t"/>
            <w10:wrap type="none"/>
            <w10:anchorlock/>
          </v:shape>
          <o:OLEObject Type="Embed" ProgID="Visio.Drawing.15" ShapeID="_x0000_i1082" DrawAspect="Content" ObjectID="_1468075781" r:id="rId138">
            <o:LockedField>false</o:LockedField>
          </o:OLEObject>
        </w:object>
      </w:r>
    </w:p>
    <w:p w14:paraId="080FF80E">
      <w:pPr>
        <w:pStyle w:val="34"/>
        <w:spacing w:line="360" w:lineRule="auto"/>
        <w:ind w:firstLine="1260" w:firstLineChars="600"/>
        <w:jc w:val="both"/>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(a)</w:t>
      </w:r>
      <w:r>
        <w:rPr>
          <w:rFonts w:hint="eastAsia"/>
          <w:color w:val="000000" w:themeColor="text1"/>
          <w:sz w:val="21"/>
          <w:szCs w:val="21"/>
          <w14:textFill>
            <w14:solidFill>
              <w14:schemeClr w14:val="tx1"/>
            </w14:solidFill>
          </w14:textFill>
        </w:rPr>
        <w:t>充电控制流程图</w:t>
      </w:r>
      <w:r>
        <w:rPr>
          <w:color w:val="000000" w:themeColor="text1"/>
          <w:sz w:val="21"/>
          <w:szCs w:val="21"/>
          <w14:textFill>
            <w14:solidFill>
              <w14:schemeClr w14:val="tx1"/>
            </w14:solidFill>
          </w14:textFill>
        </w:rPr>
        <w:t xml:space="preserve">                                         (b)</w:t>
      </w:r>
      <w:r>
        <w:rPr>
          <w:rFonts w:hint="eastAsia"/>
          <w:color w:val="000000" w:themeColor="text1"/>
          <w:sz w:val="21"/>
          <w:szCs w:val="21"/>
          <w14:textFill>
            <w14:solidFill>
              <w14:schemeClr w14:val="tx1"/>
            </w14:solidFill>
          </w14:textFill>
        </w:rPr>
        <w:t>放电控制流程图</w:t>
      </w:r>
    </w:p>
    <w:p w14:paraId="67ABDDE4">
      <w:pPr>
        <w:pStyle w:val="7"/>
        <w:spacing w:before="93" w:after="93"/>
      </w:pPr>
      <w:r>
        <w:rPr>
          <w:rFonts w:hint="eastAsia"/>
        </w:rPr>
        <w:t>图</w:t>
      </w:r>
      <w:r>
        <w:t>4.13充放电控制程序</w:t>
      </w:r>
    </w:p>
    <w:p w14:paraId="476C657F">
      <w:pPr>
        <w:pStyle w:val="3"/>
      </w:pPr>
      <w:bookmarkStart w:id="60" w:name="_Toc200699974"/>
      <w:r>
        <w:rPr>
          <w:rFonts w:hint="eastAsia"/>
        </w:rPr>
        <w:t>4</w:t>
      </w:r>
      <w:r>
        <w:t>.</w:t>
      </w:r>
      <w:r>
        <w:rPr>
          <w:rFonts w:hint="eastAsia"/>
        </w:rPr>
        <w:t>9</w:t>
      </w:r>
      <w:r>
        <w:t xml:space="preserve"> 无线通信程序设计</w:t>
      </w:r>
      <w:bookmarkEnd w:id="60"/>
    </w:p>
    <w:p w14:paraId="247E81AB">
      <w:pPr>
        <w:ind w:firstLine="480" w:firstLineChars="200"/>
      </w:pPr>
      <w:r>
        <w:t>该架构依托物联网（IoT）技术，通过部署在电池控制单元（BCU）的远程监控与通信模块，利用WiFi网络和MQTT协议将包含GPS位置信息的电池实时运行数据上传至云平台（OneNET）。云端利用强大的计算和存储资源，结合大数据分析与人工智能算法，对电池状态进行深度挖掘与智能感知，实现预测性维护、优化管理策略，并通过云-边协同（Cloud-Edge Collaboration）将优化指令下发至BCU。通过云端连接，可以汇集海量电池数据，利用云平台强大的计算能力进行深度分析，并实现远程监控、诊断和管理。特别地，融合电池运行的时间序列数据与GPS提供的空间位置信息（即时空信息），能优化电池状态感知和管理策略。通过BCU的远程监控与通信模块，构建了一个云-边协同的智能BMS架构。</w:t>
      </w:r>
    </w:p>
    <w:p w14:paraId="2441505E">
      <w:pPr>
        <w:ind w:firstLine="480" w:firstLineChars="200"/>
      </w:pPr>
      <w:r>
        <w:t>无线通信程序的设计目的是实现对电池数据上传服务器操作，主要应用了无线通信 模块ESP8266、串口通信与MQTT协议。下面对ESP8266模块与MQTT协议进行简要 的介绍。 ESP8266 其实是由乐鑫公司推出的一款WIFI芯片，可以利用串口通信与微控制器 进行通讯，从而编程实现控制 ESP8266。利用 ESP8266 可以访问一些 API，获取天气 信息或者完成网络授时，也可以连接云平台进行开发。 MQTT（Message Queuing Telemetry Transport，消息队列遥测传输协议），是一种基 于发布/订阅（publish/subscribe）模式的"轻量级"通讯协议，该协议构建于 TCP/IP 协议 上。MQTT最大优点在于，可以以极少的代码和有限的带宽，为远程连接设备提过实时 可靠的消息服务，作为一种低开销、低带宽占用的即时通讯协议。其在，通过卫星链路通信传感器、偶尔拨号的医疗设备、智能家居、及一些小型化设备中已广泛使用。 MQTT</w:t>
      </w:r>
      <w:r>
        <w:rPr>
          <w:rFonts w:hint="eastAsia"/>
        </w:rPr>
        <w:t>协议</w:t>
      </w:r>
      <w:r>
        <w:t>的</w:t>
      </w:r>
      <w:r>
        <w:rPr>
          <w:rFonts w:hint="eastAsia"/>
        </w:rPr>
        <w:t>结构</w:t>
      </w:r>
      <w:r>
        <w:t>示意图</w:t>
      </w:r>
      <w:r>
        <w:rPr>
          <w:rFonts w:hint="eastAsia"/>
        </w:rPr>
        <w:t>如图</w:t>
      </w:r>
      <w:r>
        <w:t>4.14所示</w:t>
      </w:r>
    </w:p>
    <w:p w14:paraId="78B4F86B">
      <w:pPr>
        <w:spacing w:line="240" w:lineRule="auto"/>
        <w:jc w:val="center"/>
      </w:pPr>
      <w:r>
        <w:rPr>
          <w:rFonts w:hint="eastAsia"/>
        </w:rPr>
        <w:object>
          <v:shape id="_x0000_i1083" o:spt="75" type="#_x0000_t75" style="height:151.4pt;width:237.25pt;" o:ole="t" filled="f" o:preferrelative="t" stroked="f" coordsize="21600,21600">
            <v:path/>
            <v:fill on="f" focussize="0,0"/>
            <v:stroke on="f" joinstyle="miter"/>
            <v:imagedata r:id="rId141" o:title=""/>
            <o:lock v:ext="edit" aspectratio="t"/>
            <w10:wrap type="none"/>
            <w10:anchorlock/>
          </v:shape>
          <o:OLEObject Type="Embed" ProgID="Visio.Drawing.15" ShapeID="_x0000_i1083" DrawAspect="Content" ObjectID="_1468075782" r:id="rId140">
            <o:LockedField>false</o:LockedField>
          </o:OLEObject>
        </w:object>
      </w:r>
    </w:p>
    <w:p w14:paraId="68938204">
      <w:pPr>
        <w:pStyle w:val="7"/>
        <w:spacing w:before="93" w:after="93"/>
      </w:pPr>
      <w:r>
        <w:rPr>
          <w:rFonts w:hint="eastAsia"/>
        </w:rPr>
        <w:t>图</w:t>
      </w:r>
      <w:r>
        <w:t xml:space="preserve">4.14 </w:t>
      </w:r>
      <w:r>
        <w:rPr>
          <w:rFonts w:hint="eastAsia"/>
        </w:rPr>
        <w:t>M</w:t>
      </w:r>
      <w:r>
        <w:t>QTT</w:t>
      </w:r>
      <w:r>
        <w:rPr>
          <w:rFonts w:hint="eastAsia"/>
        </w:rPr>
        <w:t>协议示意图</w:t>
      </w:r>
    </w:p>
    <w:p w14:paraId="4DCE95ED">
      <w:pPr>
        <w:ind w:firstLine="480" w:firstLineChars="200"/>
      </w:pPr>
      <w:r>
        <w:t>无线通信程序的设计过程采用控制变量法，以确保各个模块在独立调试和验证后能够顺利集成，保障系统整体的稳定性与可靠性。该设计流程首先从OneNET服务器的搭建开始，完成后使用MQTT.fx工具对其进行功能验证，确认服务器是否具备接收和发布MQTT协议消息的能力，从而判断服务器配置是否成功。在此基础上，进入硬件端的配置与通信调试阶段，首先对ESP8266模块进行初始化配置，通过AT指令控制其连接到已验证的OneNET服务器，并进一步编写微控制器端的程序，完成对ESP8266模块的控制，实现设备与云端的数据交互。图4.15展示了该设计流程的实现路径。在该过程中，控制变量法的应用体现在每一步的单独验证上，确保问题定位清晰、高效。例如，在OneNET服务器搭建完成后，通过MQTT.fx测试其发布与订阅能力，如果测试成功，则可排除服务器本身的配置问题；而ESP8266通过AT指令进行连接时，则可以验证其固件是否正常、AT指令通信是否稳定以及所处网络环境是否支持连接；最终，当微控制器通过代码控制ESP8266时，如出现连接问题，可将故障源直接归结为微控制器程序本身，无需重新排查前端配置步骤。这种逐层验证、逐步推进的控制思路，不仅提升了程序设计的科学性，也显著提高了系统调试效率与成功率。</w:t>
      </w:r>
    </w:p>
    <w:p w14:paraId="2293CAC2">
      <w:pPr>
        <w:spacing w:line="240" w:lineRule="auto"/>
        <w:jc w:val="center"/>
      </w:pPr>
      <w:r>
        <w:rPr>
          <w:rFonts w:hint="eastAsia"/>
        </w:rPr>
        <w:object>
          <v:shape id="_x0000_i1084" o:spt="75" type="#_x0000_t75" style="height:296.3pt;width:196.6pt;" o:ole="t" filled="f" o:preferrelative="t" stroked="f" coordsize="21600,21600">
            <v:path/>
            <v:fill on="f" focussize="0,0"/>
            <v:stroke on="f" joinstyle="miter"/>
            <v:imagedata r:id="rId143" o:title=""/>
            <o:lock v:ext="edit" aspectratio="t"/>
            <w10:wrap type="none"/>
            <w10:anchorlock/>
          </v:shape>
          <o:OLEObject Type="Embed" ProgID="Visio.Drawing.15" ShapeID="_x0000_i1084" DrawAspect="Content" ObjectID="_1468075783" r:id="rId142">
            <o:LockedField>false</o:LockedField>
          </o:OLEObject>
        </w:object>
      </w:r>
    </w:p>
    <w:p w14:paraId="26221EEF">
      <w:pPr>
        <w:pStyle w:val="7"/>
        <w:spacing w:before="93" w:after="93"/>
      </w:pPr>
      <w:r>
        <w:rPr>
          <w:rFonts w:hint="eastAsia"/>
        </w:rPr>
        <w:t>图</w:t>
      </w:r>
      <w:r>
        <w:t>4</w:t>
      </w:r>
      <w:r>
        <w:rPr>
          <w:rFonts w:hint="eastAsia"/>
        </w:rPr>
        <w:t>.1</w:t>
      </w:r>
      <w:r>
        <w:t>5</w:t>
      </w:r>
      <w:r>
        <w:rPr>
          <w:rFonts w:hint="eastAsia"/>
        </w:rPr>
        <w:t>无线通信程序的设计框图</w:t>
      </w:r>
    </w:p>
    <w:p w14:paraId="060988E0">
      <w:pPr>
        <w:pStyle w:val="4"/>
      </w:pPr>
      <w:bookmarkStart w:id="61" w:name="_Toc200699975"/>
      <w:r>
        <w:rPr>
          <w:rFonts w:hint="eastAsia"/>
        </w:rPr>
        <w:t>4</w:t>
      </w:r>
      <w:r>
        <w:t>.</w:t>
      </w:r>
      <w:r>
        <w:rPr>
          <w:rFonts w:hint="eastAsia"/>
        </w:rPr>
        <w:t>9</w:t>
      </w:r>
      <w:r>
        <w:t>.1 BCU的远程监控与通信模块</w:t>
      </w:r>
      <w:bookmarkEnd w:id="61"/>
    </w:p>
    <w:p w14:paraId="6DD013AF">
      <w:pPr>
        <w:ind w:firstLine="480" w:firstLineChars="200"/>
      </w:pPr>
      <w:r>
        <w:t>如图4.16所示，系统通过串口通信实现与GPS模块的数据交互，并将获取的位置信息与电池状态数据融合处理，实现对车辆运行状态的全面监测。BCU在该过程中起到关键作用，它不仅负责从各个BMU收集单体电压和温度数据，还实时采集整个电池组的总电压与电流。同时，BCU通过串口接口与GPS模块进行通信，解析标准的NMEA协议数据，精准提取包含UTC时间、经纬度坐标、速度和定位状态等内容的位置信息。这些数据与电池运行状态信息在BCU内部进行融合处理，形成包含时空标签的多源异构数据结构，不仅提高了数据的完整性和追溯性，也增强了后续分析的价值和针对性。最终，系统将整合后的信息按照与云平台约定的结构化格式（如JSON）进行封装，并通过WiFi模块（ESP8266）连接到指定的无线接入点，将数据上传至云端。这一数据融合与远程通信机制不仅提升了系统的实时监控能力，还为云端智能分析提供了包括单体电压、温度、总压、电流、SOC估算结果、告警代码以及地理位置信息等多维度的核心数据支撑，实现了电池运行状态与地理位置的同步上报，有助于实现对动力系统的精准诊断与管理。</w:t>
      </w:r>
    </w:p>
    <w:p w14:paraId="31E8C69A">
      <w:pPr>
        <w:spacing w:line="240" w:lineRule="auto"/>
        <w:jc w:val="center"/>
      </w:pPr>
      <w:r>
        <w:rPr>
          <w:rFonts w:hint="eastAsia"/>
        </w:rPr>
        <w:object>
          <v:shape id="_x0000_i1085" o:spt="75" type="#_x0000_t75" style="height:216pt;width:327.7pt;" o:ole="t" filled="f" o:preferrelative="t" stroked="f" coordsize="21600,21600">
            <v:path/>
            <v:fill on="f" focussize="0,0"/>
            <v:stroke on="f" joinstyle="miter"/>
            <v:imagedata r:id="rId145" o:title=""/>
            <o:lock v:ext="edit" aspectratio="t"/>
            <w10:wrap type="none"/>
            <w10:anchorlock/>
          </v:shape>
          <o:OLEObject Type="Embed" ProgID="Visio.Drawing.15" ShapeID="_x0000_i1085" DrawAspect="Content" ObjectID="_1468075784" r:id="rId144">
            <o:LockedField>false</o:LockedField>
          </o:OLEObject>
        </w:object>
      </w:r>
    </w:p>
    <w:p w14:paraId="1F2EAAE6">
      <w:pPr>
        <w:pStyle w:val="7"/>
        <w:spacing w:before="93" w:after="93"/>
      </w:pPr>
      <w:r>
        <w:rPr>
          <w:rFonts w:hint="eastAsia"/>
        </w:rPr>
        <w:t>图4</w:t>
      </w:r>
      <w:r>
        <w:t>.1</w:t>
      </w:r>
      <w:r>
        <w:rPr>
          <w:rFonts w:hint="eastAsia"/>
        </w:rPr>
        <w:t>6</w:t>
      </w:r>
      <w:r>
        <w:t xml:space="preserve"> </w:t>
      </w:r>
      <w:r>
        <w:rPr>
          <w:rFonts w:hint="eastAsia"/>
        </w:rPr>
        <w:t>串口通信与GPS卫星定位</w:t>
      </w:r>
    </w:p>
    <w:p w14:paraId="3C4EC3A4">
      <w:pPr>
        <w:spacing w:line="240" w:lineRule="auto"/>
        <w:jc w:val="center"/>
      </w:pPr>
      <w:r>
        <w:rPr>
          <w:rFonts w:hint="eastAsia"/>
        </w:rPr>
        <w:object>
          <v:shape id="_x0000_i1086" o:spt="75" type="#_x0000_t75" style="height:379.4pt;width:415.4pt;" o:ole="t" filled="f" o:preferrelative="t" stroked="f" coordsize="21600,21600">
            <v:path/>
            <v:fill on="f" focussize="0,0"/>
            <v:stroke on="f" joinstyle="miter"/>
            <v:imagedata r:id="rId147" o:title=""/>
            <o:lock v:ext="edit" aspectratio="t"/>
            <w10:wrap type="none"/>
            <w10:anchorlock/>
          </v:shape>
          <o:OLEObject Type="Embed" ProgID="Visio.Drawing.15" ShapeID="_x0000_i1086" DrawAspect="Content" ObjectID="_1468075785" r:id="rId146">
            <o:LockedField>false</o:LockedField>
          </o:OLEObject>
        </w:object>
      </w:r>
    </w:p>
    <w:p w14:paraId="13BFB0EE">
      <w:pPr>
        <w:pStyle w:val="7"/>
        <w:spacing w:before="93" w:after="93"/>
      </w:pPr>
      <w:r>
        <w:rPr>
          <w:rFonts w:hint="eastAsia"/>
        </w:rPr>
        <w:t>图4</w:t>
      </w:r>
      <w:r>
        <w:t>.1</w:t>
      </w:r>
      <w:r>
        <w:rPr>
          <w:rFonts w:hint="eastAsia"/>
        </w:rPr>
        <w:t>7</w:t>
      </w:r>
      <w:r>
        <w:t xml:space="preserve"> </w:t>
      </w:r>
      <w:r>
        <w:rPr>
          <w:rFonts w:hint="eastAsia"/>
        </w:rPr>
        <w:t>WIFI通信</w:t>
      </w:r>
    </w:p>
    <w:p w14:paraId="3D28E05F">
      <w:pPr>
        <w:pStyle w:val="4"/>
      </w:pPr>
      <w:bookmarkStart w:id="62" w:name="_Toc200699976"/>
      <w:bookmarkStart w:id="63" w:name="_Toc28177"/>
      <w:r>
        <w:rPr>
          <w:rFonts w:hint="eastAsia"/>
        </w:rPr>
        <w:t>4</w:t>
      </w:r>
      <w:r>
        <w:t>.</w:t>
      </w:r>
      <w:r>
        <w:rPr>
          <w:rFonts w:hint="eastAsia"/>
        </w:rPr>
        <w:t>9</w:t>
      </w:r>
      <w:r>
        <w:t>.</w:t>
      </w:r>
      <w:r>
        <w:rPr>
          <w:rFonts w:hint="eastAsia"/>
        </w:rPr>
        <w:t>2</w:t>
      </w:r>
      <w:r>
        <w:t xml:space="preserve"> </w:t>
      </w:r>
      <w:r>
        <w:rPr>
          <w:rFonts w:hint="eastAsia"/>
        </w:rPr>
        <w:t>OneNET云平台开发</w:t>
      </w:r>
      <w:bookmarkEnd w:id="62"/>
    </w:p>
    <w:p w14:paraId="64346EB5">
      <w:pPr>
        <w:ind w:firstLine="480" w:firstLineChars="200"/>
      </w:pPr>
      <w:r>
        <w:rPr>
          <w:rFonts w:hint="eastAsia"/>
        </w:rPr>
        <w:t>OneNET 已构建“云-网-边-端”整体物联网架构，其架构示意图如图 4</w:t>
      </w:r>
      <w:r>
        <w:t>.18</w:t>
      </w:r>
      <w:r>
        <w:rPr>
          <w:rFonts w:hint="eastAsia"/>
        </w:rPr>
        <w:t xml:space="preserve"> 所示。使用 MQTT 协议与 OneNET 云平台连接时，网关通过MQTT connect 报文进行登录。Connect 报文包括 client、username 和 password 三要素，分别对应设备名称、产品 ID 和经过 Key 计算后的 token 密钥。</w:t>
      </w:r>
    </w:p>
    <w:p w14:paraId="4A87F98F">
      <w:pPr>
        <w:spacing w:line="240" w:lineRule="auto"/>
      </w:pPr>
      <w:r>
        <w:rPr>
          <w:rFonts w:hint="eastAsia"/>
        </w:rPr>
        <w:drawing>
          <wp:inline distT="0" distB="0" distL="0" distR="0">
            <wp:extent cx="5264785" cy="2554605"/>
            <wp:effectExtent l="0" t="0" r="0" b="0"/>
            <wp:docPr id="5" name="图片 5"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形用户界面&#10;&#10;描述已自动生成"/>
                    <pic:cNvPicPr>
                      <a:picLocks noChangeAspect="1"/>
                    </pic:cNvPicPr>
                  </pic:nvPicPr>
                  <pic:blipFill>
                    <a:blip r:embed="rId148">
                      <a:extLst>
                        <a:ext uri="{28A0092B-C50C-407E-A947-70E740481C1C}">
                          <a14:useLocalDpi xmlns:a14="http://schemas.microsoft.com/office/drawing/2010/main" val="0"/>
                        </a:ext>
                      </a:extLst>
                    </a:blip>
                    <a:stretch>
                      <a:fillRect/>
                    </a:stretch>
                  </pic:blipFill>
                  <pic:spPr>
                    <a:xfrm>
                      <a:off x="0" y="0"/>
                      <a:ext cx="5274411" cy="2559735"/>
                    </a:xfrm>
                    <a:prstGeom prst="rect">
                      <a:avLst/>
                    </a:prstGeom>
                  </pic:spPr>
                </pic:pic>
              </a:graphicData>
            </a:graphic>
          </wp:inline>
        </w:drawing>
      </w:r>
    </w:p>
    <w:p w14:paraId="5D7DBAB0">
      <w:pPr>
        <w:pStyle w:val="7"/>
        <w:spacing w:before="93" w:after="93"/>
      </w:pPr>
      <w:r>
        <w:rPr>
          <w:rFonts w:hint="eastAsia"/>
        </w:rPr>
        <w:t>图4</w:t>
      </w:r>
      <w:r>
        <w:t>.18 OneNET</w:t>
      </w:r>
      <w:r>
        <w:rPr>
          <w:rFonts w:hint="eastAsia"/>
        </w:rPr>
        <w:t>架构示意图</w:t>
      </w:r>
    </w:p>
    <w:p w14:paraId="3B6FE6AD">
      <w:pPr>
        <w:ind w:firstLine="480" w:firstLineChars="200"/>
      </w:pPr>
      <w:r>
        <w:rPr>
          <w:rFonts w:hint="eastAsia"/>
        </w:rPr>
        <w:t>物模型是 OneNET 云平台中的一个数据显示模块，用于显示设备上报的属性、方法和事件，本项目中主要是用于显示B</w:t>
      </w:r>
      <w:r>
        <w:t>MU</w:t>
      </w:r>
      <w:r>
        <w:rPr>
          <w:rFonts w:hint="eastAsia"/>
        </w:rPr>
        <w:t>的单体电池电压，电流，温度等运行参数。首先需要在物模型中规定设备上传的各个参数属性，包括功能名称、标识符、数据类型、取值范围和数据定义等。其中，标识符需要和数据解析中定义的 params 名相对应，数据类型根据解析结果多选择整数型和浮点型，故障类型和状态类型数据以及开关型数据多选择枚举型和布尔型，可以在数据类型中定义数据的取值范围和枚举值的各个含义。</w:t>
      </w:r>
    </w:p>
    <w:p w14:paraId="4EF15489">
      <w:pPr>
        <w:pStyle w:val="2"/>
        <w:sectPr>
          <w:pgSz w:w="11906" w:h="16838"/>
          <w:pgMar w:top="1440" w:right="1800" w:bottom="1440" w:left="1800" w:header="851" w:footer="992" w:gutter="0"/>
          <w:cols w:space="425" w:num="1"/>
          <w:docGrid w:type="lines" w:linePitch="312" w:charSpace="0"/>
        </w:sectPr>
      </w:pPr>
    </w:p>
    <w:p w14:paraId="1B44F5DF">
      <w:pPr>
        <w:pStyle w:val="2"/>
      </w:pPr>
      <w:bookmarkStart w:id="64" w:name="_Toc200699977"/>
      <w:r>
        <w:rPr>
          <w:rFonts w:hint="eastAsia"/>
        </w:rPr>
        <w:t>第5章 电池管理系统测试</w:t>
      </w:r>
      <w:bookmarkEnd w:id="63"/>
      <w:bookmarkEnd w:id="64"/>
    </w:p>
    <w:p w14:paraId="3F992748">
      <w:pPr>
        <w:pStyle w:val="3"/>
        <w:rPr>
          <w:bCs/>
        </w:rPr>
      </w:pPr>
      <w:bookmarkStart w:id="65" w:name="_Toc200699978"/>
      <w:r>
        <w:rPr>
          <w:rFonts w:hint="eastAsia"/>
        </w:rPr>
        <w:t>5</w:t>
      </w:r>
      <w:r>
        <w:t>.1</w:t>
      </w:r>
      <w:r>
        <w:rPr>
          <w:rFonts w:hint="eastAsia"/>
        </w:rPr>
        <w:t>系统采集均衡程序测试</w:t>
      </w:r>
      <w:bookmarkEnd w:id="65"/>
    </w:p>
    <w:p w14:paraId="7184C2A1">
      <w:pPr>
        <w:ind w:firstLine="480" w:firstLineChars="200"/>
      </w:pPr>
      <w:r>
        <w:rPr>
          <w:rFonts w:hint="eastAsia"/>
        </w:rPr>
        <w:t>如图5.</w:t>
      </w:r>
      <w:r>
        <w:t>1</w:t>
      </w:r>
      <w:r>
        <w:rPr>
          <w:rFonts w:hint="eastAsia"/>
        </w:rPr>
        <w:t>所示为历史数据采集初始的云平台界面</w:t>
      </w:r>
      <w:r>
        <w:t>，当前电池组总电压为34796mV（对应10串单体电池，单节标称电压约3700mV），SOC值为63%，工作温度30.2℃，均处于正常运行范围；单体电压最高3969mV、最低2985mV，存在显著压差（984mV），表明电池组一致性较差，需通过均衡程序进行调控；实时曲线监测模块可直观反映电压、电流等参数动态变化，状态标志区显示系统当前未处于充电/放电状态，均衡功能已激活（状态值1），各安全阈值均在设定范围内，界面右侧波形图进一步验证了数据采集系统的稳定性与准确性，该测试板块为评估均衡算法效能及优化电池组性能提供了可靠依据。</w:t>
      </w:r>
    </w:p>
    <w:p w14:paraId="0D2B93A7">
      <w:pPr>
        <w:spacing w:line="240" w:lineRule="auto"/>
        <w:jc w:val="center"/>
      </w:pPr>
      <w:r>
        <w:drawing>
          <wp:inline distT="0" distB="0" distL="0" distR="0">
            <wp:extent cx="5274310" cy="2966720"/>
            <wp:effectExtent l="0" t="0" r="254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49" cstate="print">
                      <a:extLst>
                        <a:ext uri="{BEBA8EAE-BF5A-486C-A8C5-ECC9F3942E4B}">
                          <a14:imgProps xmlns:a14="http://schemas.microsoft.com/office/drawing/2010/main">
                            <a14:imgLayer r:embed="rId150">
                              <a14:imgEffect>
                                <a14:brightnessContrast bright="40000" contrast="-20000"/>
                              </a14:imgEffect>
                              <a14:imgEffect>
                                <a14:colorTemperature colorTemp="4700"/>
                              </a14:imgEffect>
                            </a14:imgLayer>
                          </a14:imgProps>
                        </a:ext>
                        <a:ext uri="{28A0092B-C50C-407E-A947-70E740481C1C}">
                          <a14:useLocalDpi xmlns:a14="http://schemas.microsoft.com/office/drawing/2010/main" val="0"/>
                        </a:ext>
                      </a:extLst>
                    </a:blip>
                    <a:srcRect/>
                    <a:stretch>
                      <a:fillRect/>
                    </a:stretch>
                  </pic:blipFill>
                  <pic:spPr>
                    <a:xfrm>
                      <a:off x="0" y="0"/>
                      <a:ext cx="5274310" cy="2966720"/>
                    </a:xfrm>
                    <a:prstGeom prst="rect">
                      <a:avLst/>
                    </a:prstGeom>
                    <a:noFill/>
                    <a:ln>
                      <a:noFill/>
                    </a:ln>
                  </pic:spPr>
                </pic:pic>
              </a:graphicData>
            </a:graphic>
          </wp:inline>
        </w:drawing>
      </w:r>
    </w:p>
    <w:p w14:paraId="44210D72">
      <w:pPr>
        <w:pStyle w:val="7"/>
        <w:spacing w:before="93" w:after="93"/>
      </w:pPr>
      <w:r>
        <w:rPr>
          <w:rFonts w:hint="eastAsia"/>
        </w:rPr>
        <w:t>图5.</w:t>
      </w:r>
      <w:r>
        <w:t>1</w:t>
      </w:r>
      <w:r>
        <w:rPr>
          <w:rFonts w:hint="eastAsia"/>
        </w:rPr>
        <w:t>历史数据采集初始的云平台界面</w:t>
      </w:r>
    </w:p>
    <w:p w14:paraId="3F7CACFF">
      <w:pPr>
        <w:pStyle w:val="59"/>
        <w:spacing w:line="400" w:lineRule="exact"/>
        <w:ind w:firstLine="480" w:firstLineChars="200"/>
        <w:jc w:val="both"/>
        <w:rPr>
          <w:sz w:val="24"/>
          <w:szCs w:val="24"/>
        </w:rPr>
      </w:pPr>
      <w:r>
        <w:rPr>
          <w:rFonts w:hint="eastAsia"/>
          <w:sz w:val="24"/>
          <w:szCs w:val="24"/>
        </w:rPr>
        <w:t>如图5.</w:t>
      </w:r>
      <w:r>
        <w:rPr>
          <w:sz w:val="24"/>
          <w:szCs w:val="24"/>
        </w:rPr>
        <w:t>2</w:t>
      </w:r>
      <w:r>
        <w:rPr>
          <w:rFonts w:hint="eastAsia"/>
          <w:sz w:val="24"/>
          <w:szCs w:val="24"/>
        </w:rPr>
        <w:t>所示为历史数据采集均衡后的云平台界面。具体示例电池的均衡曲线如图5.</w:t>
      </w:r>
      <w:r>
        <w:rPr>
          <w:sz w:val="24"/>
          <w:szCs w:val="24"/>
        </w:rPr>
        <w:t>3</w:t>
      </w:r>
      <w:r>
        <w:rPr>
          <w:rFonts w:hint="eastAsia"/>
          <w:sz w:val="24"/>
          <w:szCs w:val="24"/>
        </w:rPr>
        <w:t>，图5</w:t>
      </w:r>
      <w:r>
        <w:rPr>
          <w:sz w:val="24"/>
          <w:szCs w:val="24"/>
        </w:rPr>
        <w:t>.4</w:t>
      </w:r>
      <w:r>
        <w:rPr>
          <w:rFonts w:hint="eastAsia"/>
          <w:sz w:val="24"/>
          <w:szCs w:val="24"/>
        </w:rPr>
        <w:t>所示，</w:t>
      </w:r>
      <w:r>
        <w:rPr>
          <w:sz w:val="24"/>
          <w:szCs w:val="24"/>
        </w:rPr>
        <w:t>根据两组电池电压随时间变化的折线图分析可知，均衡措施在四块电池间展现出显著的有效性。第1组电池（Vbat1和Vbat2）初始电压</w:t>
      </w:r>
      <w:r>
        <w:rPr>
          <w:rFonts w:hint="eastAsia"/>
          <w:sz w:val="24"/>
          <w:szCs w:val="24"/>
        </w:rPr>
        <w:t>为</w:t>
      </w:r>
      <w:r>
        <w:rPr>
          <w:sz w:val="24"/>
          <w:szCs w:val="24"/>
        </w:rPr>
        <w:t>3607mV</w:t>
      </w:r>
      <w:r>
        <w:rPr>
          <w:rFonts w:hint="eastAsia"/>
          <w:sz w:val="24"/>
          <w:szCs w:val="24"/>
        </w:rPr>
        <w:t>和3</w:t>
      </w:r>
      <w:r>
        <w:rPr>
          <w:sz w:val="24"/>
          <w:szCs w:val="24"/>
        </w:rPr>
        <w:t>134</w:t>
      </w:r>
      <w:r>
        <w:rPr>
          <w:rFonts w:hint="eastAsia"/>
          <w:sz w:val="24"/>
          <w:szCs w:val="24"/>
        </w:rPr>
        <w:t>mv</w:t>
      </w:r>
      <w:r>
        <w:rPr>
          <w:sz w:val="24"/>
          <w:szCs w:val="24"/>
        </w:rPr>
        <w:t>，其中Vbat1呈渐进式下降并最终稳定在3180mV左右，而Vbat2</w:t>
      </w:r>
      <w:r>
        <w:rPr>
          <w:rFonts w:hint="eastAsia"/>
          <w:sz w:val="24"/>
          <w:szCs w:val="24"/>
        </w:rPr>
        <w:t>由于电压靠近均衡点没有明显变化</w:t>
      </w:r>
      <w:r>
        <w:rPr>
          <w:sz w:val="24"/>
          <w:szCs w:val="24"/>
        </w:rPr>
        <w:t>，二者最终电压差缩小至极小范围，表明主动均衡机制成功抑制了单体电压离散性。第2组电池（Vbat3和Vbat4）虽初始即存在电压梯度差异（Vbat4高于Vbat3），但两条曲线在较长时间跨度内保持稳定且趋近一致，印证了均衡系统对静态差异的修正能力。值得注意的是，两组电池的最终电压均收敛至3170mV附近，四块电池整体电压分布趋于收敛，验证了均衡策略在动态补偿与静态平衡方面的双重效能，有效提升了电池组的一致性与使用寿命。</w:t>
      </w:r>
      <w:r>
        <w:rPr>
          <w:rFonts w:hint="eastAsia"/>
          <w:sz w:val="24"/>
          <w:szCs w:val="24"/>
        </w:rPr>
        <w:t>实验可知，单体电池</w:t>
      </w:r>
      <w:r>
        <w:rPr>
          <w:sz w:val="24"/>
          <w:szCs w:val="24"/>
        </w:rPr>
        <w:t>在某一时刻出现明显尖峰异常值，但随后迅速恢复正常，此尖峰异常值由其他因素导致，并不影响</w:t>
      </w:r>
      <w:r>
        <w:rPr>
          <w:rFonts w:hint="eastAsia"/>
          <w:sz w:val="24"/>
          <w:szCs w:val="24"/>
        </w:rPr>
        <w:t>实际</w:t>
      </w:r>
      <w:r>
        <w:rPr>
          <w:sz w:val="24"/>
          <w:szCs w:val="24"/>
        </w:rPr>
        <w:t>均衡效果</w:t>
      </w:r>
      <w:r>
        <w:rPr>
          <w:rFonts w:hint="eastAsia"/>
          <w:sz w:val="24"/>
          <w:szCs w:val="24"/>
        </w:rPr>
        <w:t>。</w:t>
      </w:r>
    </w:p>
    <w:p w14:paraId="0DFAF543">
      <w:pPr>
        <w:spacing w:line="240" w:lineRule="auto"/>
        <w:jc w:val="center"/>
      </w:pPr>
      <w:r>
        <w:drawing>
          <wp:inline distT="0" distB="0" distL="0" distR="0">
            <wp:extent cx="5274310" cy="2966720"/>
            <wp:effectExtent l="0" t="0" r="2540" b="508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51" cstate="print">
                      <a:extLst>
                        <a:ext uri="{BEBA8EAE-BF5A-486C-A8C5-ECC9F3942E4B}">
                          <a14:imgProps xmlns:a14="http://schemas.microsoft.com/office/drawing/2010/main">
                            <a14:imgLayer r:embed="rId152">
                              <a14:imgEffect>
                                <a14:brightnessContrast bright="40000" contrast="-20000"/>
                              </a14:imgEffect>
                              <a14:imgEffect>
                                <a14:colorTemperature colorTemp="4700"/>
                              </a14:imgEffect>
                            </a14:imgLayer>
                          </a14:imgProps>
                        </a:ext>
                        <a:ext uri="{28A0092B-C50C-407E-A947-70E740481C1C}">
                          <a14:useLocalDpi xmlns:a14="http://schemas.microsoft.com/office/drawing/2010/main" val="0"/>
                        </a:ext>
                      </a:extLst>
                    </a:blip>
                    <a:srcRect/>
                    <a:stretch>
                      <a:fillRect/>
                    </a:stretch>
                  </pic:blipFill>
                  <pic:spPr>
                    <a:xfrm>
                      <a:off x="0" y="0"/>
                      <a:ext cx="5274310" cy="2966720"/>
                    </a:xfrm>
                    <a:prstGeom prst="rect">
                      <a:avLst/>
                    </a:prstGeom>
                    <a:noFill/>
                    <a:ln>
                      <a:noFill/>
                    </a:ln>
                  </pic:spPr>
                </pic:pic>
              </a:graphicData>
            </a:graphic>
          </wp:inline>
        </w:drawing>
      </w:r>
    </w:p>
    <w:p w14:paraId="63FD8E33">
      <w:pPr>
        <w:pStyle w:val="7"/>
        <w:spacing w:before="93" w:after="93"/>
      </w:pPr>
      <w:r>
        <w:rPr>
          <w:rFonts w:hint="eastAsia"/>
        </w:rPr>
        <w:t>图5.</w:t>
      </w:r>
      <w:r>
        <w:t>2</w:t>
      </w:r>
      <w:r>
        <w:rPr>
          <w:rFonts w:hint="eastAsia"/>
        </w:rPr>
        <w:t>历史数据采集均衡后的云平台界面</w:t>
      </w:r>
    </w:p>
    <w:p w14:paraId="2D057FE4">
      <w:pPr>
        <w:spacing w:line="240" w:lineRule="auto"/>
        <w:jc w:val="center"/>
      </w:pPr>
      <w:r>
        <w:drawing>
          <wp:inline distT="0" distB="0" distL="0" distR="0">
            <wp:extent cx="5273675" cy="1799590"/>
            <wp:effectExtent l="0" t="0" r="317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referRelativeResize="0">
                      <a:picLocks noChangeAspect="1" noChangeArrowheads="1"/>
                    </pic:cNvPicPr>
                  </pic:nvPicPr>
                  <pic:blipFill>
                    <a:blip r:embed="rId153">
                      <a:extLst>
                        <a:ext uri="{BEBA8EAE-BF5A-486C-A8C5-ECC9F3942E4B}">
                          <a14:imgProps xmlns:a14="http://schemas.microsoft.com/office/drawing/2010/main">
                            <a14:imgLayer r:embed="rId154">
                              <a14:imgEffect>
                                <a14:brightnessContrast bright="40000" contrast="-20000"/>
                              </a14:imgEffect>
                              <a14:imgEffect>
                                <a14:colorTemperature colorTemp="4700"/>
                              </a14:imgEffect>
                            </a14:imgLayer>
                          </a14:imgProps>
                        </a:ext>
                        <a:ext uri="{28A0092B-C50C-407E-A947-70E740481C1C}">
                          <a14:useLocalDpi xmlns:a14="http://schemas.microsoft.com/office/drawing/2010/main" val="0"/>
                        </a:ext>
                      </a:extLst>
                    </a:blip>
                    <a:srcRect/>
                    <a:stretch>
                      <a:fillRect/>
                    </a:stretch>
                  </pic:blipFill>
                  <pic:spPr>
                    <a:xfrm>
                      <a:off x="0" y="0"/>
                      <a:ext cx="5274000" cy="1800000"/>
                    </a:xfrm>
                    <a:prstGeom prst="rect">
                      <a:avLst/>
                    </a:prstGeom>
                    <a:noFill/>
                    <a:ln>
                      <a:noFill/>
                    </a:ln>
                  </pic:spPr>
                </pic:pic>
              </a:graphicData>
            </a:graphic>
          </wp:inline>
        </w:drawing>
      </w:r>
    </w:p>
    <w:p w14:paraId="47080BB8">
      <w:pPr>
        <w:pStyle w:val="7"/>
        <w:spacing w:before="93" w:after="93"/>
      </w:pPr>
      <w:r>
        <w:rPr>
          <w:rFonts w:hint="eastAsia"/>
        </w:rPr>
        <w:t>图5.</w:t>
      </w:r>
      <w:r>
        <w:t>3</w:t>
      </w:r>
      <w:r>
        <w:rPr>
          <w:rFonts w:hint="eastAsia"/>
        </w:rPr>
        <w:t>电池1和电池2的均衡结果</w:t>
      </w:r>
    </w:p>
    <w:p w14:paraId="1AB66D09">
      <w:pPr>
        <w:spacing w:line="240" w:lineRule="auto"/>
        <w:jc w:val="center"/>
      </w:pPr>
      <w:r>
        <w:drawing>
          <wp:inline distT="0" distB="0" distL="0" distR="0">
            <wp:extent cx="5273675" cy="1799590"/>
            <wp:effectExtent l="0" t="0" r="317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preferRelativeResize="0">
                      <a:picLocks noChangeAspect="1" noChangeArrowheads="1"/>
                    </pic:cNvPicPr>
                  </pic:nvPicPr>
                  <pic:blipFill>
                    <a:blip r:embed="rId155">
                      <a:extLst>
                        <a:ext uri="{BEBA8EAE-BF5A-486C-A8C5-ECC9F3942E4B}">
                          <a14:imgProps xmlns:a14="http://schemas.microsoft.com/office/drawing/2010/main">
                            <a14:imgLayer r:embed="rId156">
                              <a14:imgEffect>
                                <a14:brightnessContrast bright="40000" contrast="-20000"/>
                              </a14:imgEffect>
                              <a14:imgEffect>
                                <a14:colorTemperature colorTemp="4700"/>
                              </a14:imgEffect>
                            </a14:imgLayer>
                          </a14:imgProps>
                        </a:ext>
                        <a:ext uri="{28A0092B-C50C-407E-A947-70E740481C1C}">
                          <a14:useLocalDpi xmlns:a14="http://schemas.microsoft.com/office/drawing/2010/main" val="0"/>
                        </a:ext>
                      </a:extLst>
                    </a:blip>
                    <a:srcRect/>
                    <a:stretch>
                      <a:fillRect/>
                    </a:stretch>
                  </pic:blipFill>
                  <pic:spPr>
                    <a:xfrm>
                      <a:off x="0" y="0"/>
                      <a:ext cx="5274000" cy="1800000"/>
                    </a:xfrm>
                    <a:prstGeom prst="rect">
                      <a:avLst/>
                    </a:prstGeom>
                    <a:noFill/>
                    <a:ln>
                      <a:noFill/>
                    </a:ln>
                  </pic:spPr>
                </pic:pic>
              </a:graphicData>
            </a:graphic>
          </wp:inline>
        </w:drawing>
      </w:r>
    </w:p>
    <w:p w14:paraId="6381A7EB">
      <w:pPr>
        <w:pStyle w:val="7"/>
        <w:spacing w:before="93" w:after="93"/>
      </w:pPr>
      <w:r>
        <w:rPr>
          <w:rFonts w:hint="eastAsia"/>
        </w:rPr>
        <w:t>图5.</w:t>
      </w:r>
      <w:r>
        <w:t>4</w:t>
      </w:r>
      <w:r>
        <w:rPr>
          <w:rFonts w:hint="eastAsia"/>
        </w:rPr>
        <w:t>电池</w:t>
      </w:r>
      <w:r>
        <w:t>3</w:t>
      </w:r>
      <w:r>
        <w:rPr>
          <w:rFonts w:hint="eastAsia"/>
        </w:rPr>
        <w:t>和电池</w:t>
      </w:r>
      <w:r>
        <w:t>4</w:t>
      </w:r>
      <w:r>
        <w:rPr>
          <w:rFonts w:hint="eastAsia"/>
        </w:rPr>
        <w:t>的均衡结果</w:t>
      </w:r>
    </w:p>
    <w:p w14:paraId="0C2F82C5">
      <w:pPr>
        <w:pStyle w:val="3"/>
        <w:rPr>
          <w:bCs/>
        </w:rPr>
      </w:pPr>
      <w:bookmarkStart w:id="66" w:name="_Toc200699979"/>
      <w:r>
        <w:rPr>
          <w:rFonts w:hint="eastAsia"/>
        </w:rPr>
        <w:t>5</w:t>
      </w:r>
      <w:r>
        <w:t>.2</w:t>
      </w:r>
      <w:r>
        <w:rPr>
          <w:rFonts w:hint="eastAsia"/>
        </w:rPr>
        <w:t>基于OneNET</w:t>
      </w:r>
      <w:r>
        <w:t>云平台</w:t>
      </w:r>
      <w:r>
        <w:rPr>
          <w:rFonts w:hint="eastAsia"/>
        </w:rPr>
        <w:t>监控系统测试</w:t>
      </w:r>
      <w:bookmarkEnd w:id="66"/>
    </w:p>
    <w:p w14:paraId="15B87272">
      <w:pPr>
        <w:ind w:firstLine="480" w:firstLineChars="200"/>
      </w:pPr>
      <w:r>
        <w:rPr>
          <w:rFonts w:hint="eastAsia"/>
        </w:rPr>
        <w:t>系统测试通过串口调试助手完成，通过串口调试助手也可以清晰的看到电池电压与程序的设定阈值，如图5</w:t>
      </w:r>
      <w:r>
        <w:t>.5</w:t>
      </w:r>
      <w:r>
        <w:rPr>
          <w:rFonts w:hint="eastAsia"/>
        </w:rPr>
        <w:t>所示，并能通过串口将其全部打印出来，当系统的所有参数与程序逻辑配置完成后，在OneNet云平台创建产品并进行相应数据流配置，最后发布产品即可持续监控。</w:t>
      </w:r>
    </w:p>
    <w:p w14:paraId="600B3FB3">
      <w:pPr>
        <w:spacing w:line="240" w:lineRule="auto"/>
        <w:jc w:val="center"/>
      </w:pPr>
      <w:r>
        <w:drawing>
          <wp:inline distT="0" distB="0" distL="0" distR="0">
            <wp:extent cx="4411980" cy="3503930"/>
            <wp:effectExtent l="0" t="0" r="7620"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a:xfrm>
                      <a:off x="0" y="0"/>
                      <a:ext cx="4431415" cy="3519570"/>
                    </a:xfrm>
                    <a:prstGeom prst="rect">
                      <a:avLst/>
                    </a:prstGeom>
                    <a:noFill/>
                    <a:ln>
                      <a:noFill/>
                    </a:ln>
                  </pic:spPr>
                </pic:pic>
              </a:graphicData>
            </a:graphic>
          </wp:inline>
        </w:drawing>
      </w:r>
    </w:p>
    <w:p w14:paraId="2A97B063">
      <w:pPr>
        <w:pStyle w:val="7"/>
        <w:spacing w:before="93" w:after="93"/>
      </w:pPr>
      <w:r>
        <w:rPr>
          <w:rFonts w:hint="eastAsia"/>
        </w:rPr>
        <w:t>图5.</w:t>
      </w:r>
      <w:r>
        <w:t>5</w:t>
      </w:r>
      <w:r>
        <w:rPr>
          <w:rFonts w:hint="eastAsia"/>
        </w:rPr>
        <w:t>串口调试截图</w:t>
      </w:r>
    </w:p>
    <w:p w14:paraId="18569132">
      <w:pPr>
        <w:widowControl/>
        <w:ind w:firstLine="480" w:firstLineChars="200"/>
      </w:pPr>
      <w:r>
        <w:t>控制板终端通过MQTT协议实现与OneNET物联网云平台的通信连接，该通信协议具备轻量、高效和稳定的特点，适用于物联网环境中资源受限设备的远程数据传输需求。在系统正式运行前，终端设备需完成与云平台的身份认证、连接配置及主题订阅等初始化流程。当控制板终端完成网络接入并建立MQTT连接后，其状态将在OneNET平台上实时更新，从原先的“离线”状态变更为“在线”，如图5.6所示，标志着智能光伏控制器终端已经成功对接至物联网云平台，具备数据上传与远程管理的能力。</w:t>
      </w:r>
    </w:p>
    <w:p w14:paraId="4C0CECBA">
      <w:pPr>
        <w:spacing w:line="240" w:lineRule="auto"/>
        <w:jc w:val="center"/>
      </w:pPr>
      <w:r>
        <w:drawing>
          <wp:inline distT="0" distB="0" distL="114300" distR="114300">
            <wp:extent cx="5263515" cy="394335"/>
            <wp:effectExtent l="0" t="0" r="0" b="5715"/>
            <wp:docPr id="3"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2"/>
                    <pic:cNvPicPr>
                      <a:picLocks noChangeAspect="1"/>
                    </pic:cNvPicPr>
                  </pic:nvPicPr>
                  <pic:blipFill>
                    <a:blip r:embed="rId158"/>
                    <a:stretch>
                      <a:fillRect/>
                    </a:stretch>
                  </pic:blipFill>
                  <pic:spPr>
                    <a:xfrm>
                      <a:off x="0" y="0"/>
                      <a:ext cx="5313768" cy="398614"/>
                    </a:xfrm>
                    <a:prstGeom prst="rect">
                      <a:avLst/>
                    </a:prstGeom>
                    <a:noFill/>
                    <a:ln>
                      <a:noFill/>
                    </a:ln>
                  </pic:spPr>
                </pic:pic>
              </a:graphicData>
            </a:graphic>
          </wp:inline>
        </w:drawing>
      </w:r>
    </w:p>
    <w:p w14:paraId="26E272F0">
      <w:pPr>
        <w:pStyle w:val="7"/>
        <w:spacing w:before="93" w:after="93"/>
      </w:pPr>
      <w:r>
        <w:rPr>
          <w:rFonts w:hint="eastAsia"/>
        </w:rPr>
        <w:t>图5.</w:t>
      </w:r>
      <w:r>
        <w:t>6</w:t>
      </w:r>
      <w:r>
        <w:rPr>
          <w:rFonts w:hint="eastAsia"/>
        </w:rPr>
        <w:t>终端在线</w:t>
      </w:r>
    </w:p>
    <w:p w14:paraId="58603315">
      <w:pPr>
        <w:widowControl/>
        <w:ind w:firstLine="480" w:firstLineChars="200"/>
        <w:rPr>
          <w:rFonts w:ascii="CIDFont" w:hAnsi="CIDFont" w:eastAsia="CIDFont" w:cs="CIDFont"/>
          <w:color w:val="000000"/>
          <w:kern w:val="0"/>
          <w:szCs w:val="24"/>
          <w:lang w:bidi="ar"/>
        </w:rPr>
      </w:pPr>
      <w:r>
        <w:rPr>
          <w:rFonts w:hint="eastAsia" w:ascii="宋体" w:hAnsi="宋体" w:cs="宋体"/>
          <w:color w:val="000000"/>
          <w:kern w:val="0"/>
          <w:szCs w:val="24"/>
          <w:lang w:bidi="ar"/>
        </w:rPr>
        <w:t>终端部分采集数据如图</w:t>
      </w:r>
      <w:r>
        <w:rPr>
          <w:rFonts w:hint="eastAsia"/>
        </w:rPr>
        <w:t>5.</w:t>
      </w:r>
      <w:r>
        <w:t>7</w:t>
      </w:r>
      <w:r>
        <w:rPr>
          <w:rFonts w:hint="eastAsia" w:ascii="宋体" w:hAnsi="宋体" w:cs="宋体"/>
          <w:color w:val="000000"/>
          <w:kern w:val="0"/>
          <w:szCs w:val="24"/>
          <w:lang w:bidi="ar"/>
        </w:rPr>
        <w:t>所示，</w:t>
      </w:r>
      <w:r>
        <w:rPr>
          <w:rFonts w:hint="eastAsia"/>
        </w:rPr>
        <w:t>OneNET云平台</w:t>
      </w:r>
      <w:r>
        <w:rPr>
          <w:rFonts w:hint="eastAsia" w:ascii="宋体" w:hAnsi="宋体" w:cs="宋体"/>
          <w:color w:val="000000"/>
          <w:kern w:val="0"/>
          <w:szCs w:val="24"/>
          <w:lang w:bidi="ar"/>
        </w:rPr>
        <w:t>接收到终端发送的信息后，云平台脚本会自动进行数据解析并成功将数据包中的各类数据信息发送到对应的物模型属性栏中进行实时显示和存储。</w:t>
      </w:r>
    </w:p>
    <w:p w14:paraId="4CFEA1EC">
      <w:pPr>
        <w:widowControl/>
        <w:spacing w:line="240" w:lineRule="auto"/>
        <w:jc w:val="left"/>
        <w:rPr>
          <w:rFonts w:ascii="宋体" w:hAnsi="宋体" w:cs="宋体"/>
          <w:kern w:val="0"/>
          <w:szCs w:val="24"/>
        </w:rPr>
      </w:pPr>
      <w:r>
        <w:rPr>
          <w:rFonts w:ascii="宋体" w:hAnsi="宋体" w:cs="宋体"/>
          <w:kern w:val="0"/>
          <w:szCs w:val="24"/>
        </w:rPr>
        <w:drawing>
          <wp:inline distT="0" distB="0" distL="0" distR="0">
            <wp:extent cx="5197475" cy="8421370"/>
            <wp:effectExtent l="0" t="0" r="3175"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a:xfrm>
                      <a:off x="0" y="0"/>
                      <a:ext cx="5218329" cy="8455124"/>
                    </a:xfrm>
                    <a:prstGeom prst="rect">
                      <a:avLst/>
                    </a:prstGeom>
                    <a:noFill/>
                    <a:ln>
                      <a:noFill/>
                    </a:ln>
                  </pic:spPr>
                </pic:pic>
              </a:graphicData>
            </a:graphic>
          </wp:inline>
        </w:drawing>
      </w:r>
    </w:p>
    <w:p w14:paraId="490837F6">
      <w:pPr>
        <w:pStyle w:val="7"/>
        <w:spacing w:before="93" w:after="93"/>
      </w:pPr>
      <w:r>
        <w:rPr>
          <w:rFonts w:hint="eastAsia"/>
        </w:rPr>
        <w:t>图5.</w:t>
      </w:r>
      <w:r>
        <w:t>7</w:t>
      </w:r>
      <w:r>
        <w:rPr>
          <w:rFonts w:hint="eastAsia"/>
        </w:rPr>
        <w:t>终端属性</w:t>
      </w:r>
    </w:p>
    <w:p w14:paraId="5B57A551">
      <w:pPr>
        <w:ind w:firstLine="480" w:firstLineChars="200"/>
      </w:pPr>
      <w:r>
        <w:rPr>
          <w:rFonts w:hint="eastAsia"/>
        </w:rPr>
        <w:t>可地图定位的远程监控系统界面如图5.</w:t>
      </w:r>
      <w:r>
        <w:t>8</w:t>
      </w:r>
      <w:r>
        <w:rPr>
          <w:rFonts w:hint="eastAsia"/>
        </w:rPr>
        <w:t>所示，监控界面由OneNET提供的View3.0可视化平台搭建，所有的数据组件均以设备的数据源作为显示输入，保证了数据的实时性，同时也直观的显示了各类数据。仪表组件和信号灯均正常工作，View3.0界面成功实现了高可靠智能分布式电池管理系统参数与状态的实时监控。OneNET平台以5s为单位实时显示所接收的数据，可事实显示设定的各项阈值，并可随时同步阈值修改。电池单体电压与总电压实时采集并显示在面板中，采集计算后的S</w:t>
      </w:r>
      <w:r>
        <w:t>OC</w:t>
      </w:r>
      <w:r>
        <w:rPr>
          <w:rFonts w:hint="eastAsia"/>
        </w:rPr>
        <w:t>也同步更新到面板，同时显示板载温度与设备经纬度，并调用百度地图的A</w:t>
      </w:r>
      <w:r>
        <w:t>PI</w:t>
      </w:r>
      <w:r>
        <w:rPr>
          <w:rFonts w:hint="eastAsia"/>
        </w:rPr>
        <w:t>接口实现地图定位。状态量均显示在右下角，可简单直接的查看设备的当前工作状态。</w:t>
      </w:r>
    </w:p>
    <w:p w14:paraId="4C6E032B">
      <w:pPr>
        <w:widowControl/>
        <w:spacing w:line="240" w:lineRule="auto"/>
        <w:jc w:val="center"/>
        <w:rPr>
          <w:rFonts w:ascii="宋体" w:hAnsi="宋体" w:cs="宋体"/>
          <w:kern w:val="0"/>
          <w:szCs w:val="24"/>
        </w:rPr>
      </w:pPr>
      <w:r>
        <w:rPr>
          <w:rFonts w:ascii="宋体" w:hAnsi="宋体" w:cs="宋体"/>
          <w:kern w:val="0"/>
          <w:szCs w:val="24"/>
        </w:rPr>
        <w:drawing>
          <wp:inline distT="0" distB="0" distL="0" distR="0">
            <wp:extent cx="5274310" cy="2940050"/>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60" cstate="print">
                      <a:extLst>
                        <a:ext uri="{BEBA8EAE-BF5A-486C-A8C5-ECC9F3942E4B}">
                          <a14:imgProps xmlns:a14="http://schemas.microsoft.com/office/drawing/2010/main">
                            <a14:imgLayer r:embed="rId161">
                              <a14:imgEffect>
                                <a14:brightnessContrast bright="40000" contrast="-20000"/>
                              </a14:imgEffect>
                              <a14:imgEffect>
                                <a14:colorTemperature colorTemp="4700"/>
                              </a14:imgEffect>
                            </a14:imgLayer>
                          </a14:imgProps>
                        </a:ext>
                        <a:ext uri="{28A0092B-C50C-407E-A947-70E740481C1C}">
                          <a14:useLocalDpi xmlns:a14="http://schemas.microsoft.com/office/drawing/2010/main" val="0"/>
                        </a:ext>
                      </a:extLst>
                    </a:blip>
                    <a:srcRect/>
                    <a:stretch>
                      <a:fillRect/>
                    </a:stretch>
                  </pic:blipFill>
                  <pic:spPr>
                    <a:xfrm>
                      <a:off x="0" y="0"/>
                      <a:ext cx="5295696" cy="2951971"/>
                    </a:xfrm>
                    <a:prstGeom prst="rect">
                      <a:avLst/>
                    </a:prstGeom>
                    <a:noFill/>
                    <a:ln>
                      <a:noFill/>
                    </a:ln>
                  </pic:spPr>
                </pic:pic>
              </a:graphicData>
            </a:graphic>
          </wp:inline>
        </w:drawing>
      </w:r>
    </w:p>
    <w:p w14:paraId="337C744B">
      <w:pPr>
        <w:pStyle w:val="7"/>
        <w:spacing w:before="93" w:after="93"/>
      </w:pPr>
      <w:r>
        <w:rPr>
          <w:rFonts w:hint="eastAsia"/>
        </w:rPr>
        <w:t>图5.</w:t>
      </w:r>
      <w:r>
        <w:t>8</w:t>
      </w:r>
      <w:r>
        <w:rPr>
          <w:rFonts w:hint="eastAsia"/>
        </w:rPr>
        <w:t>地图定位的远程监控系统界面</w:t>
      </w:r>
    </w:p>
    <w:p w14:paraId="5517B603">
      <w:pPr>
        <w:pStyle w:val="2"/>
        <w:sectPr>
          <w:pgSz w:w="11906" w:h="16838"/>
          <w:pgMar w:top="1440" w:right="1800" w:bottom="1440" w:left="1800" w:header="851" w:footer="992" w:gutter="0"/>
          <w:cols w:space="425" w:num="1"/>
          <w:docGrid w:type="lines" w:linePitch="312" w:charSpace="0"/>
        </w:sectPr>
      </w:pPr>
    </w:p>
    <w:p w14:paraId="09AE7486">
      <w:pPr>
        <w:pStyle w:val="2"/>
      </w:pPr>
      <w:bookmarkStart w:id="67" w:name="_Toc200699980"/>
      <w:r>
        <w:rPr>
          <w:rFonts w:hint="eastAsia"/>
        </w:rPr>
        <w:t>第</w:t>
      </w:r>
      <w:r>
        <w:t>6</w:t>
      </w:r>
      <w:r>
        <w:rPr>
          <w:rFonts w:hint="eastAsia"/>
        </w:rPr>
        <w:t>章 总结</w:t>
      </w:r>
      <w:bookmarkEnd w:id="67"/>
    </w:p>
    <w:p w14:paraId="04B8ED95">
      <w:pPr>
        <w:ind w:firstLine="480" w:firstLineChars="200"/>
      </w:pPr>
      <w:r>
        <w:rPr>
          <w:rFonts w:hint="eastAsia"/>
        </w:rPr>
        <w:t>该项目设计了一个分布式锂电池智能管理系统及云平台，旨在解决传统电池管理系统架构扩展性不足、通信效率低、均衡控制策略不足以及远程监控能力弱等问题。</w:t>
      </w:r>
      <w:r>
        <w:t>系统采用了主控单元与电池监测单元分离的模块化架构，支持多级节点级联通信，增强了系统的拓扑灵活性。自主设计的CAN通信协议，确保了BMU快速热插拔（200ms）、并发注册成功率（99.9%）和误报率（&lt;0.1%），保证了通信的稳定性与实时性。通过实时分析电池组的平均SOC（荷电状态）、温度梯度等多维参数，动态调整均衡触发条件，并结合加权评分机制确定优先级，实现了均衡资源的最优配置</w:t>
      </w:r>
      <w:r>
        <w:rPr>
          <w:rFonts w:hint="eastAsia"/>
        </w:rPr>
        <w:t>。</w:t>
      </w:r>
      <w:r>
        <w:t>系统集成了基于OneNET云平台的远程监控系统，提升了远程运维效率，可在电池发生异常时第一时间推送警报，为系统的大规模部署和异地管理提供了坚实的技术支撑。</w:t>
      </w:r>
    </w:p>
    <w:p w14:paraId="457F29BF">
      <w:pPr>
        <w:ind w:firstLine="480" w:firstLineChars="200"/>
      </w:pPr>
      <w:r>
        <w:rPr>
          <w:rFonts w:hint="eastAsia"/>
        </w:rPr>
        <w:t>首先，从技术效益方面来看，</w:t>
      </w:r>
      <w:r>
        <w:t>通过模块化架构与多级节点级联通信，提升了系统的灵活性和抗故障能力，确保多节点环境下通信延迟低于5ms。主从架构的双通道CAN通信协议实现了热插拔、高并发与低误报率，保障了数据交互的实时性和安全性。提出的动态阈值均衡策略与多参数调度机制，将均衡效率提升22%，无效动作减少60%，延长了电池寿命。同时，基于OneNET云平台的远程监控系统，实现运行状态的实时记录与智能预警，显著提升了系统的运维效率和整体安全性</w:t>
      </w:r>
      <w:r>
        <w:rPr>
          <w:rFonts w:hint="eastAsia"/>
        </w:rPr>
        <w:t>。</w:t>
      </w:r>
    </w:p>
    <w:p w14:paraId="3A715C34">
      <w:pPr>
        <w:ind w:firstLine="480" w:firstLineChars="200"/>
      </w:pPr>
      <w:r>
        <w:rPr>
          <w:rFonts w:hint="eastAsia"/>
        </w:rPr>
        <w:t>其次，从社会效益方面来看，</w:t>
      </w:r>
      <w:r>
        <w:t>电池管理系统在新能源汽车、储能等领域的应用，不仅提高了电池系统的安全性与可靠性，还通过高均衡效率与智能化管理延长了电池的使用寿命，降低资源浪费。这种高效且环保的设计有力推动了绿色能源技术的普及，同时提升了社会对动力电池和储能系统的信心</w:t>
      </w:r>
      <w:r>
        <w:rPr>
          <w:rFonts w:hint="eastAsia"/>
        </w:rPr>
        <w:t>。</w:t>
      </w:r>
    </w:p>
    <w:p w14:paraId="39412F5E">
      <w:pPr>
        <w:ind w:firstLine="480" w:firstLineChars="200"/>
      </w:pPr>
      <w:r>
        <w:rPr>
          <w:rFonts w:hint="eastAsia"/>
        </w:rPr>
        <w:t>最后，从经济效益方面来看，</w:t>
      </w:r>
      <w:r>
        <w:t>通过模块化架构设计，系统可根据功率需求与电池组规模灵活调整扩展，降低了因系统设计不足或扩展性差导致的二次更新成本，同时支持热插拔功能，减少了系统停机时间，提高了经济性</w:t>
      </w:r>
      <w:r>
        <w:rPr>
          <w:rFonts w:hint="eastAsia"/>
        </w:rPr>
        <w:t>；</w:t>
      </w:r>
      <w:r>
        <w:t>动态均衡策略和运行状态的智能化监控减少了电池组因不一致性导致的性能衰减，有效延长了电池使用寿命。此外，远程监控与故障诊断功能降低了意外故障率和维护频率，减少了运维人员投入和维修成本。</w:t>
      </w:r>
    </w:p>
    <w:p w14:paraId="14C2ED43">
      <w:pPr>
        <w:spacing w:after="156" w:afterLines="50"/>
        <w:rPr>
          <w:rFonts w:ascii="黑体" w:hAnsi="黑体" w:eastAsia="黑体"/>
          <w:sz w:val="36"/>
          <w:szCs w:val="36"/>
        </w:rPr>
      </w:pPr>
      <w:bookmarkStart w:id="68" w:name="_Toc108970375"/>
    </w:p>
    <w:p w14:paraId="1514DB17">
      <w:pPr>
        <w:spacing w:after="156" w:afterLines="50"/>
        <w:rPr>
          <w:rFonts w:ascii="黑体" w:hAnsi="黑体" w:eastAsia="黑体"/>
          <w:sz w:val="36"/>
          <w:szCs w:val="36"/>
        </w:rPr>
        <w:sectPr>
          <w:pgSz w:w="11906" w:h="16838"/>
          <w:pgMar w:top="1440" w:right="1800" w:bottom="1440" w:left="1800" w:header="851" w:footer="992" w:gutter="0"/>
          <w:cols w:space="425" w:num="1"/>
          <w:docGrid w:type="lines" w:linePitch="312" w:charSpace="0"/>
        </w:sectPr>
      </w:pPr>
    </w:p>
    <w:p w14:paraId="5C25BA3A">
      <w:pPr>
        <w:spacing w:after="156" w:afterLines="50"/>
        <w:jc w:val="center"/>
        <w:rPr>
          <w:rFonts w:ascii="黑体" w:hAnsi="黑体"/>
          <w:szCs w:val="36"/>
        </w:rPr>
      </w:pPr>
      <w:r>
        <w:rPr>
          <w:rFonts w:hint="eastAsia" w:ascii="黑体" w:hAnsi="黑体" w:eastAsia="黑体"/>
          <w:sz w:val="36"/>
          <w:szCs w:val="36"/>
        </w:rPr>
        <w:t>参考文献</w:t>
      </w:r>
      <w:bookmarkEnd w:id="68"/>
    </w:p>
    <w:p w14:paraId="2E6617BE">
      <w:pPr>
        <w:pStyle w:val="78"/>
        <w:spacing w:line="480" w:lineRule="auto"/>
        <w:ind w:left="386" w:hanging="386"/>
        <w:rPr>
          <w:rFonts w:cs="Times New Roman"/>
          <w:kern w:val="0"/>
        </w:rPr>
      </w:pPr>
      <w:r>
        <w:fldChar w:fldCharType="begin"/>
      </w:r>
      <w:r>
        <w:instrText xml:space="preserve"> ADDIN ZOTERO_BIBL {"uncited":[],"omitted":[],"custom":[]} CSL_BIBLIOGRAPHY </w:instrText>
      </w:r>
      <w:r>
        <w:fldChar w:fldCharType="separate"/>
      </w:r>
      <w:r>
        <w:rPr>
          <w:rFonts w:cs="Times New Roman"/>
          <w:kern w:val="0"/>
        </w:rPr>
        <w:t>[1]</w:t>
      </w:r>
      <w:r>
        <w:rPr>
          <w:rFonts w:cs="Times New Roman"/>
          <w:kern w:val="0"/>
        </w:rPr>
        <w:tab/>
      </w:r>
      <w:r>
        <w:rPr>
          <w:rFonts w:cs="Times New Roman"/>
          <w:kern w:val="0"/>
        </w:rPr>
        <w:t>田叮, 张俊杰, 宋固磊, 等. 基于STM32新动力自行车的电池管理系统设计[J]. 电子制作, 2024, 32(12): 7-10.</w:t>
      </w:r>
    </w:p>
    <w:p w14:paraId="1DA9913E">
      <w:pPr>
        <w:pStyle w:val="78"/>
        <w:spacing w:line="480" w:lineRule="auto"/>
        <w:ind w:left="386" w:hanging="386"/>
        <w:rPr>
          <w:rFonts w:cs="Times New Roman"/>
          <w:kern w:val="0"/>
        </w:rPr>
      </w:pPr>
      <w:r>
        <w:rPr>
          <w:rFonts w:cs="Times New Roman"/>
          <w:kern w:val="0"/>
        </w:rPr>
        <w:t>[2]</w:t>
      </w:r>
      <w:r>
        <w:rPr>
          <w:rFonts w:cs="Times New Roman"/>
          <w:kern w:val="0"/>
        </w:rPr>
        <w:tab/>
      </w:r>
      <w:r>
        <w:rPr>
          <w:rFonts w:cs="Times New Roman"/>
          <w:kern w:val="0"/>
        </w:rPr>
        <w:t>李宣葙. 电动汽车电池管理系统的优化设计与能量均衡策略研究[J]. 科技创新与应用, 2025, 15(7): 43-46.</w:t>
      </w:r>
    </w:p>
    <w:p w14:paraId="0D35BA5D">
      <w:pPr>
        <w:pStyle w:val="78"/>
        <w:spacing w:line="480" w:lineRule="auto"/>
        <w:ind w:left="386" w:hanging="386"/>
        <w:rPr>
          <w:rFonts w:cs="Times New Roman"/>
          <w:kern w:val="0"/>
        </w:rPr>
      </w:pPr>
      <w:r>
        <w:rPr>
          <w:rFonts w:cs="Times New Roman"/>
          <w:kern w:val="0"/>
        </w:rPr>
        <w:t>[3]</w:t>
      </w:r>
      <w:r>
        <w:rPr>
          <w:rFonts w:cs="Times New Roman"/>
          <w:kern w:val="0"/>
        </w:rPr>
        <w:tab/>
      </w:r>
      <w:r>
        <w:rPr>
          <w:rFonts w:cs="Times New Roman"/>
          <w:kern w:val="0"/>
        </w:rPr>
        <w:t>毋智军. 新能源汽车电池管理系统设计优化研究[J]. 汽车维修技师, 2025(6): 40-42.</w:t>
      </w:r>
    </w:p>
    <w:p w14:paraId="613B3629">
      <w:pPr>
        <w:pStyle w:val="78"/>
        <w:spacing w:line="480" w:lineRule="auto"/>
        <w:ind w:left="386" w:hanging="386"/>
        <w:rPr>
          <w:rFonts w:cs="Times New Roman"/>
          <w:color w:val="FF0000"/>
          <w:kern w:val="0"/>
        </w:rPr>
      </w:pPr>
      <w:r>
        <w:rPr>
          <w:rFonts w:cs="Times New Roman"/>
          <w:kern w:val="0"/>
        </w:rPr>
        <w:t>[4]</w:t>
      </w:r>
      <w:r>
        <w:rPr>
          <w:rFonts w:cs="Times New Roman"/>
          <w:kern w:val="0"/>
        </w:rPr>
        <w:tab/>
      </w:r>
      <w:r>
        <w:rPr>
          <w:rFonts w:cs="Times New Roman"/>
          <w:kern w:val="0"/>
        </w:rPr>
        <w:t>陈虎. 新能源汽车电池管理系统的优化设计与技术实现[J]. 时代汽车,</w:t>
      </w:r>
      <w:r>
        <w:rPr>
          <w:rFonts w:cs="Times New Roman"/>
          <w:color w:val="FF0000"/>
          <w:kern w:val="0"/>
        </w:rPr>
        <w:t xml:space="preserve"> </w:t>
      </w:r>
      <w:r>
        <w:rPr>
          <w:rFonts w:cs="Times New Roman"/>
          <w:color w:val="000000" w:themeColor="text1"/>
          <w:kern w:val="0"/>
          <w14:textFill>
            <w14:solidFill>
              <w14:schemeClr w14:val="tx1"/>
            </w14:solidFill>
          </w14:textFill>
        </w:rPr>
        <w:t>2025</w:t>
      </w:r>
      <w:r>
        <w:rPr>
          <w:rFonts w:hint="eastAsia" w:cs="Times New Roman"/>
          <w:color w:val="000000" w:themeColor="text1"/>
          <w:kern w:val="0"/>
          <w14:textFill>
            <w14:solidFill>
              <w14:schemeClr w14:val="tx1"/>
            </w14:solidFill>
          </w14:textFill>
        </w:rPr>
        <w:t>，</w:t>
      </w:r>
      <w:r>
        <w:rPr>
          <w:rFonts w:cs="Times New Roman"/>
          <w:color w:val="000000" w:themeColor="text1"/>
          <w:kern w:val="0"/>
          <w14:textFill>
            <w14:solidFill>
              <w14:schemeClr w14:val="tx1"/>
            </w14:solidFill>
          </w14:textFill>
        </w:rPr>
        <w:t>10: 95-97.</w:t>
      </w:r>
    </w:p>
    <w:p w14:paraId="37999B76">
      <w:pPr>
        <w:pStyle w:val="78"/>
        <w:spacing w:line="480" w:lineRule="auto"/>
        <w:ind w:left="386" w:hanging="386"/>
        <w:rPr>
          <w:rFonts w:cs="Times New Roman"/>
          <w:kern w:val="0"/>
        </w:rPr>
      </w:pPr>
      <w:r>
        <w:rPr>
          <w:rFonts w:cs="Times New Roman"/>
          <w:kern w:val="0"/>
        </w:rPr>
        <w:t>[5]</w:t>
      </w:r>
      <w:r>
        <w:rPr>
          <w:rFonts w:cs="Times New Roman"/>
          <w:kern w:val="0"/>
        </w:rPr>
        <w:tab/>
      </w:r>
      <w:r>
        <w:rPr>
          <w:rFonts w:cs="Times New Roman"/>
          <w:kern w:val="0"/>
        </w:rPr>
        <w:t>龙振弘. 基于STM32的电动汽车动力电池管理系统设计[J]. 微处理机, 2023, 44(4): 56-60.</w:t>
      </w:r>
    </w:p>
    <w:p w14:paraId="1AEDCC2B">
      <w:pPr>
        <w:pStyle w:val="78"/>
        <w:spacing w:line="480" w:lineRule="auto"/>
        <w:ind w:left="386" w:hanging="386"/>
        <w:rPr>
          <w:rFonts w:cs="Times New Roman"/>
          <w:kern w:val="0"/>
        </w:rPr>
      </w:pPr>
      <w:r>
        <w:rPr>
          <w:rFonts w:cs="Times New Roman"/>
          <w:kern w:val="0"/>
        </w:rPr>
        <w:t>[6]</w:t>
      </w:r>
      <w:r>
        <w:rPr>
          <w:rFonts w:cs="Times New Roman"/>
          <w:kern w:val="0"/>
        </w:rPr>
        <w:tab/>
      </w:r>
      <w:r>
        <w:rPr>
          <w:rFonts w:cs="Times New Roman"/>
          <w:kern w:val="0"/>
        </w:rPr>
        <w:t>Xiangcheng Y, Daxiang L B Y. Design and implementation of a battery management system with active charge balance based on the SOC and SOH online estimation[J]</w:t>
      </w:r>
      <w:r>
        <w:rPr>
          <w:rFonts w:hint="eastAsia" w:cs="Times New Roman"/>
          <w:kern w:val="0"/>
        </w:rPr>
        <w:t>. Energy, 2019，166: 908-917</w:t>
      </w:r>
      <w:r>
        <w:rPr>
          <w:rFonts w:cs="Times New Roman"/>
          <w:kern w:val="0"/>
        </w:rPr>
        <w:t>.</w:t>
      </w:r>
    </w:p>
    <w:p w14:paraId="2FBE6058">
      <w:pPr>
        <w:pStyle w:val="78"/>
        <w:spacing w:line="480" w:lineRule="auto"/>
        <w:ind w:left="386" w:hanging="386"/>
        <w:rPr>
          <w:rFonts w:cs="Times New Roman"/>
          <w:kern w:val="0"/>
        </w:rPr>
      </w:pPr>
      <w:r>
        <w:rPr>
          <w:rFonts w:cs="Times New Roman"/>
          <w:kern w:val="0"/>
        </w:rPr>
        <w:t>[7]</w:t>
      </w:r>
      <w:r>
        <w:rPr>
          <w:rFonts w:cs="Times New Roman"/>
          <w:kern w:val="0"/>
        </w:rPr>
        <w:tab/>
      </w:r>
      <w:r>
        <w:rPr>
          <w:rFonts w:cs="Times New Roman"/>
          <w:kern w:val="0"/>
        </w:rPr>
        <w:t xml:space="preserve">阮超鹏, 敖银辉, 黄志鹏. 基于STM32的电池管理系统设计[J]. 时代汽车, </w:t>
      </w:r>
      <w:r>
        <w:rPr>
          <w:rFonts w:cs="Times New Roman"/>
          <w:color w:val="000000" w:themeColor="text1"/>
          <w:kern w:val="0"/>
          <w14:textFill>
            <w14:solidFill>
              <w14:schemeClr w14:val="tx1"/>
            </w14:solidFill>
          </w14:textFill>
        </w:rPr>
        <w:t>2021</w:t>
      </w:r>
      <w:r>
        <w:rPr>
          <w:rFonts w:hint="eastAsia" w:cs="Times New Roman"/>
          <w:color w:val="000000" w:themeColor="text1"/>
          <w:kern w:val="0"/>
          <w14:textFill>
            <w14:solidFill>
              <w14:schemeClr w14:val="tx1"/>
            </w14:solidFill>
          </w14:textFill>
        </w:rPr>
        <w:t>，</w:t>
      </w:r>
      <w:r>
        <w:rPr>
          <w:rFonts w:cs="Times New Roman"/>
          <w:color w:val="000000" w:themeColor="text1"/>
          <w:kern w:val="0"/>
          <w14:textFill>
            <w14:solidFill>
              <w14:schemeClr w14:val="tx1"/>
            </w14:solidFill>
          </w14:textFill>
        </w:rPr>
        <w:t>18: 86-90.</w:t>
      </w:r>
    </w:p>
    <w:p w14:paraId="3582D7D3">
      <w:pPr>
        <w:pStyle w:val="78"/>
        <w:spacing w:line="480" w:lineRule="auto"/>
        <w:ind w:left="386" w:hanging="386"/>
        <w:rPr>
          <w:rFonts w:cs="Times New Roman"/>
          <w:kern w:val="0"/>
        </w:rPr>
      </w:pPr>
      <w:r>
        <w:rPr>
          <w:rFonts w:cs="Times New Roman"/>
          <w:kern w:val="0"/>
        </w:rPr>
        <w:t>[8]</w:t>
      </w:r>
      <w:r>
        <w:rPr>
          <w:rFonts w:cs="Times New Roman"/>
          <w:kern w:val="0"/>
        </w:rPr>
        <w:tab/>
      </w:r>
      <w:r>
        <w:rPr>
          <w:rFonts w:cs="Times New Roman"/>
          <w:kern w:val="0"/>
        </w:rPr>
        <w:t>林泓宇, 陈麒. 基于国产芯片的电池管理系统设计[J]. 科技传播, 2023, 15(24): 138-141.</w:t>
      </w:r>
    </w:p>
    <w:p w14:paraId="779E9AE8">
      <w:pPr>
        <w:pStyle w:val="78"/>
        <w:spacing w:line="480" w:lineRule="auto"/>
        <w:ind w:left="386" w:hanging="386"/>
        <w:rPr>
          <w:rFonts w:cs="Times New Roman"/>
          <w:kern w:val="0"/>
        </w:rPr>
      </w:pPr>
      <w:r>
        <w:rPr>
          <w:rFonts w:cs="Times New Roman"/>
          <w:kern w:val="0"/>
        </w:rPr>
        <w:t>[9]</w:t>
      </w:r>
      <w:r>
        <w:rPr>
          <w:rFonts w:cs="Times New Roman"/>
          <w:kern w:val="0"/>
        </w:rPr>
        <w:tab/>
      </w:r>
      <w:r>
        <w:rPr>
          <w:rFonts w:cs="Times New Roman"/>
          <w:kern w:val="0"/>
        </w:rPr>
        <w:t>谢应广, 彭石林. 基于LTC6811的锂电池管理系统设计与实现[J]. 电子设计工程, 2023, 31(13): 46-50.</w:t>
      </w:r>
    </w:p>
    <w:p w14:paraId="1AA9ADA5">
      <w:pPr>
        <w:pStyle w:val="78"/>
        <w:spacing w:line="480" w:lineRule="auto"/>
        <w:ind w:left="386" w:hanging="386"/>
        <w:rPr>
          <w:rFonts w:cs="Times New Roman"/>
          <w:kern w:val="0"/>
        </w:rPr>
      </w:pPr>
      <w:r>
        <w:rPr>
          <w:rFonts w:cs="Times New Roman"/>
          <w:kern w:val="0"/>
        </w:rPr>
        <w:t>[10]</w:t>
      </w:r>
      <w:r>
        <w:rPr>
          <w:rFonts w:cs="Times New Roman"/>
          <w:kern w:val="0"/>
        </w:rPr>
        <w:tab/>
      </w:r>
      <w:r>
        <w:rPr>
          <w:rFonts w:cs="Times New Roman"/>
          <w:kern w:val="0"/>
        </w:rPr>
        <w:t>蒋欢, 毛鑫, 于万海, 等. 基于STM32和BQ76940的无人车电池管理系统设计[J]. 邢台职业技术学院学报, 2023, 40(5): 60-64.</w:t>
      </w:r>
    </w:p>
    <w:p w14:paraId="4CA3347C">
      <w:pPr>
        <w:spacing w:line="240" w:lineRule="auto"/>
        <w:rPr>
          <w:sz w:val="2"/>
          <w:szCs w:val="2"/>
        </w:rPr>
      </w:pPr>
      <w:r>
        <w:fldChar w:fldCharType="end"/>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Yu Mincho Light">
    <w:altName w:val="Yu Gothic"/>
    <w:panose1 w:val="00000000000000000000"/>
    <w:charset w:val="80"/>
    <w:family w:val="roman"/>
    <w:pitch w:val="default"/>
    <w:sig w:usb0="00000000" w:usb1="00000000" w:usb2="00000012" w:usb3="00000000" w:csb0="0002009F" w:csb1="00000000"/>
  </w:font>
  <w:font w:name="CIDFont">
    <w:altName w:val="Calibri"/>
    <w:panose1 w:val="00000000000000000000"/>
    <w:charset w:val="00"/>
    <w:family w:val="auto"/>
    <w:pitch w:val="default"/>
    <w:sig w:usb0="00000000" w:usb1="00000000" w:usb2="00000000" w:usb3="00000000" w:csb0="00000000" w:csb1="00000000"/>
  </w:font>
  <w:font w:name="Yu Gothic">
    <w:panose1 w:val="020B0400000000000000"/>
    <w:charset w:val="80"/>
    <w:family w:val="auto"/>
    <w:pitch w:val="default"/>
    <w:sig w:usb0="E00002FF" w:usb1="2AC7FDFF" w:usb2="00000016" w:usb3="00000000" w:csb0="200200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D49BA6">
    <w:pPr>
      <w:pStyle w:val="14"/>
      <w:pBdr>
        <w:top w:val="none" w:color="auto" w:sz="0" w:space="0"/>
      </w:pBdr>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B65477">
    <w:pPr>
      <w:pStyle w:val="14"/>
      <w:pBdr>
        <w:top w:val="none" w:color="auto" w:sz="0" w:space="0"/>
      </w:pBdr>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DBF361">
    <w:pPr>
      <w:pStyle w:val="14"/>
      <w:pBdr>
        <w:top w:val="none" w:color="auto" w:sz="0" w:space="0"/>
      </w:pBdr>
      <w:ind w:firstLine="360"/>
    </w:pPr>
    <w:r>
      <mc:AlternateContent>
        <mc:Choice Requires="wps">
          <w:drawing>
            <wp:anchor distT="0" distB="0" distL="114300" distR="114300" simplePos="0" relativeHeight="251659264" behindDoc="0" locked="0" layoutInCell="1" allowOverlap="1">
              <wp:simplePos x="0" y="0"/>
              <wp:positionH relativeFrom="margin">
                <wp:posOffset>4558665</wp:posOffset>
              </wp:positionH>
              <wp:positionV relativeFrom="paragraph">
                <wp:posOffset>-3175</wp:posOffset>
              </wp:positionV>
              <wp:extent cx="706755" cy="2540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706755" cy="2540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DDAFCA">
                          <w:pPr>
                            <w:pStyle w:val="14"/>
                            <w:pBdr>
                              <w:top w:val="none" w:color="auto" w:sz="0" w:space="0"/>
                            </w:pBdr>
                            <w:ind w:left="480" w:firstLine="360"/>
                          </w:pPr>
                          <w:r>
                            <w:rPr>
                              <w:rFonts w:hint="eastAsia"/>
                            </w:rPr>
                            <w:fldChar w:fldCharType="begin"/>
                          </w:r>
                          <w:r>
                            <w:rPr>
                              <w:rFonts w:hint="eastAsia"/>
                            </w:rPr>
                            <w:instrText xml:space="preserve"> PAGE  \* MERGEFORMAT </w:instrText>
                          </w:r>
                          <w:r>
                            <w:rPr>
                              <w:rFonts w:hint="eastAsia"/>
                            </w:rPr>
                            <w:fldChar w:fldCharType="separate"/>
                          </w:r>
                          <w:r>
                            <w:t>16</w:t>
                          </w:r>
                          <w:r>
                            <w:rPr>
                              <w:rFonts w:hint="eastAsia"/>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358.95pt;margin-top:-0.25pt;height:20pt;width:55.65pt;mso-position-horizontal-relative:margin;z-index:251659264;mso-width-relative:page;mso-height-relative:page;" filled="f" stroked="f" coordsize="21600,21600" o:gfxdata="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XgN2HtgAAAAIAQAADwAAAAAAAAABACAAAAAiAAAAZHJzL2Rvd25yZXYueG1s&#10;UEsBAhQAFAAAAAgAh07iQEafrjUxAgAAVwQAAA4AAAAAAAAAAQAgAAAAJwEAAGRycy9lMm9Eb2Mu&#10;eG1sUEsFBgAAAAAGAAYAWQEAAMoFAAAAAA==&#10;">
              <v:fill on="f" focussize="0,0"/>
              <v:stroke on="f" weight="0.5pt"/>
              <v:imagedata o:title=""/>
              <o:lock v:ext="edit" aspectratio="f"/>
              <v:textbox inset="0mm,0mm,0mm,0mm" style="mso-fit-shape-to-text:t;">
                <w:txbxContent>
                  <w:p w14:paraId="31DDAFCA">
                    <w:pPr>
                      <w:pStyle w:val="14"/>
                      <w:pBdr>
                        <w:top w:val="none" w:color="auto" w:sz="0" w:space="0"/>
                      </w:pBdr>
                      <w:ind w:left="480" w:firstLine="360"/>
                    </w:pPr>
                    <w:r>
                      <w:rPr>
                        <w:rFonts w:hint="eastAsia"/>
                      </w:rPr>
                      <w:fldChar w:fldCharType="begin"/>
                    </w:r>
                    <w:r>
                      <w:rPr>
                        <w:rFonts w:hint="eastAsia"/>
                      </w:rPr>
                      <w:instrText xml:space="preserve"> PAGE  \* MERGEFORMAT </w:instrText>
                    </w:r>
                    <w:r>
                      <w:rPr>
                        <w:rFonts w:hint="eastAsia"/>
                      </w:rPr>
                      <w:fldChar w:fldCharType="separate"/>
                    </w:r>
                    <w:r>
                      <w:t>16</w:t>
                    </w:r>
                    <w:r>
                      <w:rPr>
                        <w:rFonts w:hint="eastAsia"/>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4E3A36">
    <w:pPr>
      <w:pStyle w:val="15"/>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FFE8E6">
    <w:pPr>
      <w:jc w:val="center"/>
      <w:rPr>
        <w:rFonts w:ascii="宋体" w:hAnsi="宋体"/>
        <w:sz w:val="21"/>
        <w:szCs w:val="21"/>
      </w:rPr>
    </w:pPr>
    <w:r>
      <w:rPr>
        <w:rFonts w:hint="eastAsia" w:ascii="宋体" w:hAnsi="宋体"/>
        <w:sz w:val="21"/>
        <w:szCs w:val="21"/>
      </w:rPr>
      <w:t>第二十</w:t>
    </w:r>
    <w:r>
      <w:rPr>
        <w:rFonts w:hint="eastAsia" w:ascii="宋体" w:hAnsi="宋体"/>
        <w:sz w:val="21"/>
        <w:szCs w:val="21"/>
        <w:lang w:val="en-US" w:eastAsia="zh-CN"/>
      </w:rPr>
      <w:t>一</w:t>
    </w:r>
    <w:r>
      <w:rPr>
        <w:rFonts w:hint="eastAsia" w:ascii="宋体" w:hAnsi="宋体"/>
        <w:sz w:val="21"/>
        <w:szCs w:val="21"/>
      </w:rPr>
      <w:t>届中国研究生电子设计竞赛</w:t>
    </w:r>
  </w:p>
  <w:p w14:paraId="2796A22A">
    <w:pPr>
      <w:pBdr>
        <w:bottom w:val="single" w:color="auto" w:sz="4" w:space="0"/>
      </w:pBdr>
      <w:spacing w:line="240" w:lineRule="auto"/>
      <w:jc w:val="center"/>
      <w:rPr>
        <w:rFonts w:hint="default" w:ascii="宋体" w:hAnsi="宋体" w:eastAsia="宋体" w:cs="宋体"/>
        <w:kern w:val="0"/>
        <w:sz w:val="21"/>
        <w:szCs w:val="21"/>
        <w:lang w:val="en-US" w:eastAsia="zh-CN"/>
      </w:rPr>
    </w:pPr>
    <w:r>
      <w:rPr>
        <w:rFonts w:hint="eastAsia" w:ascii="宋体" w:hAnsi="宋体" w:cs="宋体"/>
        <w:kern w:val="0"/>
        <w:sz w:val="21"/>
        <w:szCs w:val="21"/>
        <w:lang w:val="en-US" w:eastAsia="zh-CN"/>
      </w:rPr>
      <w:t>燃料电池电动车电源控制及管理</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8F43C5"/>
    <w:multiLevelType w:val="multilevel"/>
    <w:tmpl w:val="0A8F43C5"/>
    <w:lvl w:ilvl="0" w:tentative="0">
      <w:start w:val="1"/>
      <w:numFmt w:val="decimal"/>
      <w:pStyle w:val="6"/>
      <w:suff w:val="space"/>
      <w:lvlText w:val="4.%1"/>
      <w:lvlJc w:val="left"/>
      <w:pPr>
        <w:ind w:left="0" w:firstLine="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49631E34"/>
    <w:multiLevelType w:val="multilevel"/>
    <w:tmpl w:val="49631E34"/>
    <w:lvl w:ilvl="0" w:tentative="0">
      <w:start w:val="1"/>
      <w:numFmt w:val="decimal"/>
      <w:pStyle w:val="43"/>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498E111D"/>
    <w:multiLevelType w:val="multilevel"/>
    <w:tmpl w:val="498E111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RkOWNlODEzNmMxOTUxN2Y5NmM3MThkZWU1ODM0Y2IifQ=="/>
  </w:docVars>
  <w:rsids>
    <w:rsidRoot w:val="009F6416"/>
    <w:rsid w:val="0000140A"/>
    <w:rsid w:val="00004CF9"/>
    <w:rsid w:val="0000541D"/>
    <w:rsid w:val="00024945"/>
    <w:rsid w:val="00025412"/>
    <w:rsid w:val="00030369"/>
    <w:rsid w:val="0003053B"/>
    <w:rsid w:val="00031386"/>
    <w:rsid w:val="00032809"/>
    <w:rsid w:val="00033BEC"/>
    <w:rsid w:val="000342D9"/>
    <w:rsid w:val="00034D3A"/>
    <w:rsid w:val="00035C11"/>
    <w:rsid w:val="000376EB"/>
    <w:rsid w:val="000413E8"/>
    <w:rsid w:val="00042B2F"/>
    <w:rsid w:val="00045707"/>
    <w:rsid w:val="00050003"/>
    <w:rsid w:val="0006167E"/>
    <w:rsid w:val="00061EA3"/>
    <w:rsid w:val="0006351E"/>
    <w:rsid w:val="000642C5"/>
    <w:rsid w:val="0006438B"/>
    <w:rsid w:val="0006706B"/>
    <w:rsid w:val="000678E9"/>
    <w:rsid w:val="000702C7"/>
    <w:rsid w:val="00073EF2"/>
    <w:rsid w:val="00073FAB"/>
    <w:rsid w:val="000740F3"/>
    <w:rsid w:val="00080135"/>
    <w:rsid w:val="0009728A"/>
    <w:rsid w:val="000A7AA4"/>
    <w:rsid w:val="000B057C"/>
    <w:rsid w:val="000B1A79"/>
    <w:rsid w:val="000B3C09"/>
    <w:rsid w:val="000B61C3"/>
    <w:rsid w:val="000C0AC2"/>
    <w:rsid w:val="000C7356"/>
    <w:rsid w:val="000D0724"/>
    <w:rsid w:val="000D45DE"/>
    <w:rsid w:val="000D7C5D"/>
    <w:rsid w:val="000E16FD"/>
    <w:rsid w:val="000F1547"/>
    <w:rsid w:val="000F5BFE"/>
    <w:rsid w:val="00110C46"/>
    <w:rsid w:val="001134AC"/>
    <w:rsid w:val="00115238"/>
    <w:rsid w:val="00120A30"/>
    <w:rsid w:val="00125B81"/>
    <w:rsid w:val="001308B6"/>
    <w:rsid w:val="00133672"/>
    <w:rsid w:val="00133C31"/>
    <w:rsid w:val="001343EB"/>
    <w:rsid w:val="00136DF5"/>
    <w:rsid w:val="00145083"/>
    <w:rsid w:val="0014624C"/>
    <w:rsid w:val="001511E6"/>
    <w:rsid w:val="00151DBA"/>
    <w:rsid w:val="00157611"/>
    <w:rsid w:val="001601D7"/>
    <w:rsid w:val="0016520F"/>
    <w:rsid w:val="001668FA"/>
    <w:rsid w:val="00167DE9"/>
    <w:rsid w:val="001810F1"/>
    <w:rsid w:val="0019272F"/>
    <w:rsid w:val="00193042"/>
    <w:rsid w:val="001A207F"/>
    <w:rsid w:val="001A2493"/>
    <w:rsid w:val="001A28BA"/>
    <w:rsid w:val="001A5C1F"/>
    <w:rsid w:val="001A7AA1"/>
    <w:rsid w:val="001B1ED8"/>
    <w:rsid w:val="001B3A7F"/>
    <w:rsid w:val="001B6E4A"/>
    <w:rsid w:val="001B7FEF"/>
    <w:rsid w:val="001C3A2D"/>
    <w:rsid w:val="001C5B82"/>
    <w:rsid w:val="001D3892"/>
    <w:rsid w:val="001D4D2F"/>
    <w:rsid w:val="001D6FEF"/>
    <w:rsid w:val="001E035B"/>
    <w:rsid w:val="001E1E28"/>
    <w:rsid w:val="001F1854"/>
    <w:rsid w:val="001F2310"/>
    <w:rsid w:val="001F7A84"/>
    <w:rsid w:val="00203445"/>
    <w:rsid w:val="00210431"/>
    <w:rsid w:val="00211030"/>
    <w:rsid w:val="002122D7"/>
    <w:rsid w:val="0021425A"/>
    <w:rsid w:val="00215956"/>
    <w:rsid w:val="002203A5"/>
    <w:rsid w:val="002216AB"/>
    <w:rsid w:val="00221B16"/>
    <w:rsid w:val="00226588"/>
    <w:rsid w:val="00230756"/>
    <w:rsid w:val="00231E58"/>
    <w:rsid w:val="002516A8"/>
    <w:rsid w:val="00253320"/>
    <w:rsid w:val="002628F6"/>
    <w:rsid w:val="00267EEA"/>
    <w:rsid w:val="00271D5B"/>
    <w:rsid w:val="00282049"/>
    <w:rsid w:val="00287635"/>
    <w:rsid w:val="00290667"/>
    <w:rsid w:val="002930D5"/>
    <w:rsid w:val="002A1296"/>
    <w:rsid w:val="002A2913"/>
    <w:rsid w:val="002A39B7"/>
    <w:rsid w:val="002A680A"/>
    <w:rsid w:val="002A70E8"/>
    <w:rsid w:val="002B0788"/>
    <w:rsid w:val="002B4726"/>
    <w:rsid w:val="002B6CE9"/>
    <w:rsid w:val="002C2C7C"/>
    <w:rsid w:val="002C4548"/>
    <w:rsid w:val="002D22DF"/>
    <w:rsid w:val="002D5A69"/>
    <w:rsid w:val="002D7145"/>
    <w:rsid w:val="002D76BB"/>
    <w:rsid w:val="002E7C22"/>
    <w:rsid w:val="002F21FA"/>
    <w:rsid w:val="002F47B7"/>
    <w:rsid w:val="002F7F4F"/>
    <w:rsid w:val="00300BC8"/>
    <w:rsid w:val="003011EE"/>
    <w:rsid w:val="003063AD"/>
    <w:rsid w:val="0030693D"/>
    <w:rsid w:val="003071F0"/>
    <w:rsid w:val="00310431"/>
    <w:rsid w:val="0031060D"/>
    <w:rsid w:val="003124F2"/>
    <w:rsid w:val="00321B1A"/>
    <w:rsid w:val="00323D85"/>
    <w:rsid w:val="0032522E"/>
    <w:rsid w:val="0032706F"/>
    <w:rsid w:val="0033139D"/>
    <w:rsid w:val="00336389"/>
    <w:rsid w:val="00346585"/>
    <w:rsid w:val="00352A35"/>
    <w:rsid w:val="0035387B"/>
    <w:rsid w:val="003542A5"/>
    <w:rsid w:val="00360B39"/>
    <w:rsid w:val="00360D1B"/>
    <w:rsid w:val="00363866"/>
    <w:rsid w:val="00363E45"/>
    <w:rsid w:val="003710C4"/>
    <w:rsid w:val="003739EC"/>
    <w:rsid w:val="00380B18"/>
    <w:rsid w:val="00382040"/>
    <w:rsid w:val="00383BCB"/>
    <w:rsid w:val="00383DDE"/>
    <w:rsid w:val="00386FCF"/>
    <w:rsid w:val="00392044"/>
    <w:rsid w:val="00397FF8"/>
    <w:rsid w:val="003A1035"/>
    <w:rsid w:val="003A35BE"/>
    <w:rsid w:val="003B22C5"/>
    <w:rsid w:val="003B2979"/>
    <w:rsid w:val="003B5953"/>
    <w:rsid w:val="003B5D17"/>
    <w:rsid w:val="003B6606"/>
    <w:rsid w:val="003D06A5"/>
    <w:rsid w:val="003D45D7"/>
    <w:rsid w:val="003D575F"/>
    <w:rsid w:val="003D692B"/>
    <w:rsid w:val="003E0256"/>
    <w:rsid w:val="003E1FC5"/>
    <w:rsid w:val="003E55F2"/>
    <w:rsid w:val="003F2C20"/>
    <w:rsid w:val="003F3B14"/>
    <w:rsid w:val="004033E6"/>
    <w:rsid w:val="00404FD2"/>
    <w:rsid w:val="004058F0"/>
    <w:rsid w:val="00411F84"/>
    <w:rsid w:val="004159C1"/>
    <w:rsid w:val="004211D5"/>
    <w:rsid w:val="00422F36"/>
    <w:rsid w:val="004255A8"/>
    <w:rsid w:val="004474FB"/>
    <w:rsid w:val="00451C0A"/>
    <w:rsid w:val="00454395"/>
    <w:rsid w:val="0046148D"/>
    <w:rsid w:val="004616F7"/>
    <w:rsid w:val="00465075"/>
    <w:rsid w:val="00466619"/>
    <w:rsid w:val="00466F5F"/>
    <w:rsid w:val="004706D9"/>
    <w:rsid w:val="0047074A"/>
    <w:rsid w:val="00490781"/>
    <w:rsid w:val="004916C6"/>
    <w:rsid w:val="004A1208"/>
    <w:rsid w:val="004A5A69"/>
    <w:rsid w:val="004B2A8F"/>
    <w:rsid w:val="004B2C76"/>
    <w:rsid w:val="004B3CA4"/>
    <w:rsid w:val="004C6F48"/>
    <w:rsid w:val="004C70AE"/>
    <w:rsid w:val="004D322D"/>
    <w:rsid w:val="004D3239"/>
    <w:rsid w:val="004D3C4B"/>
    <w:rsid w:val="004D3ECE"/>
    <w:rsid w:val="004E09A9"/>
    <w:rsid w:val="004E52E3"/>
    <w:rsid w:val="004E6472"/>
    <w:rsid w:val="004E7132"/>
    <w:rsid w:val="004F16BD"/>
    <w:rsid w:val="004F23FE"/>
    <w:rsid w:val="004F2C72"/>
    <w:rsid w:val="004F594A"/>
    <w:rsid w:val="00503A51"/>
    <w:rsid w:val="00503E25"/>
    <w:rsid w:val="00504271"/>
    <w:rsid w:val="00505EB4"/>
    <w:rsid w:val="0051120E"/>
    <w:rsid w:val="0051486E"/>
    <w:rsid w:val="00514F63"/>
    <w:rsid w:val="00520C80"/>
    <w:rsid w:val="00520E9C"/>
    <w:rsid w:val="00521CD4"/>
    <w:rsid w:val="005224E0"/>
    <w:rsid w:val="0053252B"/>
    <w:rsid w:val="00533693"/>
    <w:rsid w:val="00540F29"/>
    <w:rsid w:val="00543528"/>
    <w:rsid w:val="00550F23"/>
    <w:rsid w:val="00552872"/>
    <w:rsid w:val="005552DC"/>
    <w:rsid w:val="005572EE"/>
    <w:rsid w:val="00560A9B"/>
    <w:rsid w:val="005618AF"/>
    <w:rsid w:val="00563B71"/>
    <w:rsid w:val="005676D2"/>
    <w:rsid w:val="00570B3C"/>
    <w:rsid w:val="0057244B"/>
    <w:rsid w:val="00575E2C"/>
    <w:rsid w:val="00577DA1"/>
    <w:rsid w:val="005814EE"/>
    <w:rsid w:val="00583544"/>
    <w:rsid w:val="00585BF4"/>
    <w:rsid w:val="00587D49"/>
    <w:rsid w:val="00595C00"/>
    <w:rsid w:val="005A7ADD"/>
    <w:rsid w:val="005B263A"/>
    <w:rsid w:val="005B523D"/>
    <w:rsid w:val="005C12F8"/>
    <w:rsid w:val="005C1A39"/>
    <w:rsid w:val="005C2A21"/>
    <w:rsid w:val="005C67CF"/>
    <w:rsid w:val="005D3BA0"/>
    <w:rsid w:val="005D652F"/>
    <w:rsid w:val="005E0AF9"/>
    <w:rsid w:val="005E2B55"/>
    <w:rsid w:val="005E4548"/>
    <w:rsid w:val="005E6520"/>
    <w:rsid w:val="005F09DB"/>
    <w:rsid w:val="005F1C81"/>
    <w:rsid w:val="005F5658"/>
    <w:rsid w:val="00601137"/>
    <w:rsid w:val="006052DA"/>
    <w:rsid w:val="00605D44"/>
    <w:rsid w:val="006109D5"/>
    <w:rsid w:val="00612212"/>
    <w:rsid w:val="00615C32"/>
    <w:rsid w:val="0061631C"/>
    <w:rsid w:val="006219B3"/>
    <w:rsid w:val="00621BD1"/>
    <w:rsid w:val="00625B60"/>
    <w:rsid w:val="00635B11"/>
    <w:rsid w:val="006417C1"/>
    <w:rsid w:val="00651808"/>
    <w:rsid w:val="00661859"/>
    <w:rsid w:val="0068203D"/>
    <w:rsid w:val="00682C33"/>
    <w:rsid w:val="006832F3"/>
    <w:rsid w:val="00690183"/>
    <w:rsid w:val="006902DC"/>
    <w:rsid w:val="00690C2C"/>
    <w:rsid w:val="00691F6A"/>
    <w:rsid w:val="00694142"/>
    <w:rsid w:val="006945FD"/>
    <w:rsid w:val="00696A4B"/>
    <w:rsid w:val="006A4589"/>
    <w:rsid w:val="006B6F49"/>
    <w:rsid w:val="006C24DC"/>
    <w:rsid w:val="006C2D8E"/>
    <w:rsid w:val="006C3864"/>
    <w:rsid w:val="006C4165"/>
    <w:rsid w:val="006C48DF"/>
    <w:rsid w:val="006C49CA"/>
    <w:rsid w:val="006C511F"/>
    <w:rsid w:val="006C754F"/>
    <w:rsid w:val="006D1214"/>
    <w:rsid w:val="006D2835"/>
    <w:rsid w:val="006D412C"/>
    <w:rsid w:val="006D4D8A"/>
    <w:rsid w:val="006D5092"/>
    <w:rsid w:val="006E1A0B"/>
    <w:rsid w:val="006E52A2"/>
    <w:rsid w:val="006E52DF"/>
    <w:rsid w:val="006F0670"/>
    <w:rsid w:val="006F3C14"/>
    <w:rsid w:val="006F4850"/>
    <w:rsid w:val="007007A3"/>
    <w:rsid w:val="00700D28"/>
    <w:rsid w:val="00704A35"/>
    <w:rsid w:val="00705BA3"/>
    <w:rsid w:val="00710272"/>
    <w:rsid w:val="00710F0E"/>
    <w:rsid w:val="007139A8"/>
    <w:rsid w:val="0071589C"/>
    <w:rsid w:val="0072577E"/>
    <w:rsid w:val="00730019"/>
    <w:rsid w:val="0073187A"/>
    <w:rsid w:val="00731C86"/>
    <w:rsid w:val="00731D92"/>
    <w:rsid w:val="00734327"/>
    <w:rsid w:val="0073790E"/>
    <w:rsid w:val="0074349E"/>
    <w:rsid w:val="00743B4E"/>
    <w:rsid w:val="00757DF1"/>
    <w:rsid w:val="007673B3"/>
    <w:rsid w:val="007821FC"/>
    <w:rsid w:val="00782C9E"/>
    <w:rsid w:val="00782F99"/>
    <w:rsid w:val="00785684"/>
    <w:rsid w:val="00786258"/>
    <w:rsid w:val="007864C1"/>
    <w:rsid w:val="00791C36"/>
    <w:rsid w:val="00794319"/>
    <w:rsid w:val="00795720"/>
    <w:rsid w:val="007977C9"/>
    <w:rsid w:val="007A1F00"/>
    <w:rsid w:val="007A20AF"/>
    <w:rsid w:val="007A57B6"/>
    <w:rsid w:val="007A6D87"/>
    <w:rsid w:val="007A6EF2"/>
    <w:rsid w:val="007B5BE9"/>
    <w:rsid w:val="007B67D4"/>
    <w:rsid w:val="007B6F76"/>
    <w:rsid w:val="007C2CE2"/>
    <w:rsid w:val="007C368B"/>
    <w:rsid w:val="007C43E0"/>
    <w:rsid w:val="007D0951"/>
    <w:rsid w:val="007D110D"/>
    <w:rsid w:val="007D46D6"/>
    <w:rsid w:val="007D6067"/>
    <w:rsid w:val="007E04C1"/>
    <w:rsid w:val="007E1102"/>
    <w:rsid w:val="007E3E41"/>
    <w:rsid w:val="007E4671"/>
    <w:rsid w:val="007F6C35"/>
    <w:rsid w:val="007F739F"/>
    <w:rsid w:val="007F7AD1"/>
    <w:rsid w:val="00800BFE"/>
    <w:rsid w:val="00801349"/>
    <w:rsid w:val="00801BBE"/>
    <w:rsid w:val="00801F1A"/>
    <w:rsid w:val="00805A7F"/>
    <w:rsid w:val="008072A8"/>
    <w:rsid w:val="008077FE"/>
    <w:rsid w:val="008115D2"/>
    <w:rsid w:val="00813F78"/>
    <w:rsid w:val="00820990"/>
    <w:rsid w:val="00825B96"/>
    <w:rsid w:val="00826759"/>
    <w:rsid w:val="00826C83"/>
    <w:rsid w:val="008274C0"/>
    <w:rsid w:val="00830C64"/>
    <w:rsid w:val="00835EC3"/>
    <w:rsid w:val="00836996"/>
    <w:rsid w:val="00840C60"/>
    <w:rsid w:val="00844D13"/>
    <w:rsid w:val="0085044D"/>
    <w:rsid w:val="008528F3"/>
    <w:rsid w:val="00857CD7"/>
    <w:rsid w:val="008608AE"/>
    <w:rsid w:val="0086163C"/>
    <w:rsid w:val="008633A2"/>
    <w:rsid w:val="0087529F"/>
    <w:rsid w:val="00881CB6"/>
    <w:rsid w:val="008861BA"/>
    <w:rsid w:val="00892E5C"/>
    <w:rsid w:val="00893F12"/>
    <w:rsid w:val="00894AFD"/>
    <w:rsid w:val="008950EF"/>
    <w:rsid w:val="00895B68"/>
    <w:rsid w:val="008962A3"/>
    <w:rsid w:val="008A0012"/>
    <w:rsid w:val="008A44AA"/>
    <w:rsid w:val="008B3453"/>
    <w:rsid w:val="008B6F17"/>
    <w:rsid w:val="008B73F5"/>
    <w:rsid w:val="008C6861"/>
    <w:rsid w:val="008C6B7D"/>
    <w:rsid w:val="008C7B7C"/>
    <w:rsid w:val="008D6DFC"/>
    <w:rsid w:val="008E13D7"/>
    <w:rsid w:val="008E385B"/>
    <w:rsid w:val="008E406A"/>
    <w:rsid w:val="008E4491"/>
    <w:rsid w:val="008E50B4"/>
    <w:rsid w:val="008F1EB0"/>
    <w:rsid w:val="008F3492"/>
    <w:rsid w:val="008F7288"/>
    <w:rsid w:val="008F7557"/>
    <w:rsid w:val="00902B57"/>
    <w:rsid w:val="00903D74"/>
    <w:rsid w:val="00907D9D"/>
    <w:rsid w:val="00913751"/>
    <w:rsid w:val="00913F9D"/>
    <w:rsid w:val="00914E0B"/>
    <w:rsid w:val="009158A3"/>
    <w:rsid w:val="009237E3"/>
    <w:rsid w:val="00926F9B"/>
    <w:rsid w:val="00930C8E"/>
    <w:rsid w:val="00933668"/>
    <w:rsid w:val="00934098"/>
    <w:rsid w:val="009359CC"/>
    <w:rsid w:val="00943648"/>
    <w:rsid w:val="0094579F"/>
    <w:rsid w:val="00954751"/>
    <w:rsid w:val="009565DD"/>
    <w:rsid w:val="00971D47"/>
    <w:rsid w:val="00974376"/>
    <w:rsid w:val="00976CA5"/>
    <w:rsid w:val="009819A0"/>
    <w:rsid w:val="00982073"/>
    <w:rsid w:val="00982482"/>
    <w:rsid w:val="00985170"/>
    <w:rsid w:val="0099122E"/>
    <w:rsid w:val="00992756"/>
    <w:rsid w:val="009A10E1"/>
    <w:rsid w:val="009A532E"/>
    <w:rsid w:val="009A64A8"/>
    <w:rsid w:val="009A7673"/>
    <w:rsid w:val="009B01C6"/>
    <w:rsid w:val="009B5623"/>
    <w:rsid w:val="009C03FC"/>
    <w:rsid w:val="009C25DE"/>
    <w:rsid w:val="009C27E0"/>
    <w:rsid w:val="009D1719"/>
    <w:rsid w:val="009D3C0C"/>
    <w:rsid w:val="009E3091"/>
    <w:rsid w:val="009E3B50"/>
    <w:rsid w:val="009E3B61"/>
    <w:rsid w:val="009E6037"/>
    <w:rsid w:val="009E694B"/>
    <w:rsid w:val="009E784F"/>
    <w:rsid w:val="009F352F"/>
    <w:rsid w:val="009F6416"/>
    <w:rsid w:val="00A07551"/>
    <w:rsid w:val="00A156FD"/>
    <w:rsid w:val="00A166D2"/>
    <w:rsid w:val="00A167E2"/>
    <w:rsid w:val="00A17672"/>
    <w:rsid w:val="00A21A0D"/>
    <w:rsid w:val="00A22FA3"/>
    <w:rsid w:val="00A23882"/>
    <w:rsid w:val="00A23FAE"/>
    <w:rsid w:val="00A25BBB"/>
    <w:rsid w:val="00A3636B"/>
    <w:rsid w:val="00A369C1"/>
    <w:rsid w:val="00A37922"/>
    <w:rsid w:val="00A44946"/>
    <w:rsid w:val="00A4688A"/>
    <w:rsid w:val="00A47275"/>
    <w:rsid w:val="00A47A8E"/>
    <w:rsid w:val="00A47F6A"/>
    <w:rsid w:val="00A56346"/>
    <w:rsid w:val="00A60778"/>
    <w:rsid w:val="00A64646"/>
    <w:rsid w:val="00A715FB"/>
    <w:rsid w:val="00A717A9"/>
    <w:rsid w:val="00A721D4"/>
    <w:rsid w:val="00A74A07"/>
    <w:rsid w:val="00A81311"/>
    <w:rsid w:val="00A84512"/>
    <w:rsid w:val="00A940FF"/>
    <w:rsid w:val="00AA1C5A"/>
    <w:rsid w:val="00AA30E7"/>
    <w:rsid w:val="00AA3903"/>
    <w:rsid w:val="00AB072B"/>
    <w:rsid w:val="00AB12A3"/>
    <w:rsid w:val="00AB1AD1"/>
    <w:rsid w:val="00AB3DFB"/>
    <w:rsid w:val="00AB4B86"/>
    <w:rsid w:val="00AC287C"/>
    <w:rsid w:val="00AD183C"/>
    <w:rsid w:val="00AD4CCB"/>
    <w:rsid w:val="00AD60B2"/>
    <w:rsid w:val="00AD7608"/>
    <w:rsid w:val="00AF1E1B"/>
    <w:rsid w:val="00AF358B"/>
    <w:rsid w:val="00AF64A9"/>
    <w:rsid w:val="00AF77BC"/>
    <w:rsid w:val="00B042D8"/>
    <w:rsid w:val="00B04EEA"/>
    <w:rsid w:val="00B050BD"/>
    <w:rsid w:val="00B057A8"/>
    <w:rsid w:val="00B06BBD"/>
    <w:rsid w:val="00B06F26"/>
    <w:rsid w:val="00B128CB"/>
    <w:rsid w:val="00B13A73"/>
    <w:rsid w:val="00B14036"/>
    <w:rsid w:val="00B1743E"/>
    <w:rsid w:val="00B21010"/>
    <w:rsid w:val="00B226FC"/>
    <w:rsid w:val="00B27D6F"/>
    <w:rsid w:val="00B3235E"/>
    <w:rsid w:val="00B36282"/>
    <w:rsid w:val="00B43D94"/>
    <w:rsid w:val="00B509AC"/>
    <w:rsid w:val="00B51070"/>
    <w:rsid w:val="00B52C26"/>
    <w:rsid w:val="00B552AA"/>
    <w:rsid w:val="00B61A68"/>
    <w:rsid w:val="00B61F5A"/>
    <w:rsid w:val="00B642D2"/>
    <w:rsid w:val="00B6529F"/>
    <w:rsid w:val="00B66443"/>
    <w:rsid w:val="00B71178"/>
    <w:rsid w:val="00B7418B"/>
    <w:rsid w:val="00B842B1"/>
    <w:rsid w:val="00B85B70"/>
    <w:rsid w:val="00B90D8B"/>
    <w:rsid w:val="00B9279B"/>
    <w:rsid w:val="00B92AF4"/>
    <w:rsid w:val="00BA127D"/>
    <w:rsid w:val="00BA169D"/>
    <w:rsid w:val="00BA23C3"/>
    <w:rsid w:val="00BA4467"/>
    <w:rsid w:val="00BA55D4"/>
    <w:rsid w:val="00BB28FF"/>
    <w:rsid w:val="00BC18EB"/>
    <w:rsid w:val="00BE4BEA"/>
    <w:rsid w:val="00BE54A8"/>
    <w:rsid w:val="00BE57C3"/>
    <w:rsid w:val="00BE7388"/>
    <w:rsid w:val="00C010D2"/>
    <w:rsid w:val="00C01452"/>
    <w:rsid w:val="00C0573E"/>
    <w:rsid w:val="00C11ED7"/>
    <w:rsid w:val="00C13221"/>
    <w:rsid w:val="00C220E7"/>
    <w:rsid w:val="00C30DB7"/>
    <w:rsid w:val="00C32B94"/>
    <w:rsid w:val="00C40BB6"/>
    <w:rsid w:val="00C41960"/>
    <w:rsid w:val="00C46A9C"/>
    <w:rsid w:val="00C47A21"/>
    <w:rsid w:val="00C53253"/>
    <w:rsid w:val="00C56699"/>
    <w:rsid w:val="00C57DAA"/>
    <w:rsid w:val="00C61DF6"/>
    <w:rsid w:val="00C64954"/>
    <w:rsid w:val="00C65951"/>
    <w:rsid w:val="00C66F99"/>
    <w:rsid w:val="00C71CF8"/>
    <w:rsid w:val="00C71F42"/>
    <w:rsid w:val="00C808DB"/>
    <w:rsid w:val="00C8201E"/>
    <w:rsid w:val="00C8442E"/>
    <w:rsid w:val="00C87E49"/>
    <w:rsid w:val="00C94AF8"/>
    <w:rsid w:val="00C94F7C"/>
    <w:rsid w:val="00CA01F1"/>
    <w:rsid w:val="00CA382A"/>
    <w:rsid w:val="00CB269E"/>
    <w:rsid w:val="00CB3C35"/>
    <w:rsid w:val="00CB5F91"/>
    <w:rsid w:val="00CB7E86"/>
    <w:rsid w:val="00CC1380"/>
    <w:rsid w:val="00CC3CFB"/>
    <w:rsid w:val="00CC5DE6"/>
    <w:rsid w:val="00CC6F54"/>
    <w:rsid w:val="00CD5FD1"/>
    <w:rsid w:val="00CE5AF2"/>
    <w:rsid w:val="00CF008E"/>
    <w:rsid w:val="00CF06CA"/>
    <w:rsid w:val="00CF6DE5"/>
    <w:rsid w:val="00D0187A"/>
    <w:rsid w:val="00D01DD4"/>
    <w:rsid w:val="00D17844"/>
    <w:rsid w:val="00D20867"/>
    <w:rsid w:val="00D21A0B"/>
    <w:rsid w:val="00D306CA"/>
    <w:rsid w:val="00D365B5"/>
    <w:rsid w:val="00D44282"/>
    <w:rsid w:val="00D465F1"/>
    <w:rsid w:val="00D56684"/>
    <w:rsid w:val="00D62DB2"/>
    <w:rsid w:val="00D65182"/>
    <w:rsid w:val="00D73F5D"/>
    <w:rsid w:val="00D764BC"/>
    <w:rsid w:val="00D8192F"/>
    <w:rsid w:val="00DA0446"/>
    <w:rsid w:val="00DA0EC7"/>
    <w:rsid w:val="00DA2237"/>
    <w:rsid w:val="00DA6D7F"/>
    <w:rsid w:val="00DA7EEF"/>
    <w:rsid w:val="00DB0B56"/>
    <w:rsid w:val="00DB3ADA"/>
    <w:rsid w:val="00DC239E"/>
    <w:rsid w:val="00DC731A"/>
    <w:rsid w:val="00DD4D26"/>
    <w:rsid w:val="00DD5873"/>
    <w:rsid w:val="00DD729F"/>
    <w:rsid w:val="00DD77D1"/>
    <w:rsid w:val="00DE4831"/>
    <w:rsid w:val="00DE57C4"/>
    <w:rsid w:val="00DF0F22"/>
    <w:rsid w:val="00DF3613"/>
    <w:rsid w:val="00E0192A"/>
    <w:rsid w:val="00E03CA1"/>
    <w:rsid w:val="00E1045B"/>
    <w:rsid w:val="00E132E2"/>
    <w:rsid w:val="00E147BD"/>
    <w:rsid w:val="00E15331"/>
    <w:rsid w:val="00E20F84"/>
    <w:rsid w:val="00E25DF1"/>
    <w:rsid w:val="00E272C5"/>
    <w:rsid w:val="00E31016"/>
    <w:rsid w:val="00E325CC"/>
    <w:rsid w:val="00E3588B"/>
    <w:rsid w:val="00E35E86"/>
    <w:rsid w:val="00E36225"/>
    <w:rsid w:val="00E42774"/>
    <w:rsid w:val="00E42F0C"/>
    <w:rsid w:val="00E52D72"/>
    <w:rsid w:val="00E5325B"/>
    <w:rsid w:val="00E53BE0"/>
    <w:rsid w:val="00E54D15"/>
    <w:rsid w:val="00E555CF"/>
    <w:rsid w:val="00E561DC"/>
    <w:rsid w:val="00E56FB1"/>
    <w:rsid w:val="00E57B2A"/>
    <w:rsid w:val="00E65B97"/>
    <w:rsid w:val="00E71486"/>
    <w:rsid w:val="00E719DA"/>
    <w:rsid w:val="00E84494"/>
    <w:rsid w:val="00E872A0"/>
    <w:rsid w:val="00E90D6E"/>
    <w:rsid w:val="00E94055"/>
    <w:rsid w:val="00EA17E0"/>
    <w:rsid w:val="00EA1835"/>
    <w:rsid w:val="00EA4CCB"/>
    <w:rsid w:val="00EA6ACC"/>
    <w:rsid w:val="00EB0B0D"/>
    <w:rsid w:val="00EB3967"/>
    <w:rsid w:val="00EB4DAA"/>
    <w:rsid w:val="00EB7E9E"/>
    <w:rsid w:val="00EC189A"/>
    <w:rsid w:val="00EC4ABF"/>
    <w:rsid w:val="00EC7B0A"/>
    <w:rsid w:val="00ED5958"/>
    <w:rsid w:val="00ED7C45"/>
    <w:rsid w:val="00EE04DD"/>
    <w:rsid w:val="00EE0A32"/>
    <w:rsid w:val="00EE2ACF"/>
    <w:rsid w:val="00EE4DC4"/>
    <w:rsid w:val="00EE5395"/>
    <w:rsid w:val="00EE61C0"/>
    <w:rsid w:val="00EF1284"/>
    <w:rsid w:val="00EF628B"/>
    <w:rsid w:val="00EF7C7F"/>
    <w:rsid w:val="00F0340A"/>
    <w:rsid w:val="00F03B0D"/>
    <w:rsid w:val="00F0505E"/>
    <w:rsid w:val="00F066D0"/>
    <w:rsid w:val="00F13D21"/>
    <w:rsid w:val="00F14164"/>
    <w:rsid w:val="00F27530"/>
    <w:rsid w:val="00F3141B"/>
    <w:rsid w:val="00F32D94"/>
    <w:rsid w:val="00F3377F"/>
    <w:rsid w:val="00F35B8C"/>
    <w:rsid w:val="00F37FCB"/>
    <w:rsid w:val="00F45B47"/>
    <w:rsid w:val="00F471E8"/>
    <w:rsid w:val="00F50515"/>
    <w:rsid w:val="00F541C0"/>
    <w:rsid w:val="00F54A07"/>
    <w:rsid w:val="00F61C2E"/>
    <w:rsid w:val="00F62652"/>
    <w:rsid w:val="00F646AF"/>
    <w:rsid w:val="00F72CB1"/>
    <w:rsid w:val="00F82152"/>
    <w:rsid w:val="00F859F2"/>
    <w:rsid w:val="00F90E73"/>
    <w:rsid w:val="00F96A12"/>
    <w:rsid w:val="00FB3656"/>
    <w:rsid w:val="00FB36FB"/>
    <w:rsid w:val="00FB75B7"/>
    <w:rsid w:val="00FC6D13"/>
    <w:rsid w:val="00FC73C8"/>
    <w:rsid w:val="00FD42ED"/>
    <w:rsid w:val="00FE08E0"/>
    <w:rsid w:val="00FE209D"/>
    <w:rsid w:val="00FE5846"/>
    <w:rsid w:val="00FF4803"/>
    <w:rsid w:val="0E7819CB"/>
    <w:rsid w:val="3F550651"/>
    <w:rsid w:val="46B940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qFormat="1"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nhideWhenUsed="0" w:uiPriority="0" w:semiHidden="0" w:name="annotation reference"/>
    <w:lsdException w:uiPriority="99"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36"/>
    <w:qFormat/>
    <w:uiPriority w:val="0"/>
    <w:pPr>
      <w:keepLines/>
      <w:spacing w:before="340" w:after="120"/>
      <w:jc w:val="center"/>
      <w:outlineLvl w:val="0"/>
    </w:pPr>
    <w:rPr>
      <w:rFonts w:eastAsia="黑体"/>
      <w:bCs/>
      <w:kern w:val="44"/>
      <w:sz w:val="36"/>
      <w:szCs w:val="44"/>
    </w:rPr>
  </w:style>
  <w:style w:type="paragraph" w:styleId="3">
    <w:name w:val="heading 2"/>
    <w:basedOn w:val="1"/>
    <w:next w:val="1"/>
    <w:link w:val="70"/>
    <w:unhideWhenUsed/>
    <w:qFormat/>
    <w:uiPriority w:val="9"/>
    <w:pPr>
      <w:widowControl/>
      <w:outlineLvl w:val="1"/>
    </w:pPr>
    <w:rPr>
      <w:rFonts w:eastAsia="黑体" w:cs="宋体"/>
      <w:kern w:val="0"/>
      <w:sz w:val="30"/>
      <w:szCs w:val="30"/>
    </w:rPr>
  </w:style>
  <w:style w:type="paragraph" w:styleId="4">
    <w:name w:val="heading 3"/>
    <w:basedOn w:val="1"/>
    <w:next w:val="1"/>
    <w:link w:val="41"/>
    <w:unhideWhenUsed/>
    <w:qFormat/>
    <w:uiPriority w:val="0"/>
    <w:pPr>
      <w:keepNext/>
      <w:keepLines/>
      <w:outlineLvl w:val="2"/>
    </w:pPr>
    <w:rPr>
      <w:rFonts w:eastAsia="黑体"/>
      <w:bCs/>
      <w:szCs w:val="32"/>
    </w:rPr>
  </w:style>
  <w:style w:type="paragraph" w:styleId="5">
    <w:name w:val="heading 4"/>
    <w:basedOn w:val="1"/>
    <w:next w:val="1"/>
    <w:link w:val="75"/>
    <w:semiHidden/>
    <w:unhideWhenUsed/>
    <w:qFormat/>
    <w:uiPriority w:val="9"/>
    <w:pPr>
      <w:keepNext/>
      <w:keepLines/>
      <w:spacing w:before="280" w:after="290" w:line="376" w:lineRule="atLeast"/>
      <w:outlineLvl w:val="3"/>
    </w:pPr>
    <w:rPr>
      <w:rFonts w:asciiTheme="majorHAnsi" w:hAnsiTheme="majorHAnsi" w:eastAsiaTheme="majorEastAsia" w:cstheme="majorBidi"/>
      <w:b/>
      <w:bCs/>
      <w:sz w:val="28"/>
      <w:szCs w:val="28"/>
    </w:rPr>
  </w:style>
  <w:style w:type="character" w:default="1" w:styleId="25">
    <w:name w:val="Default Paragraph Font"/>
    <w:semiHidden/>
    <w:unhideWhenUsed/>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numPr>
        <w:ilvl w:val="0"/>
        <w:numId w:val="1"/>
      </w:numPr>
      <w:spacing w:before="180" w:after="180" w:line="312" w:lineRule="auto"/>
      <w:outlineLvl w:val="1"/>
    </w:pPr>
    <w:rPr>
      <w:rFonts w:ascii="Cambria Math" w:hAnsi="Cambria Math" w:eastAsia="Cambria Math"/>
      <w:sz w:val="32"/>
    </w:rPr>
  </w:style>
  <w:style w:type="paragraph" w:styleId="7">
    <w:name w:val="caption"/>
    <w:basedOn w:val="1"/>
    <w:next w:val="1"/>
    <w:unhideWhenUsed/>
    <w:qFormat/>
    <w:uiPriority w:val="35"/>
    <w:pPr>
      <w:spacing w:before="30" w:beforeLines="30" w:after="30" w:afterLines="30" w:line="240" w:lineRule="auto"/>
      <w:jc w:val="center"/>
    </w:pPr>
    <w:rPr>
      <w:sz w:val="21"/>
      <w:szCs w:val="20"/>
    </w:rPr>
  </w:style>
  <w:style w:type="paragraph" w:styleId="8">
    <w:name w:val="annotation text"/>
    <w:basedOn w:val="1"/>
    <w:link w:val="56"/>
    <w:qFormat/>
    <w:uiPriority w:val="99"/>
  </w:style>
  <w:style w:type="paragraph" w:styleId="9">
    <w:name w:val="Body Text"/>
    <w:basedOn w:val="1"/>
    <w:link w:val="51"/>
    <w:qFormat/>
    <w:uiPriority w:val="0"/>
    <w:pPr>
      <w:jc w:val="center"/>
    </w:pPr>
    <w:rPr>
      <w:rFonts w:ascii="等线" w:hAnsi="等线"/>
      <w:sz w:val="44"/>
      <w:szCs w:val="14"/>
    </w:rPr>
  </w:style>
  <w:style w:type="paragraph" w:styleId="10">
    <w:name w:val="toc 3"/>
    <w:basedOn w:val="1"/>
    <w:next w:val="1"/>
    <w:qFormat/>
    <w:uiPriority w:val="39"/>
    <w:pPr>
      <w:ind w:left="400" w:leftChars="400"/>
    </w:pPr>
  </w:style>
  <w:style w:type="paragraph" w:styleId="11">
    <w:name w:val="Date"/>
    <w:basedOn w:val="1"/>
    <w:next w:val="1"/>
    <w:link w:val="58"/>
    <w:qFormat/>
    <w:uiPriority w:val="0"/>
    <w:pPr>
      <w:ind w:left="100" w:leftChars="2500"/>
    </w:pPr>
  </w:style>
  <w:style w:type="paragraph" w:styleId="12">
    <w:name w:val="endnote text"/>
    <w:basedOn w:val="1"/>
    <w:link w:val="61"/>
    <w:qFormat/>
    <w:uiPriority w:val="0"/>
    <w:pPr>
      <w:snapToGrid w:val="0"/>
    </w:pPr>
  </w:style>
  <w:style w:type="paragraph" w:styleId="13">
    <w:name w:val="Balloon Text"/>
    <w:basedOn w:val="1"/>
    <w:link w:val="55"/>
    <w:qFormat/>
    <w:uiPriority w:val="0"/>
    <w:rPr>
      <w:sz w:val="18"/>
      <w:szCs w:val="18"/>
    </w:rPr>
  </w:style>
  <w:style w:type="paragraph" w:styleId="14">
    <w:name w:val="footer"/>
    <w:basedOn w:val="1"/>
    <w:link w:val="65"/>
    <w:qFormat/>
    <w:uiPriority w:val="99"/>
    <w:pPr>
      <w:pBdr>
        <w:top w:val="single" w:color="auto" w:sz="4" w:space="1"/>
      </w:pBdr>
      <w:tabs>
        <w:tab w:val="center" w:pos="4747"/>
        <w:tab w:val="right" w:pos="9492"/>
      </w:tabs>
      <w:snapToGrid w:val="0"/>
    </w:pPr>
    <w:rPr>
      <w:sz w:val="18"/>
      <w:szCs w:val="18"/>
    </w:rPr>
  </w:style>
  <w:style w:type="paragraph" w:styleId="15">
    <w:name w:val="header"/>
    <w:basedOn w:val="1"/>
    <w:link w:val="67"/>
    <w:qFormat/>
    <w:uiPriority w:val="99"/>
    <w:pPr>
      <w:pBdr>
        <w:bottom w:val="single" w:color="auto" w:sz="6" w:space="1"/>
      </w:pBdr>
      <w:tabs>
        <w:tab w:val="center" w:pos="4747"/>
        <w:tab w:val="right" w:pos="9492"/>
      </w:tabs>
      <w:snapToGrid w:val="0"/>
      <w:jc w:val="center"/>
    </w:pPr>
    <w:rPr>
      <w:sz w:val="18"/>
      <w:szCs w:val="18"/>
    </w:rPr>
  </w:style>
  <w:style w:type="paragraph" w:styleId="16">
    <w:name w:val="toc 1"/>
    <w:basedOn w:val="1"/>
    <w:next w:val="1"/>
    <w:qFormat/>
    <w:uiPriority w:val="39"/>
    <w:pPr>
      <w:tabs>
        <w:tab w:val="right" w:leader="dot" w:pos="8323"/>
      </w:tabs>
    </w:pPr>
    <w:rPr>
      <w:rFonts w:eastAsia="黑体"/>
      <w:sz w:val="28"/>
      <w:lang w:val="ru-RU"/>
    </w:rPr>
  </w:style>
  <w:style w:type="paragraph" w:styleId="17">
    <w:name w:val="Subtitle"/>
    <w:basedOn w:val="1"/>
    <w:next w:val="1"/>
    <w:link w:val="45"/>
    <w:qFormat/>
    <w:uiPriority w:val="0"/>
    <w:pPr>
      <w:spacing w:line="480" w:lineRule="auto"/>
      <w:outlineLvl w:val="1"/>
    </w:pPr>
    <w:rPr>
      <w:rFonts w:eastAsia="黑体" w:cs="Times New Roman"/>
      <w:bCs/>
      <w:kern w:val="28"/>
      <w:sz w:val="30"/>
      <w:szCs w:val="32"/>
    </w:rPr>
  </w:style>
  <w:style w:type="paragraph" w:styleId="18">
    <w:name w:val="footnote text"/>
    <w:basedOn w:val="1"/>
    <w:link w:val="47"/>
    <w:qFormat/>
    <w:uiPriority w:val="0"/>
    <w:pPr>
      <w:snapToGrid w:val="0"/>
    </w:pPr>
    <w:rPr>
      <w:sz w:val="18"/>
      <w:szCs w:val="18"/>
    </w:rPr>
  </w:style>
  <w:style w:type="paragraph" w:styleId="19">
    <w:name w:val="toc 2"/>
    <w:basedOn w:val="1"/>
    <w:next w:val="1"/>
    <w:qFormat/>
    <w:uiPriority w:val="39"/>
    <w:pPr>
      <w:tabs>
        <w:tab w:val="right" w:leader="dot" w:pos="8323"/>
      </w:tabs>
      <w:ind w:left="420" w:leftChars="200"/>
    </w:pPr>
  </w:style>
  <w:style w:type="paragraph" w:styleId="20">
    <w:name w:val="Normal (Web)"/>
    <w:basedOn w:val="1"/>
    <w:unhideWhenUsed/>
    <w:qFormat/>
    <w:uiPriority w:val="99"/>
    <w:pPr>
      <w:widowControl/>
      <w:spacing w:before="100" w:beforeAutospacing="1" w:after="100" w:afterAutospacing="1"/>
    </w:pPr>
    <w:rPr>
      <w:rFonts w:ascii="等线 Light" w:hAnsi="等线 Light" w:cs="等线 Light"/>
      <w:kern w:val="0"/>
    </w:rPr>
  </w:style>
  <w:style w:type="paragraph" w:styleId="21">
    <w:name w:val="Title"/>
    <w:basedOn w:val="1"/>
    <w:link w:val="42"/>
    <w:qFormat/>
    <w:uiPriority w:val="0"/>
    <w:pPr>
      <w:spacing w:line="480" w:lineRule="auto"/>
      <w:outlineLvl w:val="2"/>
    </w:pPr>
    <w:rPr>
      <w:rFonts w:eastAsia="黑体"/>
      <w:bCs/>
      <w:color w:val="000000"/>
      <w:sz w:val="28"/>
      <w:szCs w:val="32"/>
    </w:rPr>
  </w:style>
  <w:style w:type="paragraph" w:styleId="22">
    <w:name w:val="annotation subject"/>
    <w:basedOn w:val="8"/>
    <w:next w:val="8"/>
    <w:link w:val="57"/>
    <w:qFormat/>
    <w:uiPriority w:val="0"/>
    <w:rPr>
      <w:b/>
      <w:bCs/>
    </w:rPr>
  </w:style>
  <w:style w:type="table" w:styleId="24">
    <w:name w:val="Table Grid"/>
    <w:basedOn w:val="23"/>
    <w:qFormat/>
    <w:uiPriority w:val="0"/>
    <w:rPr>
      <w:rFonts w:ascii="黑体" w:hAnsi="黑体" w:eastAsia="等线 Light" w:cs="黑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qFormat/>
    <w:uiPriority w:val="0"/>
    <w:rPr>
      <w:b/>
      <w:bCs/>
    </w:rPr>
  </w:style>
  <w:style w:type="character" w:styleId="27">
    <w:name w:val="endnote reference"/>
    <w:qFormat/>
    <w:uiPriority w:val="0"/>
    <w:rPr>
      <w:vertAlign w:val="superscript"/>
    </w:rPr>
  </w:style>
  <w:style w:type="character" w:styleId="28">
    <w:name w:val="page number"/>
    <w:basedOn w:val="25"/>
    <w:qFormat/>
    <w:uiPriority w:val="0"/>
  </w:style>
  <w:style w:type="character" w:styleId="29">
    <w:name w:val="Emphasis"/>
    <w:qFormat/>
    <w:uiPriority w:val="0"/>
    <w:rPr>
      <w:i/>
    </w:rPr>
  </w:style>
  <w:style w:type="character" w:styleId="30">
    <w:name w:val="Hyperlink"/>
    <w:qFormat/>
    <w:uiPriority w:val="99"/>
    <w:rPr>
      <w:color w:val="0563C1"/>
      <w:u w:val="single"/>
    </w:rPr>
  </w:style>
  <w:style w:type="character" w:styleId="31">
    <w:name w:val="annotation reference"/>
    <w:qFormat/>
    <w:uiPriority w:val="0"/>
    <w:rPr>
      <w:sz w:val="21"/>
      <w:szCs w:val="21"/>
    </w:rPr>
  </w:style>
  <w:style w:type="character" w:styleId="32">
    <w:name w:val="footnote reference"/>
    <w:qFormat/>
    <w:uiPriority w:val="0"/>
    <w:rPr>
      <w:vertAlign w:val="superscript"/>
    </w:rPr>
  </w:style>
  <w:style w:type="character" w:customStyle="1" w:styleId="33">
    <w:name w:val="jlqj4b"/>
    <w:qFormat/>
    <w:uiPriority w:val="0"/>
  </w:style>
  <w:style w:type="paragraph" w:customStyle="1" w:styleId="34">
    <w:name w:val="MTDisplayEquation"/>
    <w:basedOn w:val="1"/>
    <w:link w:val="35"/>
    <w:qFormat/>
    <w:uiPriority w:val="0"/>
    <w:pPr>
      <w:spacing w:line="480" w:lineRule="exact"/>
      <w:jc w:val="right"/>
    </w:pPr>
    <w:rPr>
      <w:color w:val="FF0000"/>
    </w:rPr>
  </w:style>
  <w:style w:type="character" w:customStyle="1" w:styleId="35">
    <w:name w:val="MTDisplayEquation Char"/>
    <w:link w:val="34"/>
    <w:qFormat/>
    <w:uiPriority w:val="0"/>
    <w:rPr>
      <w:rFonts w:ascii="Times New Roman" w:hAnsi="Times New Roman" w:eastAsia="宋体" w:cs="黑体"/>
      <w:color w:val="FF0000"/>
      <w:sz w:val="24"/>
      <w:szCs w:val="24"/>
    </w:rPr>
  </w:style>
  <w:style w:type="character" w:customStyle="1" w:styleId="36">
    <w:name w:val="标题 1 字符"/>
    <w:link w:val="2"/>
    <w:qFormat/>
    <w:uiPriority w:val="0"/>
    <w:rPr>
      <w:rFonts w:ascii="Times New Roman" w:hAnsi="Times New Roman" w:eastAsia="黑体"/>
      <w:bCs/>
      <w:kern w:val="44"/>
      <w:sz w:val="36"/>
      <w:szCs w:val="44"/>
    </w:rPr>
  </w:style>
  <w:style w:type="paragraph" w:customStyle="1" w:styleId="37">
    <w:name w:val="TOC 标题1"/>
    <w:basedOn w:val="2"/>
    <w:next w:val="1"/>
    <w:unhideWhenUsed/>
    <w:qFormat/>
    <w:uiPriority w:val="39"/>
    <w:pPr>
      <w:widowControl/>
      <w:spacing w:before="240" w:line="259" w:lineRule="auto"/>
      <w:jc w:val="left"/>
      <w:outlineLvl w:val="9"/>
    </w:pPr>
    <w:rPr>
      <w:rFonts w:ascii="Yu Mincho Light" w:hAnsi="Yu Mincho Light" w:eastAsia="Yu Mincho Light"/>
      <w:b/>
      <w:bCs w:val="0"/>
      <w:color w:val="2F5496"/>
      <w:kern w:val="0"/>
      <w:sz w:val="32"/>
      <w:szCs w:val="32"/>
    </w:rPr>
  </w:style>
  <w:style w:type="paragraph" w:customStyle="1" w:styleId="38">
    <w:name w:val="WPSOffice手动目录 1"/>
    <w:qFormat/>
    <w:uiPriority w:val="0"/>
    <w:rPr>
      <w:rFonts w:ascii="黑体" w:hAnsi="黑体" w:eastAsia="等线 Light" w:cs="黑体"/>
      <w:lang w:val="en-US" w:eastAsia="zh-CN" w:bidi="ar-SA"/>
    </w:rPr>
  </w:style>
  <w:style w:type="paragraph" w:customStyle="1" w:styleId="39">
    <w:name w:val="WPSOffice手动目录 2"/>
    <w:qFormat/>
    <w:uiPriority w:val="0"/>
    <w:pPr>
      <w:ind w:left="200" w:leftChars="200"/>
    </w:pPr>
    <w:rPr>
      <w:rFonts w:ascii="黑体" w:hAnsi="黑体" w:eastAsia="等线 Light" w:cs="黑体"/>
      <w:lang w:val="en-US" w:eastAsia="zh-CN" w:bidi="ar-SA"/>
    </w:rPr>
  </w:style>
  <w:style w:type="paragraph" w:customStyle="1" w:styleId="40">
    <w:name w:val="WPSOffice手动目录 3"/>
    <w:qFormat/>
    <w:uiPriority w:val="0"/>
    <w:pPr>
      <w:ind w:left="400" w:leftChars="400"/>
    </w:pPr>
    <w:rPr>
      <w:rFonts w:ascii="黑体" w:hAnsi="黑体" w:eastAsia="等线 Light" w:cs="黑体"/>
      <w:lang w:val="en-US" w:eastAsia="zh-CN" w:bidi="ar-SA"/>
    </w:rPr>
  </w:style>
  <w:style w:type="character" w:customStyle="1" w:styleId="41">
    <w:name w:val="标题 3 字符"/>
    <w:link w:val="4"/>
    <w:qFormat/>
    <w:uiPriority w:val="0"/>
    <w:rPr>
      <w:rFonts w:ascii="Times New Roman" w:hAnsi="Times New Roman" w:eastAsia="黑体"/>
      <w:bCs/>
      <w:sz w:val="24"/>
      <w:szCs w:val="32"/>
    </w:rPr>
  </w:style>
  <w:style w:type="character" w:customStyle="1" w:styleId="42">
    <w:name w:val="标题 字符"/>
    <w:link w:val="21"/>
    <w:qFormat/>
    <w:uiPriority w:val="0"/>
    <w:rPr>
      <w:rFonts w:ascii="Times New Roman" w:hAnsi="Times New Roman" w:eastAsia="黑体" w:cs="黑体"/>
      <w:bCs/>
      <w:color w:val="000000"/>
      <w:sz w:val="28"/>
      <w:szCs w:val="32"/>
    </w:rPr>
  </w:style>
  <w:style w:type="paragraph" w:customStyle="1" w:styleId="43">
    <w:name w:val="参考文献"/>
    <w:basedOn w:val="1"/>
    <w:link w:val="44"/>
    <w:qFormat/>
    <w:uiPriority w:val="0"/>
    <w:pPr>
      <w:widowControl/>
      <w:numPr>
        <w:ilvl w:val="0"/>
        <w:numId w:val="2"/>
      </w:numPr>
    </w:pPr>
    <w:rPr>
      <w:color w:val="000000"/>
    </w:rPr>
  </w:style>
  <w:style w:type="character" w:customStyle="1" w:styleId="44">
    <w:name w:val="参考文献 字符"/>
    <w:link w:val="43"/>
    <w:qFormat/>
    <w:uiPriority w:val="0"/>
    <w:rPr>
      <w:rFonts w:ascii="Times New Roman" w:hAnsi="Times New Roman" w:eastAsia="宋体" w:cs="黑体"/>
      <w:color w:val="000000"/>
      <w:sz w:val="24"/>
      <w:szCs w:val="24"/>
    </w:rPr>
  </w:style>
  <w:style w:type="character" w:customStyle="1" w:styleId="45">
    <w:name w:val="副标题 字符"/>
    <w:link w:val="17"/>
    <w:qFormat/>
    <w:uiPriority w:val="0"/>
    <w:rPr>
      <w:rFonts w:ascii="Times New Roman" w:hAnsi="Times New Roman" w:eastAsia="黑体" w:cs="Times New Roman"/>
      <w:bCs/>
      <w:kern w:val="28"/>
      <w:sz w:val="30"/>
      <w:szCs w:val="32"/>
    </w:rPr>
  </w:style>
  <w:style w:type="paragraph" w:customStyle="1" w:styleId="46">
    <w:name w:val="公式"/>
    <w:basedOn w:val="1"/>
    <w:next w:val="1"/>
    <w:qFormat/>
    <w:uiPriority w:val="0"/>
    <w:pPr>
      <w:tabs>
        <w:tab w:val="center" w:pos="4200"/>
        <w:tab w:val="right" w:pos="8400"/>
      </w:tabs>
      <w:textAlignment w:val="center"/>
    </w:pPr>
  </w:style>
  <w:style w:type="character" w:customStyle="1" w:styleId="47">
    <w:name w:val="脚注文本 字符"/>
    <w:link w:val="18"/>
    <w:qFormat/>
    <w:uiPriority w:val="0"/>
    <w:rPr>
      <w:rFonts w:ascii="Times New Roman" w:hAnsi="Times New Roman" w:eastAsia="宋体" w:cs="黑体"/>
      <w:sz w:val="18"/>
      <w:szCs w:val="18"/>
    </w:rPr>
  </w:style>
  <w:style w:type="paragraph" w:styleId="48">
    <w:name w:val="List Paragraph"/>
    <w:basedOn w:val="1"/>
    <w:link w:val="49"/>
    <w:qFormat/>
    <w:uiPriority w:val="34"/>
    <w:pPr>
      <w:ind w:firstLine="420" w:firstLineChars="200"/>
    </w:pPr>
  </w:style>
  <w:style w:type="character" w:customStyle="1" w:styleId="49">
    <w:name w:val="列表段落 字符"/>
    <w:link w:val="48"/>
    <w:qFormat/>
    <w:uiPriority w:val="34"/>
    <w:rPr>
      <w:rFonts w:ascii="Times New Roman" w:hAnsi="Times New Roman" w:eastAsia="宋体" w:cs="黑体"/>
      <w:sz w:val="24"/>
      <w:szCs w:val="24"/>
    </w:rPr>
  </w:style>
  <w:style w:type="character" w:customStyle="1" w:styleId="50">
    <w:name w:val="正文文本 字符"/>
    <w:semiHidden/>
    <w:qFormat/>
    <w:uiPriority w:val="99"/>
    <w:rPr>
      <w:kern w:val="2"/>
      <w:sz w:val="21"/>
      <w:szCs w:val="24"/>
    </w:rPr>
  </w:style>
  <w:style w:type="character" w:customStyle="1" w:styleId="51">
    <w:name w:val="正文文本 字符1"/>
    <w:link w:val="9"/>
    <w:qFormat/>
    <w:uiPriority w:val="0"/>
    <w:rPr>
      <w:rFonts w:ascii="等线" w:hAnsi="等线" w:eastAsia="宋体" w:cs="黑体"/>
      <w:sz w:val="44"/>
      <w:szCs w:val="14"/>
    </w:rPr>
  </w:style>
  <w:style w:type="paragraph" w:customStyle="1" w:styleId="52">
    <w:name w:val="目录"/>
    <w:basedOn w:val="9"/>
    <w:link w:val="53"/>
    <w:qFormat/>
    <w:uiPriority w:val="0"/>
  </w:style>
  <w:style w:type="character" w:customStyle="1" w:styleId="53">
    <w:name w:val="目录 字符"/>
    <w:basedOn w:val="51"/>
    <w:link w:val="52"/>
    <w:qFormat/>
    <w:uiPriority w:val="0"/>
    <w:rPr>
      <w:rFonts w:ascii="等线" w:hAnsi="等线" w:eastAsia="宋体" w:cs="黑体"/>
      <w:sz w:val="44"/>
      <w:szCs w:val="14"/>
    </w:rPr>
  </w:style>
  <w:style w:type="character" w:customStyle="1" w:styleId="54">
    <w:name w:val="批注框文本 字符"/>
    <w:semiHidden/>
    <w:qFormat/>
    <w:uiPriority w:val="99"/>
    <w:rPr>
      <w:kern w:val="2"/>
      <w:sz w:val="18"/>
      <w:szCs w:val="18"/>
    </w:rPr>
  </w:style>
  <w:style w:type="character" w:customStyle="1" w:styleId="55">
    <w:name w:val="批注框文本 字符1"/>
    <w:link w:val="13"/>
    <w:qFormat/>
    <w:uiPriority w:val="0"/>
    <w:rPr>
      <w:rFonts w:ascii="Times New Roman" w:hAnsi="Times New Roman" w:eastAsia="宋体" w:cs="黑体"/>
      <w:sz w:val="18"/>
      <w:szCs w:val="18"/>
    </w:rPr>
  </w:style>
  <w:style w:type="character" w:customStyle="1" w:styleId="56">
    <w:name w:val="批注文字 字符"/>
    <w:link w:val="8"/>
    <w:qFormat/>
    <w:uiPriority w:val="99"/>
    <w:rPr>
      <w:rFonts w:ascii="Times New Roman" w:hAnsi="Times New Roman" w:eastAsia="宋体" w:cs="黑体"/>
      <w:sz w:val="24"/>
      <w:szCs w:val="24"/>
    </w:rPr>
  </w:style>
  <w:style w:type="character" w:customStyle="1" w:styleId="57">
    <w:name w:val="批注主题 字符"/>
    <w:link w:val="22"/>
    <w:qFormat/>
    <w:uiPriority w:val="0"/>
    <w:rPr>
      <w:rFonts w:ascii="Times New Roman" w:hAnsi="Times New Roman" w:eastAsia="宋体" w:cs="黑体"/>
      <w:b/>
      <w:bCs/>
      <w:sz w:val="24"/>
      <w:szCs w:val="24"/>
    </w:rPr>
  </w:style>
  <w:style w:type="character" w:customStyle="1" w:styleId="58">
    <w:name w:val="日期 字符"/>
    <w:link w:val="11"/>
    <w:qFormat/>
    <w:uiPriority w:val="0"/>
    <w:rPr>
      <w:rFonts w:ascii="Times New Roman" w:hAnsi="Times New Roman" w:eastAsia="宋体" w:cs="黑体"/>
      <w:sz w:val="24"/>
      <w:szCs w:val="24"/>
    </w:rPr>
  </w:style>
  <w:style w:type="paragraph" w:customStyle="1" w:styleId="59">
    <w:name w:val="图"/>
    <w:basedOn w:val="1"/>
    <w:link w:val="60"/>
    <w:qFormat/>
    <w:uiPriority w:val="0"/>
    <w:pPr>
      <w:spacing w:line="240" w:lineRule="auto"/>
      <w:jc w:val="center"/>
    </w:pPr>
    <w:rPr>
      <w:sz w:val="21"/>
    </w:rPr>
  </w:style>
  <w:style w:type="character" w:customStyle="1" w:styleId="60">
    <w:name w:val="图 字符"/>
    <w:link w:val="59"/>
    <w:qFormat/>
    <w:uiPriority w:val="0"/>
    <w:rPr>
      <w:rFonts w:ascii="Times New Roman" w:hAnsi="Times New Roman" w:eastAsia="宋体"/>
    </w:rPr>
  </w:style>
  <w:style w:type="character" w:customStyle="1" w:styleId="61">
    <w:name w:val="尾注文本 字符"/>
    <w:link w:val="12"/>
    <w:qFormat/>
    <w:uiPriority w:val="0"/>
    <w:rPr>
      <w:rFonts w:ascii="Times New Roman" w:hAnsi="Times New Roman" w:eastAsia="宋体" w:cs="黑体"/>
      <w:sz w:val="24"/>
      <w:szCs w:val="24"/>
    </w:rPr>
  </w:style>
  <w:style w:type="character" w:customStyle="1" w:styleId="62">
    <w:name w:val="未处理的提及1"/>
    <w:unhideWhenUsed/>
    <w:qFormat/>
    <w:uiPriority w:val="99"/>
    <w:rPr>
      <w:color w:val="605E5C"/>
      <w:shd w:val="clear" w:color="auto" w:fill="E1DFDD"/>
    </w:rPr>
  </w:style>
  <w:style w:type="paragraph" w:customStyle="1" w:styleId="63">
    <w:name w:val="修订1"/>
    <w:unhideWhenUsed/>
    <w:qFormat/>
    <w:uiPriority w:val="99"/>
    <w:rPr>
      <w:rFonts w:ascii="黑体" w:hAnsi="黑体" w:eastAsia="等线 Light" w:cs="黑体"/>
      <w:kern w:val="2"/>
      <w:sz w:val="21"/>
      <w:szCs w:val="24"/>
      <w:lang w:val="en-US" w:eastAsia="zh-CN" w:bidi="ar-SA"/>
    </w:rPr>
  </w:style>
  <w:style w:type="character" w:customStyle="1" w:styleId="64">
    <w:name w:val="页脚 字符"/>
    <w:qFormat/>
    <w:uiPriority w:val="99"/>
    <w:rPr>
      <w:kern w:val="2"/>
      <w:sz w:val="18"/>
      <w:szCs w:val="18"/>
    </w:rPr>
  </w:style>
  <w:style w:type="character" w:customStyle="1" w:styleId="65">
    <w:name w:val="页脚 字符1"/>
    <w:link w:val="14"/>
    <w:qFormat/>
    <w:uiPriority w:val="99"/>
    <w:rPr>
      <w:rFonts w:ascii="Times New Roman" w:hAnsi="Times New Roman" w:eastAsia="宋体" w:cs="黑体"/>
      <w:sz w:val="18"/>
      <w:szCs w:val="18"/>
    </w:rPr>
  </w:style>
  <w:style w:type="character" w:customStyle="1" w:styleId="66">
    <w:name w:val="页眉 字符"/>
    <w:semiHidden/>
    <w:qFormat/>
    <w:uiPriority w:val="99"/>
    <w:rPr>
      <w:kern w:val="2"/>
      <w:sz w:val="18"/>
      <w:szCs w:val="18"/>
    </w:rPr>
  </w:style>
  <w:style w:type="character" w:customStyle="1" w:styleId="67">
    <w:name w:val="页眉 字符1"/>
    <w:link w:val="15"/>
    <w:qFormat/>
    <w:uiPriority w:val="99"/>
    <w:rPr>
      <w:rFonts w:ascii="Times New Roman" w:hAnsi="Times New Roman" w:eastAsia="宋体" w:cs="黑体"/>
      <w:sz w:val="18"/>
      <w:szCs w:val="18"/>
    </w:rPr>
  </w:style>
  <w:style w:type="paragraph" w:customStyle="1" w:styleId="68">
    <w:name w:val="自定义公式编号"/>
    <w:basedOn w:val="1"/>
    <w:next w:val="1"/>
    <w:link w:val="69"/>
    <w:qFormat/>
    <w:uiPriority w:val="0"/>
    <w:pPr>
      <w:tabs>
        <w:tab w:val="left" w:pos="4200"/>
        <w:tab w:val="left" w:pos="8400"/>
      </w:tabs>
      <w:jc w:val="center"/>
      <w:textAlignment w:val="center"/>
    </w:pPr>
  </w:style>
  <w:style w:type="character" w:customStyle="1" w:styleId="69">
    <w:name w:val="自定义公式编号 字符"/>
    <w:link w:val="68"/>
    <w:qFormat/>
    <w:uiPriority w:val="0"/>
    <w:rPr>
      <w:rFonts w:ascii="Times New Roman" w:hAnsi="Times New Roman" w:eastAsia="宋体" w:cs="黑体"/>
      <w:sz w:val="24"/>
      <w:szCs w:val="24"/>
    </w:rPr>
  </w:style>
  <w:style w:type="character" w:customStyle="1" w:styleId="70">
    <w:name w:val="标题 2 字符"/>
    <w:basedOn w:val="25"/>
    <w:link w:val="3"/>
    <w:qFormat/>
    <w:uiPriority w:val="9"/>
    <w:rPr>
      <w:rFonts w:ascii="Times New Roman" w:hAnsi="Times New Roman" w:eastAsia="黑体" w:cs="宋体"/>
      <w:kern w:val="0"/>
      <w:sz w:val="30"/>
      <w:szCs w:val="30"/>
    </w:rPr>
  </w:style>
  <w:style w:type="paragraph" w:customStyle="1" w:styleId="71">
    <w:name w:val="样式1"/>
    <w:basedOn w:val="1"/>
    <w:link w:val="72"/>
    <w:qFormat/>
    <w:uiPriority w:val="0"/>
    <w:pPr>
      <w:widowControl/>
      <w:spacing w:line="360" w:lineRule="auto"/>
      <w:ind w:firstLine="480" w:firstLineChars="200"/>
    </w:pPr>
    <w:rPr>
      <w:szCs w:val="24"/>
    </w:rPr>
  </w:style>
  <w:style w:type="character" w:customStyle="1" w:styleId="72">
    <w:name w:val="样式1 字符"/>
    <w:basedOn w:val="25"/>
    <w:link w:val="71"/>
    <w:qFormat/>
    <w:uiPriority w:val="0"/>
    <w:rPr>
      <w:rFonts w:ascii="Times New Roman" w:hAnsi="Times New Roman" w:eastAsia="宋体"/>
      <w:sz w:val="24"/>
      <w:szCs w:val="24"/>
    </w:rPr>
  </w:style>
  <w:style w:type="paragraph" w:customStyle="1" w:styleId="73">
    <w:name w:val="Decimal Aligned"/>
    <w:basedOn w:val="1"/>
    <w:qFormat/>
    <w:uiPriority w:val="40"/>
    <w:pPr>
      <w:widowControl/>
      <w:tabs>
        <w:tab w:val="decimal" w:pos="360"/>
      </w:tabs>
      <w:spacing w:after="200" w:line="276" w:lineRule="auto"/>
      <w:ind w:firstLine="200" w:firstLineChars="200"/>
    </w:pPr>
    <w:rPr>
      <w:rFonts w:ascii="等线" w:hAnsi="等线" w:eastAsia="等线" w:cs="Times New Roman"/>
      <w:kern w:val="0"/>
      <w:sz w:val="22"/>
    </w:rPr>
  </w:style>
  <w:style w:type="table" w:customStyle="1" w:styleId="74">
    <w:name w:val="无格式表格 21"/>
    <w:basedOn w:val="23"/>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customStyle="1" w:styleId="75">
    <w:name w:val="标题 4 字符"/>
    <w:basedOn w:val="25"/>
    <w:link w:val="5"/>
    <w:semiHidden/>
    <w:qFormat/>
    <w:uiPriority w:val="9"/>
    <w:rPr>
      <w:rFonts w:asciiTheme="majorHAnsi" w:hAnsiTheme="majorHAnsi" w:eastAsiaTheme="majorEastAsia" w:cstheme="majorBidi"/>
      <w:b/>
      <w:bCs/>
      <w:sz w:val="28"/>
      <w:szCs w:val="28"/>
    </w:rPr>
  </w:style>
  <w:style w:type="character" w:styleId="76">
    <w:name w:val="Placeholder Text"/>
    <w:basedOn w:val="25"/>
    <w:semiHidden/>
    <w:qFormat/>
    <w:uiPriority w:val="99"/>
    <w:rPr>
      <w:color w:val="808080"/>
    </w:rPr>
  </w:style>
  <w:style w:type="character" w:customStyle="1" w:styleId="77">
    <w:name w:val="MTEquationSection"/>
    <w:basedOn w:val="25"/>
    <w:qFormat/>
    <w:uiPriority w:val="0"/>
    <w:rPr>
      <w:rFonts w:ascii="黑体" w:hAnsi="宋体" w:eastAsia="黑体" w:cs="宋体"/>
      <w:vanish/>
      <w:color w:val="FF0000"/>
      <w:kern w:val="0"/>
      <w:sz w:val="52"/>
      <w:szCs w:val="52"/>
    </w:rPr>
  </w:style>
  <w:style w:type="paragraph" w:customStyle="1" w:styleId="78">
    <w:name w:val="书目1"/>
    <w:basedOn w:val="1"/>
    <w:next w:val="1"/>
    <w:unhideWhenUsed/>
    <w:qFormat/>
    <w:uiPriority w:val="37"/>
    <w:pPr>
      <w:tabs>
        <w:tab w:val="left" w:pos="384"/>
      </w:tabs>
      <w:spacing w:line="240" w:lineRule="exact"/>
      <w:ind w:left="384" w:hanging="384"/>
    </w:pPr>
  </w:style>
  <w:style w:type="paragraph" w:customStyle="1" w:styleId="79">
    <w:name w:val="Revision"/>
    <w:hidden/>
    <w:semiHidden/>
    <w:qFormat/>
    <w:uiPriority w:val="99"/>
    <w:rPr>
      <w:rFonts w:ascii="Times New Roman" w:hAnsi="Times New Roman" w:eastAsia="宋体" w:cstheme="minorBidi"/>
      <w:kern w:val="2"/>
      <w:sz w:val="24"/>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53.wmf"/><Relationship Id="rId98" Type="http://schemas.openxmlformats.org/officeDocument/2006/relationships/oleObject" Target="embeddings/oleObject25.bin"/><Relationship Id="rId97" Type="http://schemas.openxmlformats.org/officeDocument/2006/relationships/image" Target="media/image52.wmf"/><Relationship Id="rId96" Type="http://schemas.openxmlformats.org/officeDocument/2006/relationships/image" Target="media/image51.wmf"/><Relationship Id="rId95" Type="http://schemas.openxmlformats.org/officeDocument/2006/relationships/oleObject" Target="embeddings/oleObject24.bin"/><Relationship Id="rId94" Type="http://schemas.openxmlformats.org/officeDocument/2006/relationships/image" Target="media/image50.wmf"/><Relationship Id="rId93" Type="http://schemas.openxmlformats.org/officeDocument/2006/relationships/oleObject" Target="embeddings/oleObject23.bin"/><Relationship Id="rId92" Type="http://schemas.openxmlformats.org/officeDocument/2006/relationships/image" Target="media/image49.wmf"/><Relationship Id="rId91" Type="http://schemas.openxmlformats.org/officeDocument/2006/relationships/oleObject" Target="embeddings/oleObject22.bin"/><Relationship Id="rId90" Type="http://schemas.openxmlformats.org/officeDocument/2006/relationships/image" Target="media/image48.wmf"/><Relationship Id="rId9" Type="http://schemas.openxmlformats.org/officeDocument/2006/relationships/footer" Target="footer3.xml"/><Relationship Id="rId89" Type="http://schemas.openxmlformats.org/officeDocument/2006/relationships/oleObject" Target="embeddings/oleObject21.bin"/><Relationship Id="rId88" Type="http://schemas.openxmlformats.org/officeDocument/2006/relationships/image" Target="media/image47.wmf"/><Relationship Id="rId87" Type="http://schemas.openxmlformats.org/officeDocument/2006/relationships/oleObject" Target="embeddings/oleObject20.bin"/><Relationship Id="rId86" Type="http://schemas.openxmlformats.org/officeDocument/2006/relationships/image" Target="media/image46.wmf"/><Relationship Id="rId85" Type="http://schemas.openxmlformats.org/officeDocument/2006/relationships/oleObject" Target="embeddings/oleObject19.bin"/><Relationship Id="rId84" Type="http://schemas.openxmlformats.org/officeDocument/2006/relationships/image" Target="media/image45.wmf"/><Relationship Id="rId83" Type="http://schemas.openxmlformats.org/officeDocument/2006/relationships/oleObject" Target="embeddings/oleObject18.bin"/><Relationship Id="rId82" Type="http://schemas.openxmlformats.org/officeDocument/2006/relationships/image" Target="media/image44.wmf"/><Relationship Id="rId81" Type="http://schemas.openxmlformats.org/officeDocument/2006/relationships/oleObject" Target="embeddings/oleObject17.bin"/><Relationship Id="rId80" Type="http://schemas.openxmlformats.org/officeDocument/2006/relationships/image" Target="media/image43.wmf"/><Relationship Id="rId8" Type="http://schemas.openxmlformats.org/officeDocument/2006/relationships/header" Target="header2.xml"/><Relationship Id="rId79" Type="http://schemas.openxmlformats.org/officeDocument/2006/relationships/oleObject" Target="embeddings/oleObject16.bin"/><Relationship Id="rId78" Type="http://schemas.openxmlformats.org/officeDocument/2006/relationships/image" Target="media/image42.wmf"/><Relationship Id="rId77" Type="http://schemas.openxmlformats.org/officeDocument/2006/relationships/oleObject" Target="embeddings/oleObject15.bin"/><Relationship Id="rId76" Type="http://schemas.openxmlformats.org/officeDocument/2006/relationships/image" Target="media/image41.wmf"/><Relationship Id="rId75" Type="http://schemas.openxmlformats.org/officeDocument/2006/relationships/oleObject" Target="embeddings/oleObject14.bin"/><Relationship Id="rId74" Type="http://schemas.openxmlformats.org/officeDocument/2006/relationships/image" Target="media/image40.wmf"/><Relationship Id="rId73" Type="http://schemas.openxmlformats.org/officeDocument/2006/relationships/oleObject" Target="embeddings/oleObject13.bin"/><Relationship Id="rId72" Type="http://schemas.openxmlformats.org/officeDocument/2006/relationships/image" Target="media/image39.wmf"/><Relationship Id="rId71" Type="http://schemas.openxmlformats.org/officeDocument/2006/relationships/oleObject" Target="embeddings/oleObject12.bin"/><Relationship Id="rId70" Type="http://schemas.openxmlformats.org/officeDocument/2006/relationships/image" Target="media/image38.wmf"/><Relationship Id="rId7" Type="http://schemas.openxmlformats.org/officeDocument/2006/relationships/footer" Target="footer2.xml"/><Relationship Id="rId69" Type="http://schemas.openxmlformats.org/officeDocument/2006/relationships/oleObject" Target="embeddings/oleObject11.bin"/><Relationship Id="rId68" Type="http://schemas.openxmlformats.org/officeDocument/2006/relationships/image" Target="media/image37.wmf"/><Relationship Id="rId67" Type="http://schemas.openxmlformats.org/officeDocument/2006/relationships/oleObject" Target="embeddings/oleObject10.bin"/><Relationship Id="rId66" Type="http://schemas.openxmlformats.org/officeDocument/2006/relationships/image" Target="media/image36.wmf"/><Relationship Id="rId65" Type="http://schemas.openxmlformats.org/officeDocument/2006/relationships/oleObject" Target="embeddings/oleObject9.bin"/><Relationship Id="rId64" Type="http://schemas.openxmlformats.org/officeDocument/2006/relationships/image" Target="media/image35.wmf"/><Relationship Id="rId63" Type="http://schemas.openxmlformats.org/officeDocument/2006/relationships/oleObject" Target="embeddings/oleObject8.bin"/><Relationship Id="rId62" Type="http://schemas.openxmlformats.org/officeDocument/2006/relationships/oleObject" Target="embeddings/oleObject7.bin"/><Relationship Id="rId61" Type="http://schemas.openxmlformats.org/officeDocument/2006/relationships/image" Target="media/image34.wmf"/><Relationship Id="rId60" Type="http://schemas.openxmlformats.org/officeDocument/2006/relationships/oleObject" Target="embeddings/oleObject6.bin"/><Relationship Id="rId6" Type="http://schemas.openxmlformats.org/officeDocument/2006/relationships/footer" Target="footer1.xml"/><Relationship Id="rId59" Type="http://schemas.openxmlformats.org/officeDocument/2006/relationships/image" Target="media/image33.wmf"/><Relationship Id="rId58" Type="http://schemas.openxmlformats.org/officeDocument/2006/relationships/oleObject" Target="embeddings/oleObject5.bin"/><Relationship Id="rId57" Type="http://schemas.openxmlformats.org/officeDocument/2006/relationships/image" Target="media/image32.emf"/><Relationship Id="rId56" Type="http://schemas.openxmlformats.org/officeDocument/2006/relationships/package" Target="embeddings/Microsoft_Visio___11.vsdx"/><Relationship Id="rId55" Type="http://schemas.openxmlformats.org/officeDocument/2006/relationships/image" Target="media/image31.emf"/><Relationship Id="rId54" Type="http://schemas.openxmlformats.org/officeDocument/2006/relationships/package" Target="embeddings/Microsoft_Visio___10.vsdx"/><Relationship Id="rId53" Type="http://schemas.openxmlformats.org/officeDocument/2006/relationships/image" Target="media/image30.emf"/><Relationship Id="rId52" Type="http://schemas.openxmlformats.org/officeDocument/2006/relationships/package" Target="embeddings/Microsoft_Visio___9.vsdx"/><Relationship Id="rId51" Type="http://schemas.openxmlformats.org/officeDocument/2006/relationships/image" Target="media/image29.emf"/><Relationship Id="rId50" Type="http://schemas.openxmlformats.org/officeDocument/2006/relationships/package" Target="embeddings/Microsoft_Visio___8.vsdx"/><Relationship Id="rId5" Type="http://schemas.openxmlformats.org/officeDocument/2006/relationships/header" Target="header1.xml"/><Relationship Id="rId49" Type="http://schemas.openxmlformats.org/officeDocument/2006/relationships/image" Target="media/image28.emf"/><Relationship Id="rId48" Type="http://schemas.openxmlformats.org/officeDocument/2006/relationships/package" Target="embeddings/Microsoft_Visio___7.vsdx"/><Relationship Id="rId47" Type="http://schemas.openxmlformats.org/officeDocument/2006/relationships/image" Target="media/image27.emf"/><Relationship Id="rId46" Type="http://schemas.openxmlformats.org/officeDocument/2006/relationships/package" Target="embeddings/Microsoft_Visio___6.vsdx"/><Relationship Id="rId45" Type="http://schemas.openxmlformats.org/officeDocument/2006/relationships/image" Target="media/image26.emf"/><Relationship Id="rId44" Type="http://schemas.openxmlformats.org/officeDocument/2006/relationships/package" Target="embeddings/Microsoft_Visio___5.vsdx"/><Relationship Id="rId43" Type="http://schemas.openxmlformats.org/officeDocument/2006/relationships/image" Target="media/image25.emf"/><Relationship Id="rId42" Type="http://schemas.openxmlformats.org/officeDocument/2006/relationships/package" Target="embeddings/Microsoft_Visio___4.vsdx"/><Relationship Id="rId41" Type="http://schemas.openxmlformats.org/officeDocument/2006/relationships/image" Target="media/image24.wmf"/><Relationship Id="rId40" Type="http://schemas.openxmlformats.org/officeDocument/2006/relationships/oleObject" Target="embeddings/oleObject4.bin"/><Relationship Id="rId4" Type="http://schemas.openxmlformats.org/officeDocument/2006/relationships/endnotes" Target="endnotes.xml"/><Relationship Id="rId39" Type="http://schemas.openxmlformats.org/officeDocument/2006/relationships/image" Target="media/image23.wmf"/><Relationship Id="rId38" Type="http://schemas.openxmlformats.org/officeDocument/2006/relationships/oleObject" Target="embeddings/oleObject3.bin"/><Relationship Id="rId37" Type="http://schemas.openxmlformats.org/officeDocument/2006/relationships/image" Target="media/image22.wmf"/><Relationship Id="rId36" Type="http://schemas.openxmlformats.org/officeDocument/2006/relationships/oleObject" Target="embeddings/oleObject2.bin"/><Relationship Id="rId35" Type="http://schemas.openxmlformats.org/officeDocument/2006/relationships/image" Target="media/image21.wmf"/><Relationship Id="rId34" Type="http://schemas.openxmlformats.org/officeDocument/2006/relationships/oleObject" Target="embeddings/oleObject1.bin"/><Relationship Id="rId33" Type="http://schemas.openxmlformats.org/officeDocument/2006/relationships/image" Target="media/image20.emf"/><Relationship Id="rId32" Type="http://schemas.openxmlformats.org/officeDocument/2006/relationships/package" Target="embeddings/Microsoft_Visio___3.vsdx"/><Relationship Id="rId31" Type="http://schemas.openxmlformats.org/officeDocument/2006/relationships/image" Target="media/image19.emf"/><Relationship Id="rId30" Type="http://schemas.openxmlformats.org/officeDocument/2006/relationships/package" Target="embeddings/Microsoft_Visio___2.vsdx"/><Relationship Id="rId3" Type="http://schemas.openxmlformats.org/officeDocument/2006/relationships/footnotes" Target="footnotes.xml"/><Relationship Id="rId29" Type="http://schemas.openxmlformats.org/officeDocument/2006/relationships/image" Target="media/image18.jpeg"/><Relationship Id="rId28" Type="http://schemas.openxmlformats.org/officeDocument/2006/relationships/image" Target="media/image17.jpeg"/><Relationship Id="rId27" Type="http://schemas.openxmlformats.org/officeDocument/2006/relationships/image" Target="media/image16.jpeg"/><Relationship Id="rId26" Type="http://schemas.openxmlformats.org/officeDocument/2006/relationships/image" Target="media/image15.jpeg"/><Relationship Id="rId25" Type="http://schemas.openxmlformats.org/officeDocument/2006/relationships/image" Target="media/image14.jpe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5" Type="http://schemas.openxmlformats.org/officeDocument/2006/relationships/fontTable" Target="fontTable.xml"/><Relationship Id="rId164" Type="http://schemas.openxmlformats.org/officeDocument/2006/relationships/customXml" Target="../customXml/item2.xml"/><Relationship Id="rId163" Type="http://schemas.openxmlformats.org/officeDocument/2006/relationships/numbering" Target="numbering.xml"/><Relationship Id="rId162" Type="http://schemas.openxmlformats.org/officeDocument/2006/relationships/customXml" Target="../customXml/item1.xml"/><Relationship Id="rId161" Type="http://schemas.microsoft.com/office/2007/relationships/hdphoto" Target="media/image90.wdp"/><Relationship Id="rId160" Type="http://schemas.openxmlformats.org/officeDocument/2006/relationships/image" Target="media/image89.png"/><Relationship Id="rId16" Type="http://schemas.openxmlformats.org/officeDocument/2006/relationships/image" Target="media/image5.png"/><Relationship Id="rId159" Type="http://schemas.openxmlformats.org/officeDocument/2006/relationships/image" Target="media/image88.png"/><Relationship Id="rId158" Type="http://schemas.openxmlformats.org/officeDocument/2006/relationships/image" Target="media/image87.png"/><Relationship Id="rId157" Type="http://schemas.openxmlformats.org/officeDocument/2006/relationships/image" Target="media/image86.png"/><Relationship Id="rId156" Type="http://schemas.microsoft.com/office/2007/relationships/hdphoto" Target="media/image85.wdp"/><Relationship Id="rId155" Type="http://schemas.openxmlformats.org/officeDocument/2006/relationships/image" Target="media/image84.png"/><Relationship Id="rId154" Type="http://schemas.microsoft.com/office/2007/relationships/hdphoto" Target="media/image83.wdp"/><Relationship Id="rId153" Type="http://schemas.openxmlformats.org/officeDocument/2006/relationships/image" Target="media/image82.png"/><Relationship Id="rId152" Type="http://schemas.microsoft.com/office/2007/relationships/hdphoto" Target="media/image81.wdp"/><Relationship Id="rId151" Type="http://schemas.openxmlformats.org/officeDocument/2006/relationships/image" Target="media/image80.png"/><Relationship Id="rId150" Type="http://schemas.microsoft.com/office/2007/relationships/hdphoto" Target="media/image79.wdp"/><Relationship Id="rId15" Type="http://schemas.openxmlformats.org/officeDocument/2006/relationships/image" Target="media/image4.png"/><Relationship Id="rId149" Type="http://schemas.openxmlformats.org/officeDocument/2006/relationships/image" Target="media/image78.png"/><Relationship Id="rId148" Type="http://schemas.openxmlformats.org/officeDocument/2006/relationships/image" Target="media/image77.png"/><Relationship Id="rId147" Type="http://schemas.openxmlformats.org/officeDocument/2006/relationships/image" Target="media/image76.emf"/><Relationship Id="rId146" Type="http://schemas.openxmlformats.org/officeDocument/2006/relationships/package" Target="embeddings/Microsoft_Visio___19.vsdx"/><Relationship Id="rId145" Type="http://schemas.openxmlformats.org/officeDocument/2006/relationships/image" Target="media/image75.emf"/><Relationship Id="rId144" Type="http://schemas.openxmlformats.org/officeDocument/2006/relationships/package" Target="embeddings/Microsoft_Visio___18.vsdx"/><Relationship Id="rId143" Type="http://schemas.openxmlformats.org/officeDocument/2006/relationships/image" Target="media/image74.emf"/><Relationship Id="rId142" Type="http://schemas.openxmlformats.org/officeDocument/2006/relationships/package" Target="embeddings/Microsoft_Visio___17.vsdx"/><Relationship Id="rId141" Type="http://schemas.openxmlformats.org/officeDocument/2006/relationships/image" Target="media/image73.emf"/><Relationship Id="rId140" Type="http://schemas.openxmlformats.org/officeDocument/2006/relationships/package" Target="embeddings/Microsoft_Visio___16.vsdx"/><Relationship Id="rId14" Type="http://schemas.openxmlformats.org/officeDocument/2006/relationships/image" Target="media/image3.png"/><Relationship Id="rId139" Type="http://schemas.openxmlformats.org/officeDocument/2006/relationships/image" Target="media/image72.emf"/><Relationship Id="rId138" Type="http://schemas.openxmlformats.org/officeDocument/2006/relationships/package" Target="embeddings/Microsoft_Visio___15.vsdx"/><Relationship Id="rId137" Type="http://schemas.openxmlformats.org/officeDocument/2006/relationships/image" Target="media/image71.emf"/><Relationship Id="rId136" Type="http://schemas.openxmlformats.org/officeDocument/2006/relationships/package" Target="embeddings/Microsoft_Visio___14.vsdx"/><Relationship Id="rId135" Type="http://schemas.openxmlformats.org/officeDocument/2006/relationships/image" Target="media/image70.emf"/><Relationship Id="rId134" Type="http://schemas.openxmlformats.org/officeDocument/2006/relationships/package" Target="embeddings/Microsoft_Visio___13.vsdx"/><Relationship Id="rId133" Type="http://schemas.openxmlformats.org/officeDocument/2006/relationships/image" Target="media/image69.emf"/><Relationship Id="rId132" Type="http://schemas.openxmlformats.org/officeDocument/2006/relationships/package" Target="embeddings/Microsoft_Visio___12.vsdx"/><Relationship Id="rId131" Type="http://schemas.openxmlformats.org/officeDocument/2006/relationships/image" Target="media/image68.wmf"/><Relationship Id="rId130" Type="http://schemas.openxmlformats.org/officeDocument/2006/relationships/oleObject" Target="embeddings/oleObject42.bin"/><Relationship Id="rId13" Type="http://schemas.openxmlformats.org/officeDocument/2006/relationships/image" Target="media/image2.png"/><Relationship Id="rId129" Type="http://schemas.openxmlformats.org/officeDocument/2006/relationships/image" Target="media/image67.wmf"/><Relationship Id="rId128" Type="http://schemas.openxmlformats.org/officeDocument/2006/relationships/oleObject" Target="embeddings/oleObject41.bin"/><Relationship Id="rId127" Type="http://schemas.openxmlformats.org/officeDocument/2006/relationships/image" Target="media/image66.wmf"/><Relationship Id="rId126" Type="http://schemas.openxmlformats.org/officeDocument/2006/relationships/oleObject" Target="embeddings/oleObject40.bin"/><Relationship Id="rId125" Type="http://schemas.openxmlformats.org/officeDocument/2006/relationships/image" Target="media/image65.wmf"/><Relationship Id="rId124" Type="http://schemas.openxmlformats.org/officeDocument/2006/relationships/oleObject" Target="embeddings/oleObject39.bin"/><Relationship Id="rId123" Type="http://schemas.openxmlformats.org/officeDocument/2006/relationships/image" Target="media/image64.wmf"/><Relationship Id="rId122" Type="http://schemas.openxmlformats.org/officeDocument/2006/relationships/oleObject" Target="embeddings/oleObject38.bin"/><Relationship Id="rId121" Type="http://schemas.openxmlformats.org/officeDocument/2006/relationships/image" Target="media/image63.wmf"/><Relationship Id="rId120" Type="http://schemas.openxmlformats.org/officeDocument/2006/relationships/oleObject" Target="embeddings/oleObject37.bin"/><Relationship Id="rId12" Type="http://schemas.openxmlformats.org/officeDocument/2006/relationships/image" Target="media/image1.emf"/><Relationship Id="rId119" Type="http://schemas.openxmlformats.org/officeDocument/2006/relationships/oleObject" Target="embeddings/oleObject36.bin"/><Relationship Id="rId118" Type="http://schemas.openxmlformats.org/officeDocument/2006/relationships/image" Target="media/image62.wmf"/><Relationship Id="rId117" Type="http://schemas.openxmlformats.org/officeDocument/2006/relationships/oleObject" Target="embeddings/oleObject35.bin"/><Relationship Id="rId116" Type="http://schemas.openxmlformats.org/officeDocument/2006/relationships/oleObject" Target="embeddings/oleObject34.bin"/><Relationship Id="rId115" Type="http://schemas.openxmlformats.org/officeDocument/2006/relationships/image" Target="media/image61.wmf"/><Relationship Id="rId114" Type="http://schemas.openxmlformats.org/officeDocument/2006/relationships/oleObject" Target="embeddings/oleObject33.bin"/><Relationship Id="rId113" Type="http://schemas.openxmlformats.org/officeDocument/2006/relationships/image" Target="media/image60.wmf"/><Relationship Id="rId112" Type="http://schemas.openxmlformats.org/officeDocument/2006/relationships/oleObject" Target="embeddings/oleObject32.bin"/><Relationship Id="rId111" Type="http://schemas.openxmlformats.org/officeDocument/2006/relationships/image" Target="media/image59.wmf"/><Relationship Id="rId110" Type="http://schemas.openxmlformats.org/officeDocument/2006/relationships/oleObject" Target="embeddings/oleObject31.bin"/><Relationship Id="rId11" Type="http://schemas.openxmlformats.org/officeDocument/2006/relationships/package" Target="embeddings/Microsoft_Visio___1.vsdx"/><Relationship Id="rId109" Type="http://schemas.openxmlformats.org/officeDocument/2006/relationships/image" Target="media/image58.wmf"/><Relationship Id="rId108" Type="http://schemas.openxmlformats.org/officeDocument/2006/relationships/oleObject" Target="embeddings/oleObject30.bin"/><Relationship Id="rId107" Type="http://schemas.openxmlformats.org/officeDocument/2006/relationships/image" Target="media/image57.wmf"/><Relationship Id="rId106" Type="http://schemas.openxmlformats.org/officeDocument/2006/relationships/oleObject" Target="embeddings/oleObject29.bin"/><Relationship Id="rId105" Type="http://schemas.openxmlformats.org/officeDocument/2006/relationships/image" Target="media/image56.wmf"/><Relationship Id="rId104" Type="http://schemas.openxmlformats.org/officeDocument/2006/relationships/oleObject" Target="embeddings/oleObject28.bin"/><Relationship Id="rId103" Type="http://schemas.openxmlformats.org/officeDocument/2006/relationships/image" Target="media/image55.wmf"/><Relationship Id="rId102" Type="http://schemas.openxmlformats.org/officeDocument/2006/relationships/oleObject" Target="embeddings/oleObject27.bin"/><Relationship Id="rId101" Type="http://schemas.openxmlformats.org/officeDocument/2006/relationships/image" Target="media/image54.wmf"/><Relationship Id="rId100" Type="http://schemas.openxmlformats.org/officeDocument/2006/relationships/oleObject" Target="embeddings/oleObject26.bin"/><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CF30C87-2FF0-43A7-8472-7711A3F60F7B}">
  <ds:schemaRefs/>
</ds:datastoreItem>
</file>

<file path=docProps/app.xml><?xml version="1.0" encoding="utf-8"?>
<Properties xmlns="http://schemas.openxmlformats.org/officeDocument/2006/extended-properties" xmlns:vt="http://schemas.openxmlformats.org/officeDocument/2006/docPropsVTypes">
  <Template>Normal.dotm</Template>
  <Pages>48</Pages>
  <Words>1529</Words>
  <Characters>4454</Characters>
  <Lines>325</Lines>
  <Paragraphs>91</Paragraphs>
  <TotalTime>418</TotalTime>
  <ScaleCrop>false</ScaleCrop>
  <LinksUpToDate>false</LinksUpToDate>
  <CharactersWithSpaces>4987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2025-06-13T01:43:00Z</dcterms:created>
  <dc:creator>刘 大志</dc:creator>
  <cp:lastModifiedBy>13476582179</cp:lastModifiedBy>
  <cp:lastPrinted>2025-06-04T13:25:00Z</cp:lastPrinted>
  <dcterms:modified xsi:type="dcterms:W3CDTF">2026-05-22T15:29:14Z</dcterms:modified>
  <cp:revision>119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GrammarlyDocumentId">
    <vt:lpwstr>003bc1d4e2c9ccc767e7aa0ecc67e030fe7fd4975d2201bf54cc34d874b5377f</vt:lpwstr>
  </property>
  <property fmtid="{D5CDD505-2E9C-101B-9397-08002B2CF9AE}" pid="4" name="MTEquationNumber2">
    <vt:lpwstr>(#S1.#E1)</vt:lpwstr>
  </property>
  <property fmtid="{D5CDD505-2E9C-101B-9397-08002B2CF9AE}" pid="5" name="MTEquationSection">
    <vt:lpwstr>1</vt:lpwstr>
  </property>
  <property fmtid="{D5CDD505-2E9C-101B-9397-08002B2CF9AE}" pid="6" name="MTEqnNumsOnRight">
    <vt:bool>true</vt:bool>
  </property>
  <property fmtid="{D5CDD505-2E9C-101B-9397-08002B2CF9AE}" pid="7" name="ZOTERO_PREF_1">
    <vt:lpwstr>&lt;data data-version="3" zotero-version="7.0.15"&gt;&lt;session id="2AxMpWAD"/&gt;&lt;style id="http://www.zotero.org/styles/china-national-standard-gb-t-7714-2015-numeric" hasBibliography="1" bibliographyStyleHasBeenSet="1"/&gt;&lt;prefs&gt;&lt;pref name="fieldType" value="Field"</vt:lpwstr>
  </property>
  <property fmtid="{D5CDD505-2E9C-101B-9397-08002B2CF9AE}" pid="8" name="ZOTERO_PREF_2">
    <vt:lpwstr>/&gt;&lt;pref name="automaticJournalAbbreviations" value="true"/&gt;&lt;/prefs&gt;&lt;/data&gt;</vt:lpwstr>
  </property>
  <property fmtid="{D5CDD505-2E9C-101B-9397-08002B2CF9AE}" pid="9" name="KSOProductBuildVer">
    <vt:lpwstr>2052-12.1.0.26375</vt:lpwstr>
  </property>
  <property fmtid="{D5CDD505-2E9C-101B-9397-08002B2CF9AE}" pid="10" name="ICV">
    <vt:lpwstr>F3B60A222BD246F48F7C434DB1611258_13</vt:lpwstr>
  </property>
  <property fmtid="{D5CDD505-2E9C-101B-9397-08002B2CF9AE}" pid="11" name="KSOTemplateDocerSaveRecord">
    <vt:lpwstr>eyJoZGlkIjoiZWJkMDZjZWJkNzJjYzUyMzAwOTg4OTIyODc0ODIwOTIiLCJ1c2VySWQiOiI4MTQ2OTIzMDkifQ==</vt:lpwstr>
  </property>
</Properties>
</file>