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54A6"/>
          <w:sz w:val="40"/>
        </w:rPr>
        <w:t>CognaSync</w:t>
      </w:r>
      <w:r>
        <w:rPr>
          <w:rFonts w:ascii="Arial" w:hAnsi="Arial"/>
          <w:b w:val="0"/>
          <w:color w:val="505050"/>
          <w:sz w:val="26"/>
        </w:rPr>
        <w:t xml:space="preserve">  ·  Pre-Visit Intelligence Pilot Proposal</w:t>
      </w:r>
    </w:p>
    <w:p>
      <w:pPr>
        <w:pBdr>
          <w:bottom w:val="single" w:sz="16" w:space="1" w:color="0054A6"/>
        </w:pBdr>
        <w:spacing w:before="40" w:after="160"/>
      </w:pPr>
    </w:p>
    <w:p>
      <w:pPr>
        <w:spacing w:before="0" w:after="280"/>
      </w:pPr>
      <w:r>
        <w:rPr>
          <w:rFonts w:ascii="Arial" w:hAnsi="Arial"/>
          <w:b/>
          <w:color w:val="646464"/>
          <w:sz w:val="19"/>
        </w:rPr>
        <w:t xml:space="preserve">For: </w:t>
      </w:r>
      <w:r>
        <w:rPr>
          <w:rFonts w:ascii="Arial" w:hAnsi="Arial"/>
          <w:b w:val="0"/>
          <w:color w:val="3C3C3C"/>
          <w:sz w:val="19"/>
        </w:rPr>
        <w:t xml:space="preserve">Clinical Operations, [Partner Organization]    </w:t>
      </w:r>
      <w:r>
        <w:rPr>
          <w:rFonts w:ascii="Arial" w:hAnsi="Arial"/>
          <w:b/>
          <w:color w:val="646464"/>
          <w:sz w:val="19"/>
        </w:rPr>
        <w:t xml:space="preserve">From: </w:t>
      </w:r>
      <w:r>
        <w:rPr>
          <w:rFonts w:ascii="Arial" w:hAnsi="Arial"/>
          <w:b w:val="0"/>
          <w:color w:val="3C3C3C"/>
          <w:sz w:val="19"/>
        </w:rPr>
        <w:t xml:space="preserve">Zach Woodward, Founder — CognaSync    </w:t>
      </w:r>
      <w:r>
        <w:rPr>
          <w:rFonts w:ascii="Arial" w:hAnsi="Arial"/>
          <w:b/>
          <w:color w:val="646464"/>
          <w:sz w:val="19"/>
        </w:rPr>
        <w:t xml:space="preserve">Date: </w:t>
      </w:r>
      <w:r>
        <w:rPr>
          <w:rFonts w:ascii="Arial" w:hAnsi="Arial"/>
          <w:b w:val="0"/>
          <w:color w:val="3C3C3C"/>
          <w:sz w:val="19"/>
        </w:rPr>
        <w:t>May 2026</w:t>
      </w:r>
    </w:p>
    <w:p>
      <w:pPr>
        <w:keepNext/>
        <w:spacing w:before="80" w:after="80"/>
      </w:pPr>
      <w:r>
        <w:rPr>
          <w:rFonts w:ascii="Arial" w:hAnsi="Arial"/>
          <w:b/>
          <w:color w:val="0054A6"/>
          <w:sz w:val="24"/>
        </w:rPr>
        <w:t>The Problem This Pilot Addresses</w:t>
      </w:r>
    </w:p>
    <w:p>
      <w:pPr>
        <w:spacing w:before="0" w:after="200"/>
      </w:pPr>
      <w:r>
        <w:rPr>
          <w:rFonts w:ascii="Arial" w:hAnsi="Arial"/>
          <w:b w:val="0"/>
          <w:sz w:val="21"/>
        </w:rPr>
        <w:t>Clinicians in outpatient psychiatric care make prescribing and treatment decisions based on what a patient can recall and articulate in the first ten minutes of a thirty-minute visit. Sleep, mood trajectory, medication adherence, and side-effect patterns are asked about verbally and answered from memory. The result is decisions made on incomplete data — which lengthens time-to-stable-regimen, increases failed medication trials, and raises the cost of care.</w:t>
      </w:r>
    </w:p>
    <w:p>
      <w:pPr>
        <w:pBdr>
          <w:bottom w:val="single" w:sz="6" w:space="1" w:color="CCCCCC"/>
        </w:pBdr>
        <w:spacing w:before="40" w:after="160"/>
      </w:pPr>
    </w:p>
    <w:p>
      <w:pPr>
        <w:keepNext/>
        <w:spacing w:before="280" w:after="80"/>
      </w:pPr>
      <w:r>
        <w:rPr>
          <w:rFonts w:ascii="Arial" w:hAnsi="Arial"/>
          <w:b/>
          <w:color w:val="0054A6"/>
          <w:sz w:val="24"/>
        </w:rPr>
        <w:t>What the Pilot Delivers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 xml:space="preserve">Before each scheduled appointment, every participating provider receives a </w:t>
      </w:r>
      <w:r>
        <w:rPr>
          <w:rFonts w:ascii="Arial" w:hAnsi="Arial"/>
          <w:b/>
          <w:sz w:val="21"/>
        </w:rPr>
        <w:t>Pre-Visit Brief</w:t>
      </w:r>
      <w:r>
        <w:rPr>
          <w:rFonts w:ascii="Arial" w:hAnsi="Arial"/>
          <w:b w:val="0"/>
          <w:sz w:val="21"/>
        </w:rPr>
        <w:t>: a structured, one-page clinical summary of the patient's interval data covering the preceding two to four weeks. Delivered automatically to the provider's workflow before the patient arrives.</w:t>
      </w:r>
    </w:p>
    <w:p>
      <w:pPr>
        <w:spacing w:before="80" w:after="60"/>
      </w:pPr>
      <w:r>
        <w:rPr>
          <w:rFonts w:ascii="Arial" w:hAnsi="Arial"/>
          <w:b w:val="0"/>
          <w:sz w:val="21"/>
        </w:rPr>
        <w:t>The brief covers: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Mood, energy, sleep, and stress trajectory — averages, ranges, trend direction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Medication adherence rate and timing consistency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Notable symptom patterns with co-occurring behavioral signals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Flagged concerns with supporting data points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Two to three suggested discussion topics anchored to the data</w:t>
      </w:r>
    </w:p>
    <w:p>
      <w:pPr>
        <w:spacing w:before="120" w:after="200"/>
      </w:pPr>
      <w:r>
        <w:rPr>
          <w:rFonts w:ascii="Arial" w:hAnsi="Arial"/>
          <w:b w:val="0"/>
          <w:color w:val="505050"/>
          <w:sz w:val="20"/>
        </w:rPr>
        <w:t>Built on CognaSync's clinical safety architecture: deterministic scoring in code before any AI generation, four embedded safety rules (never diagnose, never advise medication changes, describe data not clinical meaning, route crisis signals immediately), and post-processing forbidden-language filtering. Every claim in the brief cites its data source.</w:t>
      </w:r>
    </w:p>
    <w:p>
      <w:pPr>
        <w:pBdr>
          <w:bottom w:val="single" w:sz="6" w:space="1" w:color="CCCCCC"/>
        </w:pBdr>
        <w:spacing w:before="40" w:after="160"/>
      </w:pPr>
    </w:p>
    <w:p>
      <w:pPr>
        <w:keepNext/>
        <w:spacing w:before="280" w:after="80"/>
      </w:pPr>
      <w:r>
        <w:rPr>
          <w:rFonts w:ascii="Arial" w:hAnsi="Arial"/>
          <w:b/>
          <w:color w:val="0054A6"/>
          <w:sz w:val="24"/>
        </w:rPr>
        <w:t>Pilot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7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54A6"/>
                <w:sz w:val="21"/>
              </w:rPr>
              <w:t>Parameters</w:t>
            </w:r>
          </w:p>
          <w:p>
            <w:pPr>
              <w:spacing w:before="20" w:after="60"/>
            </w:pPr>
            <w:r>
              <w:rPr>
                <w:rFonts w:ascii="Arial" w:hAnsi="Arial"/>
                <w:b/>
                <w:color w:val="3C3C3C"/>
                <w:sz w:val="20"/>
              </w:rPr>
              <w:t xml:space="preserve">Duration:  </w:t>
            </w:r>
            <w:r>
              <w:rPr>
                <w:rFonts w:ascii="Arial" w:hAnsi="Arial"/>
                <w:b w:val="0"/>
                <w:sz w:val="20"/>
              </w:rPr>
              <w:t>90 days</w:t>
            </w:r>
          </w:p>
          <w:p>
            <w:pPr>
              <w:spacing w:before="20" w:after="60"/>
            </w:pPr>
            <w:r>
              <w:rPr>
                <w:rFonts w:ascii="Arial" w:hAnsi="Arial"/>
                <w:b/>
                <w:color w:val="3C3C3C"/>
                <w:sz w:val="20"/>
              </w:rPr>
              <w:t xml:space="preserve">Providers:  </w:t>
            </w:r>
            <w:r>
              <w:rPr>
                <w:rFonts w:ascii="Arial" w:hAnsi="Arial"/>
                <w:b w:val="0"/>
                <w:sz w:val="20"/>
              </w:rPr>
              <w:t>5–10 clinicians</w:t>
            </w:r>
          </w:p>
          <w:p>
            <w:pPr>
              <w:spacing w:before="20" w:after="60"/>
            </w:pPr>
            <w:r>
              <w:rPr>
                <w:rFonts w:ascii="Arial" w:hAnsi="Arial"/>
                <w:b/>
                <w:color w:val="3C3C3C"/>
                <w:sz w:val="20"/>
              </w:rPr>
              <w:t xml:space="preserve">Patients:  </w:t>
            </w:r>
            <w:r>
              <w:rPr>
                <w:rFonts w:ascii="Arial" w:hAnsi="Arial"/>
                <w:b w:val="0"/>
                <w:sz w:val="20"/>
              </w:rPr>
              <w:t>50–150 active outpatients</w:t>
            </w:r>
          </w:p>
          <w:p>
            <w:pPr>
              <w:spacing w:before="20" w:after="60"/>
            </w:pPr>
            <w:r>
              <w:rPr>
                <w:rFonts w:ascii="Arial" w:hAnsi="Arial"/>
                <w:b/>
                <w:color w:val="3C3C3C"/>
                <w:sz w:val="20"/>
              </w:rPr>
              <w:t xml:space="preserve">Data inputs:  </w:t>
            </w:r>
            <w:r>
              <w:rPr>
                <w:rFonts w:ascii="Arial" w:hAnsi="Arial"/>
                <w:b w:val="0"/>
                <w:sz w:val="20"/>
              </w:rPr>
              <w:t>Patient check-ins (5 min, 2×/week)</w:t>
              <w:br/>
              <w:t>Medication records where accessible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54A6"/>
                <w:sz w:val="21"/>
              </w:rPr>
              <w:t>CognaSync Provides</w:t>
            </w:r>
          </w:p>
          <w:p>
            <w:pPr>
              <w:spacing w:before="2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· Configured platform — provider dashboard + patient mobile app</w:t>
            </w:r>
          </w:p>
          <w:p>
            <w:pPr>
              <w:spacing w:before="2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· Provider onboarding (1 session, 60 minutes)</w:t>
            </w:r>
          </w:p>
          <w:p>
            <w:pPr>
              <w:spacing w:before="2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· Pre-visit briefs before every scheduled appointment</w:t>
            </w:r>
          </w:p>
          <w:p>
            <w:pPr>
              <w:spacing w:before="2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· Technical support throughout the pilot</w:t>
            </w:r>
          </w:p>
          <w:p>
            <w:pPr>
              <w:spacing w:before="2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· 90-day outcomes analysis report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/>
          <w:b/>
          <w:color w:val="0054A6"/>
          <w:sz w:val="21"/>
        </w:rPr>
        <w:t>Partner Organization Provides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5–10 clinicians willing to review briefs and provide structured feedback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Patient cohort with scheduled outpatient psychiatric appointments during the pilot window</w:t>
      </w:r>
    </w:p>
    <w:p>
      <w:pPr>
        <w:pStyle w:val="ListBullet"/>
        <w:spacing w:before="0" w:after="60"/>
        <w:ind w:left="432"/>
      </w:pPr>
      <w:r>
        <w:rPr>
          <w:rFonts w:ascii="Arial" w:hAnsi="Arial"/>
          <w:b w:val="0"/>
          <w:sz w:val="21"/>
        </w:rPr>
        <w:t>Access to aggregate outcome proxies at close: provider utility ratings, documentation time delta, appointment utilization data where available</w:t>
      </w:r>
    </w:p>
    <w:p>
      <w:pPr>
        <w:spacing w:after="80"/>
      </w:pPr>
    </w:p>
    <w:p>
      <w:pPr>
        <w:pBdr>
          <w:bottom w:val="single" w:sz="6" w:space="1" w:color="CCCCCC"/>
        </w:pBdr>
        <w:spacing w:before="40" w:after="160"/>
      </w:pPr>
    </w:p>
    <w:p>
      <w:pPr>
        <w:keepNext/>
        <w:spacing w:before="280" w:after="80"/>
      </w:pPr>
      <w:r>
        <w:rPr>
          <w:rFonts w:ascii="Arial" w:hAnsi="Arial"/>
          <w:b/>
          <w:color w:val="0054A6"/>
          <w:sz w:val="24"/>
        </w:rP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4680"/>
            <w:shd w:val="clear" w:color="auto" w:fill="E8F0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E8F0F9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Target at 90 days</w:t>
            </w:r>
          </w:p>
        </w:tc>
      </w:tr>
      <w:tr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Provider brief utility rating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≥ 4.0 / 5.0 average</w:t>
            </w:r>
          </w:p>
        </w:tc>
      </w:tr>
      <w:tr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Briefs reviewed before appointment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≥ 70% opened pre-visit</w:t>
            </w:r>
          </w:p>
        </w:tc>
      </w:tr>
      <w:tr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Provider-reported documentation time saved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≥ 8 minutes per encounter</w:t>
            </w:r>
          </w:p>
        </w:tc>
      </w:tr>
      <w:tr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Safety incidents attributable to the brief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Zero</w:t>
            </w:r>
          </w:p>
        </w:tc>
      </w:tr>
      <w:tr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Provider willingness to continue post-pilot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≥ 80% of participating clinicians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Arial" w:hAnsi="Arial"/>
          <w:b w:val="0"/>
          <w:color w:val="505050"/>
          <w:sz w:val="20"/>
        </w:rPr>
        <w:t>The primary test: do providers find the brief useful enough to open it before appointments, and does it surface information that changes what they ask in the first ten minutes of the visit.</w:t>
      </w:r>
    </w:p>
    <w:p>
      <w:pPr>
        <w:pBdr>
          <w:bottom w:val="single" w:sz="6" w:space="1" w:color="CCCCCC"/>
        </w:pBdr>
        <w:spacing w:before="40" w:after="160"/>
      </w:pPr>
    </w:p>
    <w:p>
      <w:pPr>
        <w:keepNext/>
        <w:spacing w:before="280" w:after="80"/>
      </w:pPr>
      <w:r>
        <w:rPr>
          <w:rFonts w:ascii="Arial" w:hAnsi="Arial"/>
          <w:b/>
          <w:color w:val="0054A6"/>
          <w:sz w:val="24"/>
        </w:rPr>
        <w:t>After the Pilot</w:t>
      </w:r>
    </w:p>
    <w:p>
      <w:pPr>
        <w:spacing w:before="0" w:after="200"/>
      </w:pPr>
      <w:r>
        <w:rPr>
          <w:rFonts w:ascii="Arial" w:hAnsi="Arial"/>
          <w:b w:val="0"/>
          <w:sz w:val="21"/>
        </w:rPr>
        <w:t>If success metrics are met, the conversation shifts to full deployment: per-clinician monthly fee, integration with the partner's existing EHR or care management platform, and expanded data inputs (pharmacy refill data, wearable signals where consented). A signed pilot is the precondition for that conversation — not a commitment to it. If metrics are not met, CognaSync owns the analysis of why and what changes. The partner organization's obligation ends at 90 days.</w:t>
      </w:r>
    </w:p>
    <w:p>
      <w:pPr>
        <w:pBdr>
          <w:bottom w:val="single" w:sz="10" w:space="1" w:color="0054A6"/>
        </w:pBdr>
        <w:spacing w:before="40" w:after="160"/>
      </w:pPr>
    </w:p>
    <w:p>
      <w:pPr>
        <w:spacing w:before="120" w:after="0"/>
      </w:pPr>
      <w:r>
        <w:rPr>
          <w:rFonts w:ascii="Arial" w:hAnsi="Arial"/>
          <w:b/>
          <w:color w:val="0054A6"/>
          <w:sz w:val="22"/>
        </w:rPr>
        <w:t xml:space="preserve">Next step: </w:t>
      </w:r>
      <w:r>
        <w:rPr>
          <w:rFonts w:ascii="Arial" w:hAnsi="Arial"/>
          <w:b w:val="0"/>
          <w:sz w:val="22"/>
        </w:rPr>
        <w:t>A 30-minute call to confirm fit — patient population size, provider availability, and what data access looks like on your side. Everything else can be handled in writing.</w:t>
      </w:r>
    </w:p>
    <w:p>
      <w:pPr>
        <w:spacing w:before="120" w:after="0"/>
      </w:pPr>
      <w:r>
        <w:rPr>
          <w:rFonts w:ascii="Arial" w:hAnsi="Arial"/>
          <w:b/>
          <w:sz w:val="22"/>
        </w:rPr>
        <w:t xml:space="preserve">Zach Woodward  </w:t>
      </w:r>
      <w:r>
        <w:rPr>
          <w:rFonts w:ascii="Arial" w:hAnsi="Arial"/>
          <w:b w:val="0"/>
          <w:color w:val="0054A6"/>
          <w:sz w:val="22"/>
        </w:rPr>
        <w:t>z.woodward34@gmail.com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