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E0FFB" w14:textId="77777777" w:rsidR="00AF5011" w:rsidRDefault="00AF5011" w:rsidP="00AF501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 w:rsidRPr="00AF5011">
        <w:rPr>
          <w:rFonts w:ascii="Times" w:hAnsi="Times" w:cs="Times"/>
          <w:sz w:val="22"/>
          <w:szCs w:val="22"/>
        </w:rPr>
        <w:t>Write one or two paragraphs analyzing</w:t>
      </w:r>
      <w:r>
        <w:rPr>
          <w:rFonts w:ascii="Times" w:hAnsi="Times" w:cs="Times"/>
          <w:sz w:val="22"/>
          <w:szCs w:val="22"/>
        </w:rPr>
        <w:t xml:space="preserve"> the results of the experi</w:t>
      </w:r>
      <w:r w:rsidRPr="00AF5011">
        <w:rPr>
          <w:rFonts w:ascii="Times" w:hAnsi="Times" w:cs="Times"/>
          <w:sz w:val="22"/>
          <w:szCs w:val="22"/>
        </w:rPr>
        <w:t xml:space="preserve">ments (specifically, how does the average number of steps required scale with the size of the pile, and how is it related to the depth used to scan the pile). </w:t>
      </w:r>
    </w:p>
    <w:p w14:paraId="38B7B892" w14:textId="77777777" w:rsidR="00AF5011" w:rsidRDefault="00AF5011" w:rsidP="00AF501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Suppose there are n papers in the pile. </w:t>
      </w:r>
    </w:p>
    <w:p w14:paraId="5625D289" w14:textId="75B32D84" w:rsidR="00784758" w:rsidRDefault="00AF5011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When the depth is m, which is n/(n/m)</w:t>
      </w:r>
      <w:r w:rsidR="00D60658">
        <w:rPr>
          <w:rFonts w:ascii="Times" w:hAnsi="Times" w:cs="Times"/>
          <w:sz w:val="22"/>
          <w:szCs w:val="22"/>
        </w:rPr>
        <w:t>:</w:t>
      </w:r>
    </w:p>
    <w:p w14:paraId="01D39B7D" w14:textId="0BB640F8" w:rsidR="00615ED3" w:rsidRDefault="00615ED3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The first M require averagely: (1 + 2 + 3 + … + n/m) * (n/m) steps</w:t>
      </w:r>
    </w:p>
    <w:p w14:paraId="37CABE39" w14:textId="77F06CD3" w:rsidR="005703BA" w:rsidRDefault="005703BA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So:</w:t>
      </w:r>
    </w:p>
    <w:p w14:paraId="5D8BCC9E" w14:textId="0FD9190F" w:rsidR="005703BA" w:rsidRDefault="005703BA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16A301EF" wp14:editId="3EF1E9F3">
            <wp:extent cx="5943600" cy="3787140"/>
            <wp:effectExtent l="0" t="0" r="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5735ADE0" w14:textId="130E5DA1" w:rsidR="005703BA" w:rsidRDefault="005703BA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2A9A45" wp14:editId="19CF63D4">
            <wp:extent cx="5995035" cy="3190240"/>
            <wp:effectExtent l="0" t="0" r="24765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C59EA0" w14:textId="54F5D3D6" w:rsidR="004C4A1D" w:rsidRDefault="007012FC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 w:rsidRPr="007012FC">
        <w:rPr>
          <w:rFonts w:ascii="Times" w:hAnsi="Times" w:cs="Times"/>
          <w:sz w:val="22"/>
          <w:szCs w:val="22"/>
        </w:rPr>
        <w:drawing>
          <wp:inline distT="0" distB="0" distL="0" distR="0" wp14:anchorId="75CCAE01" wp14:editId="2A65D665">
            <wp:extent cx="5943600" cy="103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BC1" w14:textId="0FD25AE7" w:rsidR="004C4A1D" w:rsidRPr="00D60658" w:rsidRDefault="00237849" w:rsidP="00D606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 w:rsidRPr="00237849">
        <w:rPr>
          <w:rFonts w:ascii="Times" w:hAnsi="Times" w:cs="Times"/>
          <w:sz w:val="22"/>
          <w:szCs w:val="22"/>
        </w:rPr>
        <w:drawing>
          <wp:inline distT="0" distB="0" distL="0" distR="0" wp14:anchorId="13F60439" wp14:editId="4793F83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A1D" w:rsidRPr="00D60658" w:rsidSect="001247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11"/>
    <w:rsid w:val="00237849"/>
    <w:rsid w:val="004C4A1D"/>
    <w:rsid w:val="005703BA"/>
    <w:rsid w:val="00615ED3"/>
    <w:rsid w:val="007012FC"/>
    <w:rsid w:val="00784758"/>
    <w:rsid w:val="008F5FC4"/>
    <w:rsid w:val="00AF5011"/>
    <w:rsid w:val="00D60658"/>
    <w:rsid w:val="00D710F4"/>
    <w:rsid w:val="00D9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7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zw/code/COSC241/assignment_1/result_summ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zw/code/COSC241/assignment_1/result_summ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number of needed steps as the depth increases(fron 1 to 20), data simpling averagely from 100 pile with 100 paper in each pile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Sheet1!$B$1:$B$20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</c:numCache>
            </c:numRef>
          </c:cat>
          <c:val>
            <c:numRef>
              <c:f>Sheet1!$C$1:$C$20</c:f>
              <c:numCache>
                <c:formatCode>General</c:formatCode>
                <c:ptCount val="20"/>
                <c:pt idx="0">
                  <c:v>2573.0</c:v>
                </c:pt>
                <c:pt idx="1">
                  <c:v>1307.0</c:v>
                </c:pt>
                <c:pt idx="2">
                  <c:v>901.0</c:v>
                </c:pt>
                <c:pt idx="3">
                  <c:v>687.0</c:v>
                </c:pt>
                <c:pt idx="4">
                  <c:v>551.0</c:v>
                </c:pt>
                <c:pt idx="5">
                  <c:v>469.0</c:v>
                </c:pt>
                <c:pt idx="6">
                  <c:v>414.0</c:v>
                </c:pt>
                <c:pt idx="7">
                  <c:v>369.0</c:v>
                </c:pt>
                <c:pt idx="8">
                  <c:v>334.0</c:v>
                </c:pt>
                <c:pt idx="9">
                  <c:v>308.0</c:v>
                </c:pt>
                <c:pt idx="10">
                  <c:v>285.0</c:v>
                </c:pt>
                <c:pt idx="11">
                  <c:v>265.0</c:v>
                </c:pt>
                <c:pt idx="12">
                  <c:v>252.0</c:v>
                </c:pt>
                <c:pt idx="13">
                  <c:v>235.0</c:v>
                </c:pt>
                <c:pt idx="14">
                  <c:v>225.0</c:v>
                </c:pt>
                <c:pt idx="15">
                  <c:v>212.0</c:v>
                </c:pt>
                <c:pt idx="16">
                  <c:v>204.0</c:v>
                </c:pt>
                <c:pt idx="17">
                  <c:v>196.0</c:v>
                </c:pt>
                <c:pt idx="18">
                  <c:v>190.0</c:v>
                </c:pt>
                <c:pt idx="19">
                  <c:v>181.0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76157072"/>
        <c:axId val="-2146412768"/>
      </c:lineChart>
      <c:catAx>
        <c:axId val="-207615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412768"/>
        <c:crosses val="autoZero"/>
        <c:auto val="1"/>
        <c:lblAlgn val="ctr"/>
        <c:lblOffset val="100"/>
        <c:noMultiLvlLbl val="0"/>
      </c:catAx>
      <c:valAx>
        <c:axId val="-214641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15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The steps need as the number of papers in pile increases from 10 to 100</a:t>
            </a:r>
          </a:p>
          <a:p>
            <a:pPr>
              <a:defRPr sz="800"/>
            </a:pPr>
            <a:r>
              <a:rPr lang="en-US" sz="800"/>
              <a:t>Difference color represent the depth ranged from 1 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depth=1</c:v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Sheet3!$B$1:$B$46</c:f>
              <c:numCache>
                <c:formatCode>General</c:formatCode>
                <c:ptCount val="46"/>
                <c:pt idx="0">
                  <c:v>32.0</c:v>
                </c:pt>
                <c:pt idx="1">
                  <c:v>45.0</c:v>
                </c:pt>
                <c:pt idx="2">
                  <c:v>58.0</c:v>
                </c:pt>
                <c:pt idx="3">
                  <c:v>75.0</c:v>
                </c:pt>
                <c:pt idx="4">
                  <c:v>95.0</c:v>
                </c:pt>
                <c:pt idx="5">
                  <c:v>111.0</c:v>
                </c:pt>
                <c:pt idx="6">
                  <c:v>139.0</c:v>
                </c:pt>
                <c:pt idx="7">
                  <c:v>160.0</c:v>
                </c:pt>
                <c:pt idx="8">
                  <c:v>188.0</c:v>
                </c:pt>
                <c:pt idx="9">
                  <c:v>217.0</c:v>
                </c:pt>
                <c:pt idx="10">
                  <c:v>243.0</c:v>
                </c:pt>
                <c:pt idx="11">
                  <c:v>280.0</c:v>
                </c:pt>
                <c:pt idx="12">
                  <c:v>306.0</c:v>
                </c:pt>
                <c:pt idx="13">
                  <c:v>351.0</c:v>
                </c:pt>
                <c:pt idx="14">
                  <c:v>384.0</c:v>
                </c:pt>
                <c:pt idx="15">
                  <c:v>428.0</c:v>
                </c:pt>
                <c:pt idx="16">
                  <c:v>472.0</c:v>
                </c:pt>
                <c:pt idx="17">
                  <c:v>515.0</c:v>
                </c:pt>
                <c:pt idx="18">
                  <c:v>563.0</c:v>
                </c:pt>
                <c:pt idx="19">
                  <c:v>616.0</c:v>
                </c:pt>
                <c:pt idx="20">
                  <c:v>671.0</c:v>
                </c:pt>
                <c:pt idx="21">
                  <c:v>722.0</c:v>
                </c:pt>
                <c:pt idx="22">
                  <c:v>771.0</c:v>
                </c:pt>
                <c:pt idx="23">
                  <c:v>833.0</c:v>
                </c:pt>
                <c:pt idx="24">
                  <c:v>890.0</c:v>
                </c:pt>
                <c:pt idx="25">
                  <c:v>930.0</c:v>
                </c:pt>
                <c:pt idx="26">
                  <c:v>1012.0</c:v>
                </c:pt>
                <c:pt idx="27">
                  <c:v>1063.0</c:v>
                </c:pt>
                <c:pt idx="28">
                  <c:v>1117.0</c:v>
                </c:pt>
                <c:pt idx="29">
                  <c:v>1206.0</c:v>
                </c:pt>
                <c:pt idx="30">
                  <c:v>1285.0</c:v>
                </c:pt>
                <c:pt idx="31">
                  <c:v>1347.0</c:v>
                </c:pt>
                <c:pt idx="32">
                  <c:v>1420.0</c:v>
                </c:pt>
                <c:pt idx="33">
                  <c:v>1516.0</c:v>
                </c:pt>
                <c:pt idx="34">
                  <c:v>1555.0</c:v>
                </c:pt>
                <c:pt idx="35">
                  <c:v>1667.0</c:v>
                </c:pt>
                <c:pt idx="36">
                  <c:v>1736.0</c:v>
                </c:pt>
                <c:pt idx="37">
                  <c:v>1817.0</c:v>
                </c:pt>
                <c:pt idx="38">
                  <c:v>1905.0</c:v>
                </c:pt>
                <c:pt idx="39">
                  <c:v>2003.0</c:v>
                </c:pt>
                <c:pt idx="40">
                  <c:v>2093.0</c:v>
                </c:pt>
                <c:pt idx="41">
                  <c:v>2190.0</c:v>
                </c:pt>
                <c:pt idx="42">
                  <c:v>2268.0</c:v>
                </c:pt>
                <c:pt idx="43">
                  <c:v>2376.0</c:v>
                </c:pt>
                <c:pt idx="44">
                  <c:v>2473.0</c:v>
                </c:pt>
                <c:pt idx="45">
                  <c:v>2599.0</c:v>
                </c:pt>
              </c:numCache>
            </c:numRef>
          </c:yVal>
          <c:smooth val="0"/>
        </c:ser>
        <c:ser>
          <c:idx val="1"/>
          <c:order val="1"/>
          <c:tx>
            <c:v>depth=2</c:v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Sheet3!$C$1:$C$46</c:f>
              <c:numCache>
                <c:formatCode>General</c:formatCode>
                <c:ptCount val="46"/>
                <c:pt idx="0">
                  <c:v>18.0</c:v>
                </c:pt>
                <c:pt idx="1">
                  <c:v>24.0</c:v>
                </c:pt>
                <c:pt idx="2">
                  <c:v>32.0</c:v>
                </c:pt>
                <c:pt idx="3">
                  <c:v>42.0</c:v>
                </c:pt>
                <c:pt idx="4">
                  <c:v>53.0</c:v>
                </c:pt>
                <c:pt idx="5">
                  <c:v>62.0</c:v>
                </c:pt>
                <c:pt idx="6">
                  <c:v>75.0</c:v>
                </c:pt>
                <c:pt idx="7">
                  <c:v>87.0</c:v>
                </c:pt>
                <c:pt idx="8">
                  <c:v>102.0</c:v>
                </c:pt>
                <c:pt idx="9">
                  <c:v>116.0</c:v>
                </c:pt>
                <c:pt idx="10">
                  <c:v>130.0</c:v>
                </c:pt>
                <c:pt idx="11">
                  <c:v>148.0</c:v>
                </c:pt>
                <c:pt idx="12">
                  <c:v>165.0</c:v>
                </c:pt>
                <c:pt idx="13">
                  <c:v>185.0</c:v>
                </c:pt>
                <c:pt idx="14">
                  <c:v>202.0</c:v>
                </c:pt>
                <c:pt idx="15">
                  <c:v>225.0</c:v>
                </c:pt>
                <c:pt idx="16">
                  <c:v>247.0</c:v>
                </c:pt>
                <c:pt idx="17">
                  <c:v>272.0</c:v>
                </c:pt>
                <c:pt idx="18">
                  <c:v>294.0</c:v>
                </c:pt>
                <c:pt idx="19">
                  <c:v>317.0</c:v>
                </c:pt>
                <c:pt idx="20">
                  <c:v>351.0</c:v>
                </c:pt>
                <c:pt idx="21">
                  <c:v>372.0</c:v>
                </c:pt>
                <c:pt idx="22">
                  <c:v>401.0</c:v>
                </c:pt>
                <c:pt idx="23">
                  <c:v>430.0</c:v>
                </c:pt>
                <c:pt idx="24">
                  <c:v>457.0</c:v>
                </c:pt>
                <c:pt idx="25">
                  <c:v>486.0</c:v>
                </c:pt>
                <c:pt idx="26">
                  <c:v>521.0</c:v>
                </c:pt>
                <c:pt idx="27">
                  <c:v>555.0</c:v>
                </c:pt>
                <c:pt idx="28">
                  <c:v>588.0</c:v>
                </c:pt>
                <c:pt idx="29">
                  <c:v>628.0</c:v>
                </c:pt>
                <c:pt idx="30">
                  <c:v>663.0</c:v>
                </c:pt>
                <c:pt idx="31">
                  <c:v>690.0</c:v>
                </c:pt>
                <c:pt idx="32">
                  <c:v>734.0</c:v>
                </c:pt>
                <c:pt idx="33">
                  <c:v>770.0</c:v>
                </c:pt>
                <c:pt idx="34">
                  <c:v>815.0</c:v>
                </c:pt>
                <c:pt idx="35">
                  <c:v>854.0</c:v>
                </c:pt>
                <c:pt idx="36">
                  <c:v>904.0</c:v>
                </c:pt>
                <c:pt idx="37">
                  <c:v>943.0</c:v>
                </c:pt>
                <c:pt idx="38">
                  <c:v>983.0</c:v>
                </c:pt>
                <c:pt idx="39">
                  <c:v>1019.0</c:v>
                </c:pt>
                <c:pt idx="40">
                  <c:v>1062.0</c:v>
                </c:pt>
                <c:pt idx="41">
                  <c:v>1133.0</c:v>
                </c:pt>
                <c:pt idx="42">
                  <c:v>1180.0</c:v>
                </c:pt>
                <c:pt idx="43">
                  <c:v>1220.0</c:v>
                </c:pt>
                <c:pt idx="44">
                  <c:v>1261.0</c:v>
                </c:pt>
                <c:pt idx="45">
                  <c:v>1307.0</c:v>
                </c:pt>
              </c:numCache>
            </c:numRef>
          </c:yVal>
          <c:smooth val="0"/>
        </c:ser>
        <c:ser>
          <c:idx val="2"/>
          <c:order val="2"/>
          <c:tx>
            <c:v>depth=3</c:v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Sheet3!$D$1:$D$46</c:f>
              <c:numCache>
                <c:formatCode>General</c:formatCode>
                <c:ptCount val="46"/>
                <c:pt idx="0">
                  <c:v>14.0</c:v>
                </c:pt>
                <c:pt idx="1">
                  <c:v>19.0</c:v>
                </c:pt>
                <c:pt idx="2">
                  <c:v>25.0</c:v>
                </c:pt>
                <c:pt idx="3">
                  <c:v>32.0</c:v>
                </c:pt>
                <c:pt idx="4">
                  <c:v>36.0</c:v>
                </c:pt>
                <c:pt idx="5">
                  <c:v>45.0</c:v>
                </c:pt>
                <c:pt idx="6">
                  <c:v>54.0</c:v>
                </c:pt>
                <c:pt idx="7">
                  <c:v>62.0</c:v>
                </c:pt>
                <c:pt idx="8">
                  <c:v>72.0</c:v>
                </c:pt>
                <c:pt idx="9">
                  <c:v>83.0</c:v>
                </c:pt>
                <c:pt idx="10">
                  <c:v>94.0</c:v>
                </c:pt>
                <c:pt idx="11">
                  <c:v>104.0</c:v>
                </c:pt>
                <c:pt idx="12">
                  <c:v>116.0</c:v>
                </c:pt>
                <c:pt idx="13">
                  <c:v>130.0</c:v>
                </c:pt>
                <c:pt idx="14">
                  <c:v>143.0</c:v>
                </c:pt>
                <c:pt idx="15">
                  <c:v>158.0</c:v>
                </c:pt>
                <c:pt idx="16">
                  <c:v>170.0</c:v>
                </c:pt>
                <c:pt idx="17">
                  <c:v>189.0</c:v>
                </c:pt>
                <c:pt idx="18">
                  <c:v>206.0</c:v>
                </c:pt>
                <c:pt idx="19">
                  <c:v>224.0</c:v>
                </c:pt>
                <c:pt idx="20">
                  <c:v>238.0</c:v>
                </c:pt>
                <c:pt idx="21">
                  <c:v>258.0</c:v>
                </c:pt>
                <c:pt idx="22">
                  <c:v>273.0</c:v>
                </c:pt>
                <c:pt idx="23">
                  <c:v>299.0</c:v>
                </c:pt>
                <c:pt idx="24">
                  <c:v>313.0</c:v>
                </c:pt>
                <c:pt idx="25">
                  <c:v>335.0</c:v>
                </c:pt>
                <c:pt idx="26">
                  <c:v>360.0</c:v>
                </c:pt>
                <c:pt idx="27">
                  <c:v>377.0</c:v>
                </c:pt>
                <c:pt idx="28">
                  <c:v>396.0</c:v>
                </c:pt>
                <c:pt idx="29">
                  <c:v>427.0</c:v>
                </c:pt>
                <c:pt idx="30">
                  <c:v>449.0</c:v>
                </c:pt>
                <c:pt idx="31">
                  <c:v>473.0</c:v>
                </c:pt>
                <c:pt idx="32">
                  <c:v>500.0</c:v>
                </c:pt>
                <c:pt idx="33">
                  <c:v>526.0</c:v>
                </c:pt>
                <c:pt idx="34">
                  <c:v>550.0</c:v>
                </c:pt>
                <c:pt idx="35">
                  <c:v>588.0</c:v>
                </c:pt>
                <c:pt idx="36">
                  <c:v>605.0</c:v>
                </c:pt>
                <c:pt idx="37">
                  <c:v>637.0</c:v>
                </c:pt>
                <c:pt idx="38">
                  <c:v>669.0</c:v>
                </c:pt>
                <c:pt idx="39">
                  <c:v>703.0</c:v>
                </c:pt>
                <c:pt idx="40">
                  <c:v>733.0</c:v>
                </c:pt>
                <c:pt idx="41">
                  <c:v>756.0</c:v>
                </c:pt>
                <c:pt idx="42">
                  <c:v>793.0</c:v>
                </c:pt>
                <c:pt idx="43">
                  <c:v>821.0</c:v>
                </c:pt>
                <c:pt idx="44">
                  <c:v>856.0</c:v>
                </c:pt>
                <c:pt idx="45">
                  <c:v>894.0</c:v>
                </c:pt>
              </c:numCache>
            </c:numRef>
          </c:yVal>
          <c:smooth val="0"/>
        </c:ser>
        <c:ser>
          <c:idx val="3"/>
          <c:order val="3"/>
          <c:tx>
            <c:v>depth=4</c:v>
          </c:tx>
          <c:spPr>
            <a:ln w="28575">
              <a:solidFill>
                <a:schemeClr val="accent4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Sheet3!$E$1:$E$46</c:f>
              <c:numCache>
                <c:formatCode>General</c:formatCode>
                <c:ptCount val="46"/>
                <c:pt idx="0">
                  <c:v>13.0</c:v>
                </c:pt>
                <c:pt idx="1">
                  <c:v>16.0</c:v>
                </c:pt>
                <c:pt idx="2">
                  <c:v>21.0</c:v>
                </c:pt>
                <c:pt idx="3">
                  <c:v>26.0</c:v>
                </c:pt>
                <c:pt idx="4">
                  <c:v>31.0</c:v>
                </c:pt>
                <c:pt idx="5">
                  <c:v>37.0</c:v>
                </c:pt>
                <c:pt idx="6">
                  <c:v>44.0</c:v>
                </c:pt>
                <c:pt idx="7">
                  <c:v>50.0</c:v>
                </c:pt>
                <c:pt idx="8">
                  <c:v>58.0</c:v>
                </c:pt>
                <c:pt idx="9">
                  <c:v>65.0</c:v>
                </c:pt>
                <c:pt idx="10">
                  <c:v>74.0</c:v>
                </c:pt>
                <c:pt idx="11">
                  <c:v>81.0</c:v>
                </c:pt>
                <c:pt idx="12">
                  <c:v>93.0</c:v>
                </c:pt>
                <c:pt idx="13">
                  <c:v>102.0</c:v>
                </c:pt>
                <c:pt idx="14">
                  <c:v>112.0</c:v>
                </c:pt>
                <c:pt idx="15">
                  <c:v>123.0</c:v>
                </c:pt>
                <c:pt idx="16">
                  <c:v>136.0</c:v>
                </c:pt>
                <c:pt idx="17">
                  <c:v>148.0</c:v>
                </c:pt>
                <c:pt idx="18">
                  <c:v>160.0</c:v>
                </c:pt>
                <c:pt idx="19">
                  <c:v>172.0</c:v>
                </c:pt>
                <c:pt idx="20">
                  <c:v>184.0</c:v>
                </c:pt>
                <c:pt idx="21">
                  <c:v>197.0</c:v>
                </c:pt>
                <c:pt idx="22">
                  <c:v>213.0</c:v>
                </c:pt>
                <c:pt idx="23">
                  <c:v>230.0</c:v>
                </c:pt>
                <c:pt idx="24">
                  <c:v>242.0</c:v>
                </c:pt>
                <c:pt idx="25">
                  <c:v>264.0</c:v>
                </c:pt>
                <c:pt idx="26">
                  <c:v>276.0</c:v>
                </c:pt>
                <c:pt idx="27">
                  <c:v>294.0</c:v>
                </c:pt>
                <c:pt idx="28">
                  <c:v>308.0</c:v>
                </c:pt>
                <c:pt idx="29">
                  <c:v>330.0</c:v>
                </c:pt>
                <c:pt idx="30">
                  <c:v>346.0</c:v>
                </c:pt>
                <c:pt idx="31">
                  <c:v>365.0</c:v>
                </c:pt>
                <c:pt idx="32">
                  <c:v>383.0</c:v>
                </c:pt>
                <c:pt idx="33">
                  <c:v>407.0</c:v>
                </c:pt>
                <c:pt idx="34">
                  <c:v>422.0</c:v>
                </c:pt>
                <c:pt idx="35">
                  <c:v>447.0</c:v>
                </c:pt>
                <c:pt idx="36">
                  <c:v>459.0</c:v>
                </c:pt>
                <c:pt idx="37">
                  <c:v>491.0</c:v>
                </c:pt>
                <c:pt idx="38">
                  <c:v>516.0</c:v>
                </c:pt>
                <c:pt idx="39">
                  <c:v>533.0</c:v>
                </c:pt>
                <c:pt idx="40">
                  <c:v>557.0</c:v>
                </c:pt>
                <c:pt idx="41">
                  <c:v>582.0</c:v>
                </c:pt>
                <c:pt idx="42">
                  <c:v>604.0</c:v>
                </c:pt>
                <c:pt idx="43">
                  <c:v>631.0</c:v>
                </c:pt>
                <c:pt idx="44">
                  <c:v>656.0</c:v>
                </c:pt>
                <c:pt idx="45">
                  <c:v>678.0</c:v>
                </c:pt>
              </c:numCache>
            </c:numRef>
          </c:yVal>
          <c:smooth val="0"/>
        </c:ser>
        <c:ser>
          <c:idx val="4"/>
          <c:order val="4"/>
          <c:tx>
            <c:v>depth=5</c:v>
          </c:tx>
          <c:spPr>
            <a:ln w="28575">
              <a:solidFill>
                <a:schemeClr val="accent5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Sheet3!$A$1:$A$46</c:f>
              <c:numCache>
                <c:formatCode>General</c:formatCode>
                <c:ptCount val="46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  <c:pt idx="21">
                  <c:v>52.0</c:v>
                </c:pt>
                <c:pt idx="22">
                  <c:v>54.0</c:v>
                </c:pt>
                <c:pt idx="23">
                  <c:v>56.0</c:v>
                </c:pt>
                <c:pt idx="24">
                  <c:v>58.0</c:v>
                </c:pt>
                <c:pt idx="25">
                  <c:v>60.0</c:v>
                </c:pt>
                <c:pt idx="26">
                  <c:v>62.0</c:v>
                </c:pt>
                <c:pt idx="27">
                  <c:v>64.0</c:v>
                </c:pt>
                <c:pt idx="28">
                  <c:v>66.0</c:v>
                </c:pt>
                <c:pt idx="29">
                  <c:v>68.0</c:v>
                </c:pt>
                <c:pt idx="30">
                  <c:v>70.0</c:v>
                </c:pt>
                <c:pt idx="31">
                  <c:v>72.0</c:v>
                </c:pt>
                <c:pt idx="32">
                  <c:v>74.0</c:v>
                </c:pt>
                <c:pt idx="33">
                  <c:v>76.0</c:v>
                </c:pt>
                <c:pt idx="34">
                  <c:v>78.0</c:v>
                </c:pt>
                <c:pt idx="35">
                  <c:v>80.0</c:v>
                </c:pt>
                <c:pt idx="36">
                  <c:v>82.0</c:v>
                </c:pt>
                <c:pt idx="37">
                  <c:v>84.0</c:v>
                </c:pt>
                <c:pt idx="38">
                  <c:v>86.0</c:v>
                </c:pt>
                <c:pt idx="39">
                  <c:v>88.0</c:v>
                </c:pt>
                <c:pt idx="40">
                  <c:v>90.0</c:v>
                </c:pt>
                <c:pt idx="41">
                  <c:v>92.0</c:v>
                </c:pt>
                <c:pt idx="42">
                  <c:v>94.0</c:v>
                </c:pt>
                <c:pt idx="43">
                  <c:v>96.0</c:v>
                </c:pt>
                <c:pt idx="44">
                  <c:v>98.0</c:v>
                </c:pt>
                <c:pt idx="45">
                  <c:v>100.0</c:v>
                </c:pt>
              </c:numCache>
            </c:numRef>
          </c:xVal>
          <c:yVal>
            <c:numRef>
              <c:f>Sheet3!$F$1:$F$46</c:f>
              <c:numCache>
                <c:formatCode>General</c:formatCode>
                <c:ptCount val="46"/>
                <c:pt idx="0">
                  <c:v>11.0</c:v>
                </c:pt>
                <c:pt idx="1">
                  <c:v>15.0</c:v>
                </c:pt>
                <c:pt idx="2">
                  <c:v>19.0</c:v>
                </c:pt>
                <c:pt idx="3">
                  <c:v>23.0</c:v>
                </c:pt>
                <c:pt idx="4">
                  <c:v>27.0</c:v>
                </c:pt>
                <c:pt idx="5">
                  <c:v>32.0</c:v>
                </c:pt>
                <c:pt idx="6">
                  <c:v>37.0</c:v>
                </c:pt>
                <c:pt idx="7">
                  <c:v>43.0</c:v>
                </c:pt>
                <c:pt idx="8">
                  <c:v>49.0</c:v>
                </c:pt>
                <c:pt idx="9">
                  <c:v>56.0</c:v>
                </c:pt>
                <c:pt idx="10">
                  <c:v>62.0</c:v>
                </c:pt>
                <c:pt idx="11">
                  <c:v>70.0</c:v>
                </c:pt>
                <c:pt idx="12">
                  <c:v>78.0</c:v>
                </c:pt>
                <c:pt idx="13">
                  <c:v>85.0</c:v>
                </c:pt>
                <c:pt idx="14">
                  <c:v>95.0</c:v>
                </c:pt>
                <c:pt idx="15">
                  <c:v>103.0</c:v>
                </c:pt>
                <c:pt idx="16">
                  <c:v>112.0</c:v>
                </c:pt>
                <c:pt idx="17">
                  <c:v>124.0</c:v>
                </c:pt>
                <c:pt idx="18">
                  <c:v>131.0</c:v>
                </c:pt>
                <c:pt idx="19">
                  <c:v>142.0</c:v>
                </c:pt>
                <c:pt idx="20">
                  <c:v>153.0</c:v>
                </c:pt>
                <c:pt idx="21">
                  <c:v>166.0</c:v>
                </c:pt>
                <c:pt idx="22">
                  <c:v>176.0</c:v>
                </c:pt>
                <c:pt idx="23">
                  <c:v>190.0</c:v>
                </c:pt>
                <c:pt idx="24">
                  <c:v>201.0</c:v>
                </c:pt>
                <c:pt idx="25">
                  <c:v>215.0</c:v>
                </c:pt>
                <c:pt idx="26">
                  <c:v>228.0</c:v>
                </c:pt>
                <c:pt idx="27">
                  <c:v>243.0</c:v>
                </c:pt>
                <c:pt idx="28">
                  <c:v>254.0</c:v>
                </c:pt>
                <c:pt idx="29">
                  <c:v>272.0</c:v>
                </c:pt>
                <c:pt idx="30">
                  <c:v>284.0</c:v>
                </c:pt>
                <c:pt idx="31">
                  <c:v>298.0</c:v>
                </c:pt>
                <c:pt idx="32">
                  <c:v>316.0</c:v>
                </c:pt>
                <c:pt idx="33">
                  <c:v>336.0</c:v>
                </c:pt>
                <c:pt idx="34">
                  <c:v>349.0</c:v>
                </c:pt>
                <c:pt idx="35">
                  <c:v>364.0</c:v>
                </c:pt>
                <c:pt idx="36">
                  <c:v>387.0</c:v>
                </c:pt>
                <c:pt idx="37">
                  <c:v>402.0</c:v>
                </c:pt>
                <c:pt idx="38">
                  <c:v>417.0</c:v>
                </c:pt>
                <c:pt idx="39">
                  <c:v>435.0</c:v>
                </c:pt>
                <c:pt idx="40">
                  <c:v>458.0</c:v>
                </c:pt>
                <c:pt idx="41">
                  <c:v>475.0</c:v>
                </c:pt>
                <c:pt idx="42">
                  <c:v>495.0</c:v>
                </c:pt>
                <c:pt idx="43">
                  <c:v>512.0</c:v>
                </c:pt>
                <c:pt idx="44">
                  <c:v>538.0</c:v>
                </c:pt>
                <c:pt idx="45">
                  <c:v>562.0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4578560"/>
        <c:axId val="-2073415104"/>
      </c:scatterChart>
      <c:valAx>
        <c:axId val="-207457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415104"/>
        <c:crosses val="autoZero"/>
        <c:crossBetween val="midCat"/>
      </c:valAx>
      <c:valAx>
        <c:axId val="-207341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457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19</cp:revision>
  <dcterms:created xsi:type="dcterms:W3CDTF">2016-04-29T00:53:00Z</dcterms:created>
  <dcterms:modified xsi:type="dcterms:W3CDTF">2016-04-29T09:10:00Z</dcterms:modified>
</cp:coreProperties>
</file>