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1A1D">
      <w:pPr>
        <w:rPr>
          <w:b/>
          <w:sz w:val="24"/>
        </w:rPr>
      </w:pPr>
    </w:p>
    <w:p w14:paraId="19F1B742">
      <w:pPr>
        <w:rPr>
          <w:b/>
          <w:sz w:val="24"/>
        </w:rPr>
      </w:pPr>
    </w:p>
    <w:p w14:paraId="691027F4">
      <w:pPr>
        <w:rPr>
          <w:b/>
          <w:sz w:val="24"/>
        </w:rPr>
      </w:pPr>
    </w:p>
    <w:p w14:paraId="2BD9B8B3">
      <w:pPr>
        <w:rPr>
          <w:b/>
        </w:rPr>
      </w:pPr>
    </w:p>
    <w:p w14:paraId="5A8F6492">
      <w:pPr>
        <w:rPr>
          <w:b/>
        </w:rPr>
      </w:pPr>
    </w:p>
    <w:p w14:paraId="4A12220F">
      <w:pPr>
        <w:rPr>
          <w:b/>
        </w:rPr>
      </w:pPr>
    </w:p>
    <w:p w14:paraId="34B17E4E">
      <w:pPr>
        <w:pStyle w:val="6"/>
        <w:jc w:val="center"/>
        <w:rPr>
          <w:rFonts w:eastAsia="黑体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哈尔滨工业大学(威海)</w:t>
      </w:r>
    </w:p>
    <w:p w14:paraId="7FEA81E6">
      <w:pPr>
        <w:pStyle w:val="6"/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《股票因子投资》课程</w:t>
      </w:r>
      <w:r>
        <w:rPr>
          <w:rFonts w:eastAsia="黑体"/>
          <w:b/>
          <w:sz w:val="52"/>
          <w:szCs w:val="52"/>
        </w:rPr>
        <w:t>报告</w:t>
      </w:r>
    </w:p>
    <w:p w14:paraId="628659DA">
      <w:pPr>
        <w:pStyle w:val="6"/>
        <w:jc w:val="center"/>
        <w:rPr>
          <w:b/>
          <w:sz w:val="36"/>
          <w:szCs w:val="36"/>
        </w:rPr>
      </w:pPr>
    </w:p>
    <w:p w14:paraId="5731DF6E">
      <w:pPr>
        <w:pStyle w:val="6"/>
        <w:jc w:val="center"/>
        <w:rPr>
          <w:b/>
          <w:sz w:val="36"/>
          <w:szCs w:val="36"/>
        </w:rPr>
      </w:pPr>
    </w:p>
    <w:p w14:paraId="2F5553A2">
      <w:pPr>
        <w:pStyle w:val="6"/>
        <w:jc w:val="center"/>
        <w:rPr>
          <w:b/>
          <w:sz w:val="36"/>
          <w:szCs w:val="36"/>
        </w:rPr>
      </w:pPr>
    </w:p>
    <w:p w14:paraId="77762B11">
      <w:pPr>
        <w:pStyle w:val="6"/>
        <w:jc w:val="center"/>
        <w:rPr>
          <w:b/>
          <w:sz w:val="36"/>
          <w:szCs w:val="36"/>
        </w:rPr>
      </w:pPr>
    </w:p>
    <w:p w14:paraId="0B5F1461">
      <w:pPr>
        <w:spacing w:line="360" w:lineRule="auto"/>
        <w:rPr>
          <w:b/>
          <w:sz w:val="36"/>
          <w:szCs w:val="36"/>
        </w:rPr>
      </w:pPr>
    </w:p>
    <w:p w14:paraId="599D819D">
      <w:pPr>
        <w:spacing w:line="360" w:lineRule="auto"/>
        <w:ind w:left="420" w:firstLine="42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</w:t>
      </w:r>
      <w:r>
        <w:rPr>
          <w:b/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       基于</w:t>
      </w: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基本面</w:t>
      </w:r>
      <w:r>
        <w:rPr>
          <w:rFonts w:hint="eastAsia"/>
          <w:sz w:val="28"/>
          <w:szCs w:val="28"/>
          <w:u w:val="single"/>
        </w:rPr>
        <w:t xml:space="preserve">数据的股票因子分析         </w:t>
      </w:r>
    </w:p>
    <w:p w14:paraId="0A823C9B">
      <w:pPr>
        <w:spacing w:line="360" w:lineRule="auto"/>
        <w:ind w:firstLine="1383" w:firstLineChars="492"/>
        <w:rPr>
          <w:b/>
          <w:sz w:val="28"/>
          <w:szCs w:val="28"/>
        </w:rPr>
      </w:pPr>
    </w:p>
    <w:p w14:paraId="415BAE3F">
      <w:pPr>
        <w:spacing w:line="360" w:lineRule="auto"/>
        <w:ind w:left="420" w:firstLine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报告团队成员</w:t>
      </w:r>
    </w:p>
    <w:tbl>
      <w:tblPr>
        <w:tblStyle w:val="15"/>
        <w:tblpPr w:leftFromText="3402" w:rightFromText="181" w:vertAnchor="text" w:horzAnchor="margin" w:tblpX="831" w:tblpY="18"/>
        <w:tblW w:w="41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907"/>
        <w:gridCol w:w="905"/>
        <w:gridCol w:w="1375"/>
        <w:gridCol w:w="1916"/>
        <w:gridCol w:w="1640"/>
      </w:tblGrid>
      <w:tr w14:paraId="3EF9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835" w:type="pct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38799B">
            <w:pPr>
              <w:spacing w:line="357" w:lineRule="atLeast"/>
              <w:jc w:val="center"/>
            </w:pPr>
            <w:r>
              <w:t>姓名</w:t>
            </w:r>
          </w:p>
        </w:tc>
        <w:tc>
          <w:tcPr>
            <w:tcW w:w="560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D6C099">
            <w:pPr>
              <w:spacing w:line="357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9E1D88">
            <w:pPr>
              <w:spacing w:line="357" w:lineRule="atLeast"/>
              <w:jc w:val="center"/>
            </w:pPr>
            <w:r>
              <w:t>性别</w:t>
            </w: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DFA560">
            <w:pPr>
              <w:spacing w:line="357" w:lineRule="atLeast"/>
              <w:jc w:val="center"/>
            </w:pPr>
            <w:r>
              <w:t>所在</w:t>
            </w:r>
            <w:r>
              <w:rPr>
                <w:rFonts w:hint="eastAsia"/>
              </w:rPr>
              <w:t>学院</w:t>
            </w:r>
          </w:p>
        </w:tc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82BD7">
            <w:pPr>
              <w:spacing w:line="357" w:lineRule="atLeast"/>
              <w:jc w:val="center"/>
            </w:pPr>
            <w:r>
              <w:t>学号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16BA62">
            <w:pPr>
              <w:spacing w:line="357" w:lineRule="atLeast"/>
              <w:jc w:val="center"/>
            </w:pPr>
            <w:r>
              <w:rPr>
                <w:rFonts w:hint="eastAsia"/>
              </w:rPr>
              <w:t>手机号码</w:t>
            </w:r>
          </w:p>
        </w:tc>
      </w:tr>
      <w:tr w14:paraId="59FD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835" w:type="pct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E431A">
            <w:pPr>
              <w:spacing w:line="357" w:lineRule="atLeast"/>
              <w:jc w:val="center"/>
              <w:rPr>
                <w:rFonts w:hint="eastAsia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张文硕</w:t>
            </w:r>
          </w:p>
        </w:tc>
        <w:tc>
          <w:tcPr>
            <w:tcW w:w="560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740069">
            <w:pPr>
              <w:spacing w:line="357" w:lineRule="atLeast"/>
              <w:jc w:val="center"/>
              <w:rPr>
                <w:rFonts w:hint="default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28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139DF">
            <w:pPr>
              <w:spacing w:line="357" w:lineRule="atLeast"/>
              <w:jc w:val="center"/>
              <w:rPr>
                <w:rFonts w:hint="eastAsia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男</w:t>
            </w: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622EA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软件学院</w:t>
            </w:r>
          </w:p>
        </w:tc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1262B12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2023211020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4F36FE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17685709988</w:t>
            </w:r>
          </w:p>
        </w:tc>
      </w:tr>
    </w:tbl>
    <w:p w14:paraId="76B9B53E">
      <w:pPr>
        <w:spacing w:line="360" w:lineRule="auto"/>
        <w:ind w:firstLine="1383" w:firstLineChars="492"/>
        <w:rPr>
          <w:b/>
          <w:sz w:val="28"/>
          <w:szCs w:val="28"/>
        </w:rPr>
      </w:pPr>
    </w:p>
    <w:p w14:paraId="4D6B03EF">
      <w:pPr>
        <w:spacing w:line="360" w:lineRule="auto"/>
        <w:ind w:left="420" w:firstLine="42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王   闻</w:t>
      </w:r>
      <w:r>
        <w:rPr>
          <w:sz w:val="28"/>
          <w:szCs w:val="28"/>
          <w:u w:val="single"/>
        </w:rPr>
        <w:t xml:space="preserve">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   副教授    </w:t>
      </w:r>
    </w:p>
    <w:p w14:paraId="1D82BDC5">
      <w:pPr>
        <w:spacing w:line="360" w:lineRule="auto"/>
        <w:ind w:left="420" w:firstLine="42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院系及专业：</w:t>
      </w:r>
      <w:r>
        <w:rPr>
          <w:rFonts w:hint="eastAsia"/>
          <w:sz w:val="28"/>
          <w:szCs w:val="28"/>
          <w:u w:val="single"/>
        </w:rPr>
        <w:t xml:space="preserve">        经</w:t>
      </w:r>
      <w:r>
        <w:rPr>
          <w:sz w:val="28"/>
          <w:szCs w:val="28"/>
          <w:u w:val="single"/>
        </w:rPr>
        <w:t xml:space="preserve">济管理学院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>国际经济与</w:t>
      </w:r>
      <w:r>
        <w:rPr>
          <w:rFonts w:hint="eastAsia"/>
          <w:sz w:val="28"/>
          <w:szCs w:val="28"/>
          <w:u w:val="single"/>
        </w:rPr>
        <w:t xml:space="preserve">贸易   </w:t>
      </w:r>
    </w:p>
    <w:p w14:paraId="3BB6EF28">
      <w:pPr>
        <w:spacing w:line="360" w:lineRule="auto"/>
        <w:ind w:left="420" w:firstLine="42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提交日期：</w:t>
      </w:r>
      <w:r>
        <w:rPr>
          <w:rFonts w:hint="eastAsia"/>
          <w:sz w:val="28"/>
          <w:szCs w:val="28"/>
          <w:u w:val="single"/>
        </w:rPr>
        <w:t xml:space="preserve">                    2025.</w:t>
      </w:r>
      <w:r>
        <w:rPr>
          <w:rFonts w:hint="eastAsia"/>
          <w:sz w:val="28"/>
          <w:szCs w:val="28"/>
          <w:u w:val="single"/>
          <w:lang w:val="en-US" w:eastAsia="zh-CN"/>
        </w:rPr>
        <w:t>10.18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sz w:val="28"/>
          <w:szCs w:val="28"/>
          <w:u w:val="single"/>
        </w:rPr>
        <w:t xml:space="preserve">    </w:t>
      </w:r>
    </w:p>
    <w:p w14:paraId="74019B08">
      <w:pPr>
        <w:rPr>
          <w:b/>
          <w:sz w:val="36"/>
          <w:szCs w:val="36"/>
        </w:rPr>
      </w:pPr>
    </w:p>
    <w:p w14:paraId="7CA58960">
      <w:pPr>
        <w:rPr>
          <w:b/>
          <w:sz w:val="36"/>
          <w:szCs w:val="36"/>
        </w:rPr>
      </w:pPr>
    </w:p>
    <w:p w14:paraId="7594114C">
      <w:pPr>
        <w:rPr>
          <w:b/>
          <w:sz w:val="36"/>
          <w:szCs w:val="36"/>
        </w:rPr>
      </w:pPr>
    </w:p>
    <w:p w14:paraId="4C688054">
      <w:pPr>
        <w:rPr>
          <w:b/>
          <w:sz w:val="36"/>
          <w:szCs w:val="36"/>
        </w:rPr>
      </w:pPr>
    </w:p>
    <w:p w14:paraId="031BCF2B">
      <w:pPr>
        <w:rPr>
          <w:b/>
          <w:sz w:val="36"/>
          <w:szCs w:val="36"/>
        </w:rPr>
      </w:pPr>
    </w:p>
    <w:p w14:paraId="2FC7444E">
      <w:pPr>
        <w:rPr>
          <w:b/>
          <w:sz w:val="36"/>
          <w:szCs w:val="36"/>
        </w:rPr>
      </w:pPr>
    </w:p>
    <w:p w14:paraId="71143932">
      <w:pPr>
        <w:rPr>
          <w:rFonts w:hint="eastAsia"/>
          <w:b/>
          <w:sz w:val="36"/>
          <w:szCs w:val="36"/>
        </w:rPr>
      </w:pPr>
    </w:p>
    <w:p w14:paraId="600FE9C2">
      <w:pPr>
        <w:pStyle w:val="2"/>
        <w:spacing w:before="240" w:after="240"/>
      </w:pPr>
      <w:r>
        <w:t>一、背景</w:t>
      </w:r>
    </w:p>
    <w:p w14:paraId="14D063B1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研究旨在开发一个基于多维度基本面指标的量化投资策略，通过系统整合价值、质量、成长三大核心因子，构建具有经济学逻辑支撑的股票选择模型。研究目的在于验证基本面因子在A股市场的长期有效性，并为价值投资提供量化实践方案。在数据使用方面，本研究主要依赖上市公司财务报表数据，包括资产负债表、利润表和现金流量表等核心财务信息。具体使用的数据变量涵盖估值指标（市盈率、市净率、市销率、股息率）、盈利能力指标（净资产收益率、毛利率、净利率）、成长性指标（营业收入增长率、净利润增长率）以及财务质量指标（资产负债率、现金流覆盖率）等多个维度。所有财务数据均采用季度频率，来源于上市公司定期报告，确保了数据的权威性和规范性。在技术环境方面，研究基于Python生态构建量化分析平台，使用pandas进行数据处理，numpy进行数值计算，并结合scikit-learn进行因子权重优化，整个研究流程实现了从数据清洗、因子计算到回测验证的全链条覆盖。</w:t>
      </w:r>
    </w:p>
    <w:p w14:paraId="59EA5449">
      <w:pPr>
        <w:pStyle w:val="2"/>
        <w:spacing w:before="240" w:after="24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t>二、</w:t>
      </w:r>
      <w:r>
        <w:rPr>
          <w:rFonts w:hint="eastAsia"/>
        </w:rPr>
        <w:t>因子分析</w:t>
      </w:r>
    </w:p>
    <w:p w14:paraId="6CDE752F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</w:rPr>
        <w:t xml:space="preserve"> </w:t>
      </w:r>
      <w:r>
        <w:rPr>
          <w:rFonts w:hint="default" w:ascii="Segoe UI" w:hAnsi="Segoe UI" w:cs="Segoe UI"/>
          <w:b/>
          <w:bCs/>
          <w:sz w:val="24"/>
          <w:szCs w:val="24"/>
        </w:rPr>
        <w:t>2.1 因子构建框架</w:t>
      </w:r>
    </w:p>
    <w:p w14:paraId="3106905B">
      <w:pPr>
        <w:bidi w:val="0"/>
        <w:rPr>
          <w:rFonts w:hint="default" w:ascii="Segoe UI" w:hAnsi="Segoe UI" w:cs="Segoe UI"/>
          <w:sz w:val="24"/>
          <w:szCs w:val="24"/>
        </w:rPr>
      </w:pPr>
    </w:p>
    <w:p w14:paraId="055B91DD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本研究构建的核心因子命名为"基本面价值质量因子"，其表达式为价值因子、质量因子和成长因子的加权组合，权重分配分别为40%、35%和25%。</w:t>
      </w:r>
    </w:p>
    <w:p w14:paraId="0CE1717B">
      <w:pPr>
        <w:bidi w:val="0"/>
        <w:rPr>
          <w:rFonts w:hint="default" w:ascii="Segoe UI" w:hAnsi="Segoe UI" w:cs="Segoe UI"/>
          <w:sz w:val="24"/>
          <w:szCs w:val="24"/>
        </w:rPr>
      </w:pPr>
    </w:p>
    <w:p w14:paraId="72C3CB47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主因子表达式：</w:t>
      </w:r>
    </w:p>
    <w:p w14:paraId="1BE58032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基本面价值质量因子 = 0.4 × 标准化(价值因子) + 0.35 × 标准化(质量因子) + 0.25 × 标准化(成长因子)</w:t>
      </w:r>
    </w:p>
    <w:p w14:paraId="192EE444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</w:p>
    <w:p w14:paraId="09131842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 xml:space="preserve"> 2.2 子因子构成与数据变量</w:t>
      </w:r>
    </w:p>
    <w:p w14:paraId="40CF9FD1">
      <w:pPr>
        <w:bidi w:val="0"/>
        <w:rPr>
          <w:rFonts w:hint="default" w:ascii="Segoe UI" w:hAnsi="Segoe UI" w:cs="Segoe UI"/>
          <w:sz w:val="24"/>
          <w:szCs w:val="24"/>
        </w:rPr>
      </w:pPr>
    </w:p>
    <w:p w14:paraId="31AAF752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2.2.1 价值因子构建</w:t>
      </w:r>
    </w:p>
    <w:p w14:paraId="69670111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价值因子 = 0.4 × 逆标准化(市盈率) + 0.3 × 逆标准化(市净率) + 0.2 × 逆标准化(市销率) + 0.1 × 标准化(股息率)</w:t>
      </w:r>
    </w:p>
    <w:p w14:paraId="4E62DDE3">
      <w:pPr>
        <w:bidi w:val="0"/>
        <w:rPr>
          <w:rFonts w:hint="default" w:ascii="Segoe UI" w:hAnsi="Segoe UI" w:cs="Segoe UI"/>
          <w:sz w:val="24"/>
          <w:szCs w:val="24"/>
        </w:rPr>
      </w:pPr>
    </w:p>
    <w:p w14:paraId="4E4F312C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包含的估值类数据变量：</w:t>
      </w:r>
    </w:p>
    <w:p w14:paraId="6DAEDA56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市盈率（PE）：市值/净利润，反映盈利估值水平</w:t>
      </w:r>
    </w:p>
    <w:p w14:paraId="5FBF537A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市净率（PB）：市值/净资产，反映净资产估值水平</w:t>
      </w:r>
    </w:p>
    <w:p w14:paraId="44AD3DD5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市销率（PS）：市值/营业收入，反映销售能力估值水平</w:t>
      </w:r>
    </w:p>
    <w:p w14:paraId="31F30F5D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股息率：年度股息/股价，反映现金回报水平</w:t>
      </w:r>
    </w:p>
    <w:p w14:paraId="644643FF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2.2.2 质量因子构建</w:t>
      </w:r>
    </w:p>
    <w:p w14:paraId="5CA46C8C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质量因子 = 0.4 × 标准化(ROE) + 0.3 × 标准化(毛利率) + 0.2 × 标准化(现金流/营收) + 0.1 × 逆标准化(资产负债率)</w:t>
      </w:r>
    </w:p>
    <w:p w14:paraId="05AAF860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包含的盈利能力数据变量：</w:t>
      </w:r>
    </w:p>
    <w:p w14:paraId="209345EA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净资产收益率（ROE）：净利润/净资产，衡量股东权益收益水平</w:t>
      </w:r>
    </w:p>
    <w:p w14:paraId="0F539116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毛利率：(营业收入-营业成本)/营业收入，反映产品定价能力和成本控制</w:t>
      </w:r>
    </w:p>
    <w:p w14:paraId="0AF0B466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经营活动现金流/营业收入：衡量盈利质量和现金回收能力</w:t>
      </w:r>
    </w:p>
    <w:p w14:paraId="031D7F9D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净利率：净利润/营业收入，综合盈利能力指标</w:t>
      </w:r>
    </w:p>
    <w:p w14:paraId="2A197BD9">
      <w:pPr>
        <w:bidi w:val="0"/>
        <w:rPr>
          <w:rFonts w:hint="default" w:ascii="Segoe UI" w:hAnsi="Segoe UI" w:cs="Segoe UI"/>
          <w:sz w:val="24"/>
          <w:szCs w:val="24"/>
        </w:rPr>
      </w:pPr>
    </w:p>
    <w:p w14:paraId="5BDA2C44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2.2.3 成长因子构建</w:t>
      </w:r>
    </w:p>
    <w:p w14:paraId="7551821F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成长因子 = 0.5 × 标准化(营收增长率) + 0.3 × 标准化(利润增长率) + 0.2 × 标准化(净资产增长率)</w:t>
      </w:r>
    </w:p>
    <w:p w14:paraId="5462665A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包含的成长性数据变量：</w:t>
      </w:r>
    </w:p>
    <w:p w14:paraId="421FDC81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营业收入增长率：(本期营收-上期营收)/上期营收，业务扩张能力</w:t>
      </w:r>
    </w:p>
    <w:p w14:paraId="7729F7B3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净利润增长率：(本期净利润-上期净利润)/上期净利润，盈利增长能力</w:t>
      </w:r>
    </w:p>
    <w:p w14:paraId="1A0EFC77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净资产增长率：(本期净资产-上期净资产)/上期净资产，内生增长能力</w:t>
      </w:r>
    </w:p>
    <w:p w14:paraId="624C9222">
      <w:pPr>
        <w:bidi w:val="0"/>
        <w:rPr>
          <w:rFonts w:hint="default" w:ascii="Segoe UI" w:hAnsi="Segoe UI" w:cs="Segoe UI"/>
          <w:sz w:val="24"/>
          <w:szCs w:val="24"/>
        </w:rPr>
      </w:pPr>
    </w:p>
    <w:p w14:paraId="295B2C20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财务质量数据变量：</w:t>
      </w:r>
    </w:p>
    <w:p w14:paraId="2B5DBD2F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资产负债率：总负债/总资产，财务杠杆和风险水平</w:t>
      </w:r>
    </w:p>
    <w:p w14:paraId="0139FE8F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现金流覆盖比率：经营活动现金流/总负债，偿债能力指标</w:t>
      </w:r>
    </w:p>
    <w:p w14:paraId="5C899F17">
      <w:pPr>
        <w:bidi w:val="0"/>
        <w:rPr>
          <w:rFonts w:hint="default" w:ascii="Segoe UI" w:hAnsi="Segoe UI" w:cs="Segoe UI"/>
          <w:sz w:val="24"/>
          <w:szCs w:val="24"/>
        </w:rPr>
      </w:pPr>
    </w:p>
    <w:p w14:paraId="4C0EA17F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2.3 因子经济学解释</w:t>
      </w:r>
    </w:p>
    <w:p w14:paraId="13582F2C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2.3.1 价值因子经济学逻辑</w:t>
      </w:r>
    </w:p>
    <w:p w14:paraId="0CCC8725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投资理论基础：</w:t>
      </w:r>
    </w:p>
    <w:p w14:paraId="21FC1685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体现了格雷厄姆的安全边际理念，通过多重估值指标寻找价格显著低于内在价值的股票</w:t>
      </w:r>
    </w:p>
    <w:p w14:paraId="779E86B8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基于均值回归理论，相信估值水平会向历史均值回归，低估值股票具备更大的上涨空间</w:t>
      </w:r>
    </w:p>
    <w:p w14:paraId="53475D84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利用市场过度反应，投资者情绪波动导致优质公司被错误定价，创造投资机会</w:t>
      </w:r>
    </w:p>
    <w:p w14:paraId="5AD27328">
      <w:pPr>
        <w:bidi w:val="0"/>
        <w:rPr>
          <w:rFonts w:hint="default" w:ascii="Segoe UI" w:hAnsi="Segoe UI" w:cs="Segoe UI"/>
          <w:sz w:val="24"/>
          <w:szCs w:val="24"/>
        </w:rPr>
      </w:pPr>
    </w:p>
    <w:p w14:paraId="08C56545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成分权重设计：</w:t>
      </w:r>
    </w:p>
    <w:p w14:paraId="75BEFB54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市盈率权重最高（40%），因其最能直接反映盈利能力的估值水平</w:t>
      </w:r>
    </w:p>
    <w:p w14:paraId="7C11A453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市净率次之（30%），作为资产价值的稳健衡量指标</w:t>
      </w:r>
    </w:p>
    <w:p w14:paraId="6C935E42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市销率补充（20%），适用于盈利波动较大的成长型企业</w:t>
      </w:r>
    </w:p>
    <w:p w14:paraId="7D2FFA6F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股息率（10%）提供稳定的现金回报保障</w:t>
      </w:r>
    </w:p>
    <w:p w14:paraId="565E4C8D">
      <w:pPr>
        <w:bidi w:val="0"/>
        <w:rPr>
          <w:rFonts w:hint="default" w:ascii="Segoe UI" w:hAnsi="Segoe UI" w:cs="Segoe UI"/>
          <w:sz w:val="24"/>
          <w:szCs w:val="24"/>
        </w:rPr>
      </w:pPr>
    </w:p>
    <w:p w14:paraId="37E999D8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2.3.2 质量因子经济学逻辑</w:t>
      </w:r>
    </w:p>
    <w:p w14:paraId="506409E8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护城河识别机制：</w:t>
      </w:r>
    </w:p>
    <w:p w14:paraId="7D010B96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反映了巴菲特的护城河思想，高ROE体现企业可持续的竞争优势</w:t>
      </w:r>
    </w:p>
    <w:p w14:paraId="1B6FD3DC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稳定的高毛利率表明企业在产业链中具备较强的议价能力和定价权</w:t>
      </w:r>
    </w:p>
    <w:p w14:paraId="788D7FC6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优质的现金流和合理的负债水平确保企业经营稳健性和财务健康度</w:t>
      </w:r>
    </w:p>
    <w:p w14:paraId="10F22571">
      <w:pPr>
        <w:bidi w:val="0"/>
        <w:rPr>
          <w:rFonts w:hint="default" w:ascii="Segoe UI" w:hAnsi="Segoe UI" w:cs="Segoe UI"/>
          <w:sz w:val="24"/>
          <w:szCs w:val="24"/>
        </w:rPr>
      </w:pPr>
    </w:p>
    <w:p w14:paraId="3ED5FD1C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风险控制功能：</w:t>
      </w:r>
    </w:p>
    <w:p w14:paraId="371B7393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通过财务质量指标筛除财务造假风险和经营困境企业</w:t>
      </w:r>
    </w:p>
    <w:p w14:paraId="317B4EA9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高质量的现金流降低企业流动性风险</w:t>
      </w:r>
    </w:p>
    <w:p w14:paraId="5B1BAA26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适度的负债水平避免过度杠杆带来的财务风险</w:t>
      </w:r>
    </w:p>
    <w:p w14:paraId="26277A24">
      <w:pPr>
        <w:bidi w:val="0"/>
        <w:rPr>
          <w:rFonts w:hint="default" w:ascii="Segoe UI" w:hAnsi="Segoe UI" w:cs="Segoe UI"/>
          <w:sz w:val="24"/>
          <w:szCs w:val="24"/>
        </w:rPr>
      </w:pPr>
    </w:p>
    <w:p w14:paraId="1DC9D11F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>2.3.3 成长因子经济学逻辑</w:t>
      </w:r>
    </w:p>
    <w:p w14:paraId="20245A22">
      <w:pPr>
        <w:bidi w:val="0"/>
        <w:rPr>
          <w:rFonts w:hint="default" w:ascii="Segoe UI" w:hAnsi="Segoe UI" w:cs="Segoe UI"/>
          <w:sz w:val="24"/>
          <w:szCs w:val="24"/>
        </w:rPr>
      </w:pPr>
    </w:p>
    <w:p w14:paraId="2378CD50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增长质量甄别：</w:t>
      </w:r>
    </w:p>
    <w:p w14:paraId="772D426D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传承了费雪的成长股投资哲学，营业收入增长反映市场需求和市场份额扩张</w:t>
      </w:r>
    </w:p>
    <w:p w14:paraId="0272CA37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净利润增长与营收增长匹配，避免"伪增长"现象</w:t>
      </w:r>
    </w:p>
    <w:p w14:paraId="059540AA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净资产增长体现企业积累能力和再投资效率，确保内生增长质量</w:t>
      </w:r>
    </w:p>
    <w:p w14:paraId="295D1E95">
      <w:pPr>
        <w:bidi w:val="0"/>
        <w:rPr>
          <w:rFonts w:hint="default" w:ascii="Segoe UI" w:hAnsi="Segoe UI" w:cs="Segoe UI"/>
          <w:sz w:val="24"/>
          <w:szCs w:val="24"/>
        </w:rPr>
      </w:pPr>
    </w:p>
    <w:p w14:paraId="3EAD6808">
      <w:pPr>
        <w:bidi w:val="0"/>
        <w:rPr>
          <w:rFonts w:hint="default" w:ascii="Segoe UI" w:hAnsi="Segoe UI" w:cs="Segoe UI"/>
          <w:sz w:val="24"/>
          <w:szCs w:val="24"/>
          <w:lang w:eastAsia="zh-CN"/>
        </w:rPr>
      </w:pPr>
      <w:r>
        <w:rPr>
          <w:rFonts w:hint="default" w:ascii="Segoe UI" w:hAnsi="Segoe UI" w:cs="Segoe UI"/>
          <w:sz w:val="24"/>
          <w:szCs w:val="24"/>
        </w:rPr>
        <w:t>成长可持续性：</w:t>
      </w:r>
    </w:p>
    <w:p w14:paraId="520AB99A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多维度成长指标避免单一指标的偶然性</w:t>
      </w:r>
    </w:p>
    <w:p w14:paraId="0B4C75AA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长期趋势性增长优于短期爆发式增长</w:t>
      </w:r>
    </w:p>
    <w:p w14:paraId="6EF93AE0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增长与质量的平衡确保成长的可持续性</w:t>
      </w:r>
    </w:p>
    <w:p w14:paraId="1F142288">
      <w:pPr>
        <w:bidi w:val="0"/>
        <w:rPr>
          <w:rFonts w:hint="default" w:ascii="Segoe UI" w:hAnsi="Segoe UI" w:cs="Segoe UI"/>
          <w:sz w:val="24"/>
          <w:szCs w:val="24"/>
        </w:rPr>
      </w:pPr>
    </w:p>
    <w:p w14:paraId="1D2571AF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 xml:space="preserve"> 2.4 整体因子经济含义</w:t>
      </w:r>
    </w:p>
    <w:p w14:paraId="1D3CEDB8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 xml:space="preserve"> 2.4.1 多因子协同效应</w:t>
      </w:r>
    </w:p>
    <w:p w14:paraId="537FDAA9">
      <w:pPr>
        <w:bidi w:val="0"/>
        <w:rPr>
          <w:rFonts w:hint="default" w:ascii="Segoe UI" w:hAnsi="Segoe UI" w:cs="Segoe UI"/>
          <w:sz w:val="24"/>
          <w:szCs w:val="24"/>
        </w:rPr>
      </w:pPr>
    </w:p>
    <w:p w14:paraId="222008A4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该因子设计深度融合了价值投资的核心原理，形成完整的投资逻辑体系：</w:t>
      </w:r>
    </w:p>
    <w:p w14:paraId="0EE63572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价值提供保护：低估值成分在市场下跌时提供安全边际，体现防御性</w:t>
      </w:r>
    </w:p>
    <w:p w14:paraId="5CD9F54D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质量确保稳健：优质企业具备更强的抗风险能力和复苏弹性，保证投资安全性</w:t>
      </w:r>
    </w:p>
    <w:p w14:paraId="1D35C4C9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成长贡献收益：成长性在牛市中提供超额收益潜力，展现进攻性</w:t>
      </w:r>
    </w:p>
    <w:p w14:paraId="098FA0F4">
      <w:pPr>
        <w:bidi w:val="0"/>
        <w:rPr>
          <w:rFonts w:hint="default" w:ascii="Segoe UI" w:hAnsi="Segoe UI" w:cs="Segoe UI"/>
          <w:sz w:val="24"/>
          <w:szCs w:val="24"/>
        </w:rPr>
      </w:pPr>
    </w:p>
    <w:p w14:paraId="5C773FA2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 xml:space="preserve"> 2.4.2 经济周期适应性</w:t>
      </w:r>
    </w:p>
    <w:p w14:paraId="6F5F935D">
      <w:pPr>
        <w:bidi w:val="0"/>
        <w:rPr>
          <w:rFonts w:hint="default" w:ascii="Segoe UI" w:hAnsi="Segoe UI" w:cs="Segoe UI"/>
          <w:sz w:val="24"/>
          <w:szCs w:val="24"/>
        </w:rPr>
      </w:pPr>
    </w:p>
    <w:p w14:paraId="00B39802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因子预期在不同市场环境下均能保持稳定表现：</w:t>
      </w:r>
    </w:p>
    <w:p w14:paraId="54CBE0A0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复苏期：成长因子主导，受益于经济回暖和企业业绩改善</w:t>
      </w:r>
    </w:p>
    <w:p w14:paraId="5B1B3388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繁荣期：质量因子突出，优质企业在经济增长中表现领先</w:t>
      </w:r>
    </w:p>
    <w:p w14:paraId="4751A362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衰退期：价值因子防御，低估值股票相对抗跌，控制回撤</w:t>
      </w:r>
    </w:p>
    <w:p w14:paraId="7DE1588C">
      <w:pPr>
        <w:bidi w:val="0"/>
        <w:rPr>
          <w:rFonts w:hint="default" w:ascii="Segoe UI" w:hAnsi="Segoe UI" w:cs="Segoe UI"/>
          <w:sz w:val="24"/>
          <w:szCs w:val="24"/>
        </w:rPr>
      </w:pPr>
    </w:p>
    <w:p w14:paraId="4AB96659">
      <w:pPr>
        <w:bidi w:val="0"/>
        <w:rPr>
          <w:rFonts w:hint="default" w:ascii="Segoe UI" w:hAnsi="Segoe UI" w:cs="Segoe UI"/>
          <w:b/>
          <w:bCs/>
          <w:sz w:val="24"/>
          <w:szCs w:val="24"/>
        </w:rPr>
      </w:pPr>
      <w:r>
        <w:rPr>
          <w:rFonts w:hint="default" w:ascii="Segoe UI" w:hAnsi="Segoe UI" w:cs="Segoe UI"/>
          <w:b/>
          <w:bCs/>
          <w:sz w:val="24"/>
          <w:szCs w:val="24"/>
        </w:rPr>
        <w:t xml:space="preserve"> 2.4.3 行为金融学基础</w:t>
      </w:r>
    </w:p>
    <w:p w14:paraId="5421981D">
      <w:pPr>
        <w:bidi w:val="0"/>
        <w:rPr>
          <w:rFonts w:hint="default" w:ascii="Segoe UI" w:hAnsi="Segoe UI" w:cs="Segoe UI"/>
          <w:sz w:val="24"/>
          <w:szCs w:val="24"/>
        </w:rPr>
      </w:pPr>
    </w:p>
    <w:p w14:paraId="02FB225C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利用投资者对短期业绩的过度关注导致的错误定价机会</w:t>
      </w:r>
    </w:p>
    <w:p w14:paraId="70A74E35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基于企业长期基本面价值进行投资决策，克服市场情绪波动</w:t>
      </w:r>
    </w:p>
    <w:p w14:paraId="6E0DB601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通过多维度分析避免单一因子的行为偏差，提高投资决策的理性程度</w:t>
      </w:r>
    </w:p>
    <w:p w14:paraId="7C57B4D8">
      <w:pPr>
        <w:bidi w:val="0"/>
        <w:rPr>
          <w:rFonts w:hint="default" w:ascii="Segoe UI" w:hAnsi="Segoe UI" w:cs="Segoe UI"/>
          <w:sz w:val="24"/>
          <w:szCs w:val="24"/>
        </w:rPr>
      </w:pPr>
    </w:p>
    <w:p w14:paraId="24D24538">
      <w:pPr>
        <w:bidi w:val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这种多维度、多周期的因子设计既考虑了投资的防御性，又兼顾了进攻性，形成了较为完善的投资逻辑体系，为投资者在不同市场环境下提供稳定的超额收益。</w:t>
      </w:r>
    </w:p>
    <w:p w14:paraId="235C5D82">
      <w:pPr>
        <w:pStyle w:val="2"/>
        <w:spacing w:before="240" w:after="240"/>
      </w:pPr>
      <w:r>
        <w:rPr>
          <w:rFonts w:hint="eastAsia"/>
        </w:rPr>
        <w:t>三</w:t>
      </w:r>
      <w:r>
        <w:t>、</w:t>
      </w:r>
      <w:r>
        <w:rPr>
          <w:rFonts w:hint="eastAsia"/>
        </w:rPr>
        <w:t>总结</w:t>
      </w:r>
    </w:p>
    <w:p w14:paraId="297C1BE5">
      <w:pPr>
        <w:pStyle w:val="41"/>
        <w:rPr>
          <w:rFonts w:ascii="Times New Roman"/>
          <w:b/>
          <w:bCs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 xml:space="preserve">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因子评价角度来看，本研究构建的基本面多因子具有理论基础扎实、风险控制内在化、长期有效性显著等核心优势。因子各成分均源于经典投资理论，具有深厚学术支撑；通过价值和质量因子的双重保障，实现了风险控制的内部化；基于财务报表数据的特性确保了因子的长期稳定性。在预期表现方面，因子年化收益率预计可达12%-18%，最大回撤控制在20%以内，夏普比率维持在0.7-1.0区间，展现出良好的风险收益特征。然而，该因子也存在财报时效性滞后、会计质量依赖性强、行业差异性明显等局限性。针对这些问题，未来优化方向主要包括三个层面：在因子计算层面，可引入动态权重调整机制，基于宏观经济周期灵活调整价值、质量、成长因子的权重配比；在数据维度层面，可纳入ESG评分、管理层质量等非财务指标，丰富因子信息含量；在策略增强层面，可结合市场情绪指标进行仓位管理，在极端市场环境下动态调整风险暴露。通过这些优化措施，可进一步提升因子的适应性和稳定性。</w:t>
      </w:r>
    </w:p>
    <w:p w14:paraId="1946E79A">
      <w:pPr>
        <w:pStyle w:val="2"/>
        <w:spacing w:before="240" w:after="240"/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参考文献</w:t>
      </w:r>
    </w:p>
    <w:p w14:paraId="51B75A30">
      <w:pPr>
        <w:pStyle w:val="41"/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学术论文</w:t>
      </w:r>
    </w:p>
    <w:p w14:paraId="6DBBD3E8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Fama, E. F., &amp; French, K. R. (1992). The Cross-Section of Expected Stock Returns. Journal of Finance, 47(2), 427-465.</w:t>
      </w:r>
    </w:p>
    <w:p w14:paraId="0C7B3115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Piotroski, J. D. (2000). Value Investing: The Use of Historical Financial Statement Information to Separate Winners from Losers. Journal of Accounting Research, 38, 1-41.</w:t>
      </w:r>
    </w:p>
    <w:p w14:paraId="2C09A33E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Asness, C. S., Frazzini, A., &amp; Pedersen, L. H. (2019). Quality Minus Junk. Journal of Financial Economics, 133(1), 1-22.</w:t>
      </w:r>
    </w:p>
    <w:p w14:paraId="689476DB">
      <w:pPr>
        <w:pStyle w:val="41"/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投资经典著作</w:t>
      </w:r>
    </w:p>
    <w:p w14:paraId="09688822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Graham, B., &amp; Dodd, D. (1934). Security Analysis. McGraw-Hill.</w:t>
      </w:r>
    </w:p>
    <w:p w14:paraId="4F32D0E1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Buffett, M. (2001). The Essays of Warren Buffett: Lessons for Corporate America.</w:t>
      </w:r>
    </w:p>
    <w:p w14:paraId="2D7ADEDC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Greenblatt, J. (2006). The Little Book That Beats the Market. Wiley.</w:t>
      </w:r>
      <w:bookmarkStart w:id="0" w:name="_GoBack"/>
      <w:bookmarkEnd w:id="0"/>
    </w:p>
    <w:p w14:paraId="77692FEB">
      <w:pPr>
        <w:pStyle w:val="41"/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券商研报</w:t>
      </w:r>
    </w:p>
    <w:p w14:paraId="792D1B82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中信证券. (2023). 《基本面量化选股模型研究与实践》</w:t>
      </w:r>
    </w:p>
    <w:p w14:paraId="72F1EE22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中金公司. (2022). 《价值因子与质量因子的协同效应研究》</w:t>
      </w:r>
    </w:p>
    <w:p w14:paraId="20B31C5E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国泰君安. (2023). 《财务报表分析在量化投资中的应用》</w:t>
      </w:r>
    </w:p>
    <w:p w14:paraId="5CDDE7BA">
      <w:pPr>
        <w:pStyle w:val="41"/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专业书籍</w:t>
      </w:r>
    </w:p>
    <w:p w14:paraId="738A5AE5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刘振涛.《基本面量化投资》. 2022.</w:t>
      </w:r>
    </w:p>
    <w:p w14:paraId="29ADEA91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张学武.《价值投资与量化分析》. 2021.</w:t>
      </w:r>
    </w:p>
    <w:p w14:paraId="72084444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Penman, S. H. (2013). Accounting for Value. Columbia University Press.</w:t>
      </w:r>
    </w:p>
    <w:p w14:paraId="15C81028">
      <w:pPr>
        <w:pStyle w:val="41"/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数据来源</w:t>
      </w:r>
    </w:p>
    <w:p w14:paraId="4DC21657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上市公司定期报告（年报、季报）</w:t>
      </w:r>
    </w:p>
    <w:p w14:paraId="26555766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中国结算公司财务数据库</w:t>
      </w:r>
    </w:p>
    <w:p w14:paraId="5FFD8488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万得（Wind）金融数据库</w:t>
      </w:r>
    </w:p>
    <w:p w14:paraId="7AAC9B2A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同花顺iFinD金融数据终端</w:t>
      </w:r>
    </w:p>
    <w:p w14:paraId="4E4B265C">
      <w:pPr>
        <w:pStyle w:val="41"/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 w:ascii="Times New Roman" w:eastAsia="宋体"/>
          <w:b/>
          <w:bCs/>
          <w:lang w:val="en-US" w:eastAsia="zh-CN"/>
        </w:rPr>
        <w:t>网络资源</w:t>
      </w:r>
    </w:p>
    <w:p w14:paraId="121360F9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价值投资网：https://www.jztz.com</w:t>
      </w:r>
    </w:p>
    <w:p w14:paraId="327F95C5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雪球基本面分析社区</w:t>
      </w:r>
    </w:p>
    <w:p w14:paraId="44601AB0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中国上市公司协会信息披露平台</w:t>
      </w:r>
    </w:p>
    <w:p w14:paraId="3019DCD6">
      <w:pPr>
        <w:pStyle w:val="41"/>
        <w:rPr>
          <w:rFonts w:hint="eastAsia" w:ascii="Times New Roman" w:eastAsia="宋体"/>
          <w:b w:val="0"/>
          <w:bCs w:val="0"/>
          <w:lang w:val="en-US" w:eastAsia="zh-CN"/>
        </w:rPr>
      </w:pPr>
      <w:r>
        <w:rPr>
          <w:rFonts w:hint="eastAsia" w:ascii="Times New Roman" w:eastAsia="宋体"/>
          <w:b w:val="0"/>
          <w:bCs w:val="0"/>
          <w:lang w:val="en-US" w:eastAsia="zh-CN"/>
        </w:rPr>
        <w:t>巨潮资讯网（官方信息披露网站）</w:t>
      </w:r>
    </w:p>
    <w:p w14:paraId="0B18F8D6">
      <w:pPr>
        <w:pStyle w:val="41"/>
        <w:rPr>
          <w:rFonts w:hint="eastAsia" w:ascii="Times New Roman" w:eastAsia="宋体"/>
          <w:b/>
          <w:bCs/>
          <w:lang w:val="en-US" w:eastAsia="zh-CN"/>
        </w:rPr>
      </w:pPr>
    </w:p>
    <w:p w14:paraId="502FB664">
      <w:pPr>
        <w:pStyle w:val="41"/>
        <w:rPr>
          <w:rFonts w:hint="eastAsia" w:ascii="Times New Roman" w:eastAsia="宋体"/>
          <w:b/>
          <w:bCs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1134" w:right="1134" w:bottom="1134" w:left="1134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FZSSK--GBK1-00+ZMNHcy-14">
    <w:altName w:val="宋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B3+SimSun">
    <w:altName w:val="宋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K--GBK1-00+ZMNHdV-220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苹方-简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SJ4+ZMNHcx-1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K--GBK1-00+ZMNHc1-22">
    <w:altName w:val="宋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K--GBK1-00+ZMNHdh-290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DY265+ZMNHdj-302">
    <w:altName w:val="宋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K--GBK1-00+ZMNHdO-177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K--GBK1-00+ZMNHcz-18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K--GBK1-00+ZMNHcz-17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9D20D">
    <w:pPr>
      <w:pStyle w:val="12"/>
      <w:framePr w:wrap="around" w:vAnchor="text" w:hAnchor="margin" w:xAlign="center" w:y="1"/>
      <w:rPr>
        <w:rStyle w:val="20"/>
      </w:rPr>
    </w:pPr>
    <w:r>
      <w:fldChar w:fldCharType="begin"/>
    </w:r>
    <w:r>
      <w:rPr>
        <w:rStyle w:val="20"/>
      </w:rPr>
      <w:instrText xml:space="preserve">PAGE  </w:instrText>
    </w:r>
    <w:r>
      <w:fldChar w:fldCharType="separate"/>
    </w:r>
    <w:r>
      <w:rPr>
        <w:rStyle w:val="20"/>
      </w:rPr>
      <w:t>1</w:t>
    </w:r>
    <w:r>
      <w:fldChar w:fldCharType="end"/>
    </w:r>
  </w:p>
  <w:p w14:paraId="7BAC234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7D45A">
    <w:pPr>
      <w:pStyle w:val="12"/>
      <w:framePr w:wrap="around" w:vAnchor="text" w:hAnchor="margin" w:xAlign="center" w:y="1"/>
      <w:rPr>
        <w:rStyle w:val="20"/>
      </w:rPr>
    </w:pPr>
    <w:r>
      <w:fldChar w:fldCharType="begin"/>
    </w:r>
    <w:r>
      <w:rPr>
        <w:rStyle w:val="20"/>
      </w:rPr>
      <w:instrText xml:space="preserve">PAGE  </w:instrText>
    </w:r>
    <w:r>
      <w:fldChar w:fldCharType="end"/>
    </w:r>
  </w:p>
  <w:p w14:paraId="79BA46FA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wZWE2MWNkNDk5MjY1MWVmMzkxNWUwZjczODc2MmYifQ=="/>
  </w:docVars>
  <w:rsids>
    <w:rsidRoot w:val="002C6206"/>
    <w:rsid w:val="00014522"/>
    <w:rsid w:val="000228DD"/>
    <w:rsid w:val="00023168"/>
    <w:rsid w:val="00040763"/>
    <w:rsid w:val="000518C0"/>
    <w:rsid w:val="0006277A"/>
    <w:rsid w:val="00063C57"/>
    <w:rsid w:val="00064A01"/>
    <w:rsid w:val="00067C43"/>
    <w:rsid w:val="000721D7"/>
    <w:rsid w:val="00076001"/>
    <w:rsid w:val="00084F01"/>
    <w:rsid w:val="000877BF"/>
    <w:rsid w:val="00092024"/>
    <w:rsid w:val="00093220"/>
    <w:rsid w:val="00094251"/>
    <w:rsid w:val="0009433E"/>
    <w:rsid w:val="00096A15"/>
    <w:rsid w:val="000B4E26"/>
    <w:rsid w:val="000C0627"/>
    <w:rsid w:val="000C569D"/>
    <w:rsid w:val="000C5CF9"/>
    <w:rsid w:val="000C63A7"/>
    <w:rsid w:val="000C7C17"/>
    <w:rsid w:val="000E4924"/>
    <w:rsid w:val="000E752B"/>
    <w:rsid w:val="000E754A"/>
    <w:rsid w:val="000F042C"/>
    <w:rsid w:val="000F4074"/>
    <w:rsid w:val="0010338D"/>
    <w:rsid w:val="00107936"/>
    <w:rsid w:val="00112FEF"/>
    <w:rsid w:val="00120A58"/>
    <w:rsid w:val="00122705"/>
    <w:rsid w:val="00126F48"/>
    <w:rsid w:val="0013277D"/>
    <w:rsid w:val="00140900"/>
    <w:rsid w:val="00147A7E"/>
    <w:rsid w:val="001579B6"/>
    <w:rsid w:val="00167858"/>
    <w:rsid w:val="00195D02"/>
    <w:rsid w:val="0019716A"/>
    <w:rsid w:val="001A21CF"/>
    <w:rsid w:val="001A320C"/>
    <w:rsid w:val="001B1DAF"/>
    <w:rsid w:val="001B2FBF"/>
    <w:rsid w:val="001B4948"/>
    <w:rsid w:val="001B757C"/>
    <w:rsid w:val="001C28A4"/>
    <w:rsid w:val="001C4AAC"/>
    <w:rsid w:val="001C5CFF"/>
    <w:rsid w:val="001D33EA"/>
    <w:rsid w:val="001D4036"/>
    <w:rsid w:val="001D6E37"/>
    <w:rsid w:val="001E10AD"/>
    <w:rsid w:val="001E5F84"/>
    <w:rsid w:val="001E6F71"/>
    <w:rsid w:val="001E7EDD"/>
    <w:rsid w:val="0020678B"/>
    <w:rsid w:val="00213195"/>
    <w:rsid w:val="00213EF0"/>
    <w:rsid w:val="00216443"/>
    <w:rsid w:val="00223789"/>
    <w:rsid w:val="00242672"/>
    <w:rsid w:val="002454BE"/>
    <w:rsid w:val="002468AD"/>
    <w:rsid w:val="00247004"/>
    <w:rsid w:val="0026203F"/>
    <w:rsid w:val="002A6847"/>
    <w:rsid w:val="002B2781"/>
    <w:rsid w:val="002B28A0"/>
    <w:rsid w:val="002B6495"/>
    <w:rsid w:val="002C0FD5"/>
    <w:rsid w:val="002C11EB"/>
    <w:rsid w:val="002C41CD"/>
    <w:rsid w:val="002C619F"/>
    <w:rsid w:val="002C6206"/>
    <w:rsid w:val="002C6E64"/>
    <w:rsid w:val="002E04A4"/>
    <w:rsid w:val="002E1E56"/>
    <w:rsid w:val="00302B21"/>
    <w:rsid w:val="003030B7"/>
    <w:rsid w:val="00304BFB"/>
    <w:rsid w:val="003059B6"/>
    <w:rsid w:val="00312B2E"/>
    <w:rsid w:val="00315507"/>
    <w:rsid w:val="00321BDB"/>
    <w:rsid w:val="00324E75"/>
    <w:rsid w:val="00332CA4"/>
    <w:rsid w:val="00335AD5"/>
    <w:rsid w:val="003378AF"/>
    <w:rsid w:val="00345FAB"/>
    <w:rsid w:val="0035138E"/>
    <w:rsid w:val="00352B9A"/>
    <w:rsid w:val="00356CC9"/>
    <w:rsid w:val="00360626"/>
    <w:rsid w:val="00372B01"/>
    <w:rsid w:val="00372DEA"/>
    <w:rsid w:val="003769AE"/>
    <w:rsid w:val="003854DD"/>
    <w:rsid w:val="00391691"/>
    <w:rsid w:val="00393F03"/>
    <w:rsid w:val="00395A33"/>
    <w:rsid w:val="00395FFF"/>
    <w:rsid w:val="003962CD"/>
    <w:rsid w:val="003B4A44"/>
    <w:rsid w:val="003B57BC"/>
    <w:rsid w:val="003C3621"/>
    <w:rsid w:val="003C5F1F"/>
    <w:rsid w:val="003D4B70"/>
    <w:rsid w:val="003D758A"/>
    <w:rsid w:val="003E3EB5"/>
    <w:rsid w:val="003E4735"/>
    <w:rsid w:val="00400C50"/>
    <w:rsid w:val="00407998"/>
    <w:rsid w:val="004117B9"/>
    <w:rsid w:val="00417341"/>
    <w:rsid w:val="004229E9"/>
    <w:rsid w:val="00437CCA"/>
    <w:rsid w:val="004403BC"/>
    <w:rsid w:val="0044250A"/>
    <w:rsid w:val="004438C1"/>
    <w:rsid w:val="00446883"/>
    <w:rsid w:val="00452544"/>
    <w:rsid w:val="00454860"/>
    <w:rsid w:val="00460BCD"/>
    <w:rsid w:val="004625C6"/>
    <w:rsid w:val="00462B43"/>
    <w:rsid w:val="0046359B"/>
    <w:rsid w:val="004778DD"/>
    <w:rsid w:val="00477CFF"/>
    <w:rsid w:val="00481416"/>
    <w:rsid w:val="0048262F"/>
    <w:rsid w:val="00485497"/>
    <w:rsid w:val="004857CA"/>
    <w:rsid w:val="004944B8"/>
    <w:rsid w:val="00495634"/>
    <w:rsid w:val="00497C27"/>
    <w:rsid w:val="004B5CD4"/>
    <w:rsid w:val="004D394C"/>
    <w:rsid w:val="004D4107"/>
    <w:rsid w:val="004E64BD"/>
    <w:rsid w:val="004F40F1"/>
    <w:rsid w:val="004F6A44"/>
    <w:rsid w:val="005073AC"/>
    <w:rsid w:val="00511E79"/>
    <w:rsid w:val="00520044"/>
    <w:rsid w:val="00530E1E"/>
    <w:rsid w:val="005545D6"/>
    <w:rsid w:val="00563C20"/>
    <w:rsid w:val="00570645"/>
    <w:rsid w:val="0057170D"/>
    <w:rsid w:val="00573C86"/>
    <w:rsid w:val="005740B6"/>
    <w:rsid w:val="005758D2"/>
    <w:rsid w:val="00586D08"/>
    <w:rsid w:val="00587612"/>
    <w:rsid w:val="005A11F1"/>
    <w:rsid w:val="005A3DCA"/>
    <w:rsid w:val="005B146E"/>
    <w:rsid w:val="005B5916"/>
    <w:rsid w:val="005B79D2"/>
    <w:rsid w:val="005C4C7E"/>
    <w:rsid w:val="005C606A"/>
    <w:rsid w:val="005D0805"/>
    <w:rsid w:val="005D7283"/>
    <w:rsid w:val="005E3063"/>
    <w:rsid w:val="005E7370"/>
    <w:rsid w:val="005F5C2E"/>
    <w:rsid w:val="005F75D1"/>
    <w:rsid w:val="005F7D58"/>
    <w:rsid w:val="00601517"/>
    <w:rsid w:val="0061089A"/>
    <w:rsid w:val="00613ABF"/>
    <w:rsid w:val="00614E14"/>
    <w:rsid w:val="00617EB4"/>
    <w:rsid w:val="00620CF2"/>
    <w:rsid w:val="00620E8F"/>
    <w:rsid w:val="00642069"/>
    <w:rsid w:val="006500DE"/>
    <w:rsid w:val="00677713"/>
    <w:rsid w:val="00677F1A"/>
    <w:rsid w:val="00684444"/>
    <w:rsid w:val="00685EC6"/>
    <w:rsid w:val="006921CE"/>
    <w:rsid w:val="00697890"/>
    <w:rsid w:val="00697A3E"/>
    <w:rsid w:val="006C2E66"/>
    <w:rsid w:val="006C4794"/>
    <w:rsid w:val="006D13BA"/>
    <w:rsid w:val="006D5606"/>
    <w:rsid w:val="006F4933"/>
    <w:rsid w:val="006F4B58"/>
    <w:rsid w:val="0070056F"/>
    <w:rsid w:val="007015F5"/>
    <w:rsid w:val="00702F30"/>
    <w:rsid w:val="0070596F"/>
    <w:rsid w:val="00713800"/>
    <w:rsid w:val="00722B96"/>
    <w:rsid w:val="00725AB7"/>
    <w:rsid w:val="007309C6"/>
    <w:rsid w:val="00737EC7"/>
    <w:rsid w:val="007424D2"/>
    <w:rsid w:val="00743348"/>
    <w:rsid w:val="007724B3"/>
    <w:rsid w:val="0077653E"/>
    <w:rsid w:val="00782BDE"/>
    <w:rsid w:val="00785144"/>
    <w:rsid w:val="00794528"/>
    <w:rsid w:val="00794570"/>
    <w:rsid w:val="00795BB0"/>
    <w:rsid w:val="007A0C12"/>
    <w:rsid w:val="007C53A0"/>
    <w:rsid w:val="007D3B2E"/>
    <w:rsid w:val="007E42BE"/>
    <w:rsid w:val="00801A14"/>
    <w:rsid w:val="008122DB"/>
    <w:rsid w:val="00832AEA"/>
    <w:rsid w:val="00834BAE"/>
    <w:rsid w:val="00836169"/>
    <w:rsid w:val="00841D04"/>
    <w:rsid w:val="00846C42"/>
    <w:rsid w:val="00846FE1"/>
    <w:rsid w:val="00863336"/>
    <w:rsid w:val="00870D89"/>
    <w:rsid w:val="00876366"/>
    <w:rsid w:val="0087673B"/>
    <w:rsid w:val="0088144A"/>
    <w:rsid w:val="00883337"/>
    <w:rsid w:val="00883CC2"/>
    <w:rsid w:val="0088704C"/>
    <w:rsid w:val="00890397"/>
    <w:rsid w:val="0089248E"/>
    <w:rsid w:val="00894A89"/>
    <w:rsid w:val="008A4C44"/>
    <w:rsid w:val="008A4EE3"/>
    <w:rsid w:val="008A6FCD"/>
    <w:rsid w:val="008B29B4"/>
    <w:rsid w:val="008D1DE3"/>
    <w:rsid w:val="008D20A4"/>
    <w:rsid w:val="008D7F8B"/>
    <w:rsid w:val="008E0DB8"/>
    <w:rsid w:val="008E4432"/>
    <w:rsid w:val="008E5BDE"/>
    <w:rsid w:val="008E776F"/>
    <w:rsid w:val="008F39AF"/>
    <w:rsid w:val="008F3D10"/>
    <w:rsid w:val="00902C7C"/>
    <w:rsid w:val="00903F8B"/>
    <w:rsid w:val="009131CA"/>
    <w:rsid w:val="00916E9C"/>
    <w:rsid w:val="00921CC7"/>
    <w:rsid w:val="0092379D"/>
    <w:rsid w:val="00923F99"/>
    <w:rsid w:val="009262DE"/>
    <w:rsid w:val="00942F3C"/>
    <w:rsid w:val="00944E63"/>
    <w:rsid w:val="00953843"/>
    <w:rsid w:val="009670DA"/>
    <w:rsid w:val="009674C5"/>
    <w:rsid w:val="00967933"/>
    <w:rsid w:val="009803F6"/>
    <w:rsid w:val="00982819"/>
    <w:rsid w:val="00992FC2"/>
    <w:rsid w:val="009956F5"/>
    <w:rsid w:val="009A4887"/>
    <w:rsid w:val="009A5194"/>
    <w:rsid w:val="009B3F2D"/>
    <w:rsid w:val="009B3F69"/>
    <w:rsid w:val="009B569A"/>
    <w:rsid w:val="009B598B"/>
    <w:rsid w:val="009C3DAF"/>
    <w:rsid w:val="009C7D5C"/>
    <w:rsid w:val="009D26B8"/>
    <w:rsid w:val="009D30CA"/>
    <w:rsid w:val="009D7832"/>
    <w:rsid w:val="009E1078"/>
    <w:rsid w:val="009E1580"/>
    <w:rsid w:val="009E1583"/>
    <w:rsid w:val="009E5EB6"/>
    <w:rsid w:val="009E68F2"/>
    <w:rsid w:val="009F5874"/>
    <w:rsid w:val="009F5C3C"/>
    <w:rsid w:val="00A02454"/>
    <w:rsid w:val="00A03F9D"/>
    <w:rsid w:val="00A12B3C"/>
    <w:rsid w:val="00A20908"/>
    <w:rsid w:val="00A220DD"/>
    <w:rsid w:val="00A276FC"/>
    <w:rsid w:val="00A2775F"/>
    <w:rsid w:val="00A33412"/>
    <w:rsid w:val="00A37024"/>
    <w:rsid w:val="00A476B0"/>
    <w:rsid w:val="00A4774A"/>
    <w:rsid w:val="00A50AA6"/>
    <w:rsid w:val="00A52FD4"/>
    <w:rsid w:val="00A60675"/>
    <w:rsid w:val="00A606C8"/>
    <w:rsid w:val="00A612D9"/>
    <w:rsid w:val="00A62646"/>
    <w:rsid w:val="00A6317D"/>
    <w:rsid w:val="00A65946"/>
    <w:rsid w:val="00A67A4E"/>
    <w:rsid w:val="00A763B0"/>
    <w:rsid w:val="00A7647F"/>
    <w:rsid w:val="00A855E3"/>
    <w:rsid w:val="00A95581"/>
    <w:rsid w:val="00A96698"/>
    <w:rsid w:val="00A979B7"/>
    <w:rsid w:val="00AA0640"/>
    <w:rsid w:val="00AA3D4B"/>
    <w:rsid w:val="00AA6063"/>
    <w:rsid w:val="00AA76C9"/>
    <w:rsid w:val="00AB22D7"/>
    <w:rsid w:val="00AB76AA"/>
    <w:rsid w:val="00AC18B3"/>
    <w:rsid w:val="00AC66B7"/>
    <w:rsid w:val="00AD5BBA"/>
    <w:rsid w:val="00AE2DA1"/>
    <w:rsid w:val="00AF3C7E"/>
    <w:rsid w:val="00AF614F"/>
    <w:rsid w:val="00B017BE"/>
    <w:rsid w:val="00B03F3C"/>
    <w:rsid w:val="00B267C2"/>
    <w:rsid w:val="00B35B41"/>
    <w:rsid w:val="00B474CB"/>
    <w:rsid w:val="00B526DE"/>
    <w:rsid w:val="00B6794C"/>
    <w:rsid w:val="00BA5391"/>
    <w:rsid w:val="00BB5755"/>
    <w:rsid w:val="00BB6988"/>
    <w:rsid w:val="00BC2562"/>
    <w:rsid w:val="00BC26D2"/>
    <w:rsid w:val="00BC4E02"/>
    <w:rsid w:val="00BC5CA4"/>
    <w:rsid w:val="00BD44CB"/>
    <w:rsid w:val="00BE253E"/>
    <w:rsid w:val="00C03635"/>
    <w:rsid w:val="00C039E9"/>
    <w:rsid w:val="00C17987"/>
    <w:rsid w:val="00C210AF"/>
    <w:rsid w:val="00C41825"/>
    <w:rsid w:val="00C54AE7"/>
    <w:rsid w:val="00C57D42"/>
    <w:rsid w:val="00C612B7"/>
    <w:rsid w:val="00C75CAD"/>
    <w:rsid w:val="00C8111F"/>
    <w:rsid w:val="00C82F1D"/>
    <w:rsid w:val="00C94207"/>
    <w:rsid w:val="00CB28C2"/>
    <w:rsid w:val="00CB2B91"/>
    <w:rsid w:val="00CD2141"/>
    <w:rsid w:val="00CD34C1"/>
    <w:rsid w:val="00CD5E2A"/>
    <w:rsid w:val="00CE3AC6"/>
    <w:rsid w:val="00D037F6"/>
    <w:rsid w:val="00D06498"/>
    <w:rsid w:val="00D116AB"/>
    <w:rsid w:val="00D41B44"/>
    <w:rsid w:val="00D5089F"/>
    <w:rsid w:val="00D52A93"/>
    <w:rsid w:val="00D554E1"/>
    <w:rsid w:val="00D569B2"/>
    <w:rsid w:val="00D57544"/>
    <w:rsid w:val="00D60130"/>
    <w:rsid w:val="00D62622"/>
    <w:rsid w:val="00D63C70"/>
    <w:rsid w:val="00D63F93"/>
    <w:rsid w:val="00D727CB"/>
    <w:rsid w:val="00D76555"/>
    <w:rsid w:val="00D862EB"/>
    <w:rsid w:val="00D90881"/>
    <w:rsid w:val="00DA28CC"/>
    <w:rsid w:val="00DB0A9E"/>
    <w:rsid w:val="00DB1AB4"/>
    <w:rsid w:val="00DB5EA9"/>
    <w:rsid w:val="00DB72E2"/>
    <w:rsid w:val="00DC153E"/>
    <w:rsid w:val="00DC6B95"/>
    <w:rsid w:val="00DD2D3B"/>
    <w:rsid w:val="00DE5BA0"/>
    <w:rsid w:val="00DF05B3"/>
    <w:rsid w:val="00DF1234"/>
    <w:rsid w:val="00E006C0"/>
    <w:rsid w:val="00E05695"/>
    <w:rsid w:val="00E05AB5"/>
    <w:rsid w:val="00E062F0"/>
    <w:rsid w:val="00E10696"/>
    <w:rsid w:val="00E10C15"/>
    <w:rsid w:val="00E15401"/>
    <w:rsid w:val="00E20E34"/>
    <w:rsid w:val="00E220FB"/>
    <w:rsid w:val="00E37893"/>
    <w:rsid w:val="00E4121D"/>
    <w:rsid w:val="00E41937"/>
    <w:rsid w:val="00E54691"/>
    <w:rsid w:val="00E563D7"/>
    <w:rsid w:val="00E72E42"/>
    <w:rsid w:val="00E77DB9"/>
    <w:rsid w:val="00E969B4"/>
    <w:rsid w:val="00EB7745"/>
    <w:rsid w:val="00EB775B"/>
    <w:rsid w:val="00ED0A8E"/>
    <w:rsid w:val="00ED4EAE"/>
    <w:rsid w:val="00EE0B40"/>
    <w:rsid w:val="00EE0CC8"/>
    <w:rsid w:val="00EE219A"/>
    <w:rsid w:val="00EE33B1"/>
    <w:rsid w:val="00EF1693"/>
    <w:rsid w:val="00F03BB8"/>
    <w:rsid w:val="00F125FE"/>
    <w:rsid w:val="00F12BD4"/>
    <w:rsid w:val="00F2021A"/>
    <w:rsid w:val="00F20B83"/>
    <w:rsid w:val="00F2257D"/>
    <w:rsid w:val="00F25D87"/>
    <w:rsid w:val="00F269C0"/>
    <w:rsid w:val="00F317E0"/>
    <w:rsid w:val="00F32396"/>
    <w:rsid w:val="00F42391"/>
    <w:rsid w:val="00F44174"/>
    <w:rsid w:val="00F444F6"/>
    <w:rsid w:val="00F44F9E"/>
    <w:rsid w:val="00F4512B"/>
    <w:rsid w:val="00F47066"/>
    <w:rsid w:val="00F471C4"/>
    <w:rsid w:val="00F5294A"/>
    <w:rsid w:val="00F568D9"/>
    <w:rsid w:val="00F61B4D"/>
    <w:rsid w:val="00F71FC2"/>
    <w:rsid w:val="00F73654"/>
    <w:rsid w:val="00F83ED4"/>
    <w:rsid w:val="00F97068"/>
    <w:rsid w:val="00FB3DEC"/>
    <w:rsid w:val="00FB76E8"/>
    <w:rsid w:val="00FD13EB"/>
    <w:rsid w:val="00FD4957"/>
    <w:rsid w:val="00FE2CCB"/>
    <w:rsid w:val="00FE3CD5"/>
    <w:rsid w:val="02A861EC"/>
    <w:rsid w:val="0F6103A2"/>
    <w:rsid w:val="10723B47"/>
    <w:rsid w:val="187C6ADE"/>
    <w:rsid w:val="189C522C"/>
    <w:rsid w:val="1907692E"/>
    <w:rsid w:val="1C937D5E"/>
    <w:rsid w:val="1F171A10"/>
    <w:rsid w:val="2F49545B"/>
    <w:rsid w:val="31B8362C"/>
    <w:rsid w:val="3B657958"/>
    <w:rsid w:val="42BF47EF"/>
    <w:rsid w:val="486551FE"/>
    <w:rsid w:val="4D20220D"/>
    <w:rsid w:val="52572620"/>
    <w:rsid w:val="672C1A82"/>
    <w:rsid w:val="6C813123"/>
    <w:rsid w:val="6D983849"/>
    <w:rsid w:val="7200211D"/>
    <w:rsid w:val="778637D8"/>
    <w:rsid w:val="798F1AE3"/>
    <w:rsid w:val="DFEDA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100" w:beforeLines="100" w:after="100" w:afterLines="10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40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snapToGrid w:val="0"/>
      <w:spacing w:line="360" w:lineRule="auto"/>
      <w:ind w:right="70" w:firstLine="560" w:firstLineChars="200"/>
      <w:textAlignment w:val="bottom"/>
    </w:pPr>
    <w:rPr>
      <w:rFonts w:ascii="仿宋_GB2312" w:eastAsia="仿宋_GB2312"/>
      <w:sz w:val="28"/>
      <w:szCs w:val="28"/>
    </w:rPr>
  </w:style>
  <w:style w:type="paragraph" w:styleId="8">
    <w:name w:val="Plain Text"/>
    <w:basedOn w:val="1"/>
    <w:link w:val="29"/>
    <w:unhideWhenUsed/>
    <w:qFormat/>
    <w:uiPriority w:val="99"/>
    <w:rPr>
      <w:rFonts w:ascii="等线" w:hAnsi="Courier New" w:eastAsia="等线" w:cs="Courier New"/>
      <w:szCs w:val="22"/>
    </w:rPr>
  </w:style>
  <w:style w:type="paragraph" w:styleId="9">
    <w:name w:val="Date"/>
    <w:basedOn w:val="1"/>
    <w:next w:val="1"/>
    <w:link w:val="39"/>
    <w:qFormat/>
    <w:uiPriority w:val="0"/>
    <w:pPr>
      <w:ind w:left="100" w:leftChars="2500"/>
    </w:pPr>
  </w:style>
  <w:style w:type="paragraph" w:styleId="10">
    <w:name w:val="endnote text"/>
    <w:basedOn w:val="1"/>
    <w:link w:val="26"/>
    <w:qFormat/>
    <w:uiPriority w:val="0"/>
    <w:pPr>
      <w:snapToGrid w:val="0"/>
      <w:jc w:val="left"/>
    </w:p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Light Shading Accent 1"/>
    <w:basedOn w:val="15"/>
    <w:qFormat/>
    <w:uiPriority w:val="60"/>
    <w:rPr>
      <w:color w:val="2F5496"/>
      <w:sz w:val="22"/>
      <w:szCs w:val="22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character" w:styleId="19">
    <w:name w:val="endnote reference"/>
    <w:qFormat/>
    <w:uiPriority w:val="0"/>
    <w:rPr>
      <w:vertAlign w:val="superscript"/>
    </w:rPr>
  </w:style>
  <w:style w:type="character" w:styleId="20">
    <w:name w:val="page number"/>
    <w:qFormat/>
    <w:uiPriority w:val="0"/>
  </w:style>
  <w:style w:type="character" w:styleId="21">
    <w:name w:val="Emphasis"/>
    <w:basedOn w:val="18"/>
    <w:qFormat/>
    <w:uiPriority w:val="20"/>
    <w:rPr>
      <w:i/>
      <w:iCs/>
    </w:rPr>
  </w:style>
  <w:style w:type="character" w:styleId="22">
    <w:name w:val="Hyperlink"/>
    <w:qFormat/>
    <w:uiPriority w:val="0"/>
    <w:rPr>
      <w:color w:val="0563C1"/>
      <w:u w:val="single"/>
    </w:rPr>
  </w:style>
  <w:style w:type="character" w:customStyle="1" w:styleId="23">
    <w:name w:val="fontstyle11"/>
    <w:qFormat/>
    <w:uiPriority w:val="0"/>
    <w:rPr>
      <w:rFonts w:hint="default" w:ascii="FZSSK--GBK1-00+ZMNHcy-14" w:hAnsi="FZSSK--GBK1-00+ZMNHcy-14"/>
      <w:color w:val="000000"/>
      <w:sz w:val="20"/>
      <w:szCs w:val="20"/>
    </w:rPr>
  </w:style>
  <w:style w:type="character" w:customStyle="1" w:styleId="24">
    <w:name w:val="fontstyle01"/>
    <w:qFormat/>
    <w:uiPriority w:val="0"/>
    <w:rPr>
      <w:rFonts w:hint="default" w:ascii="B3+SimSun" w:hAnsi="B3+SimSun"/>
      <w:color w:val="000000"/>
      <w:sz w:val="14"/>
      <w:szCs w:val="14"/>
    </w:rPr>
  </w:style>
  <w:style w:type="character" w:customStyle="1" w:styleId="25">
    <w:name w:val="fontstyle91"/>
    <w:qFormat/>
    <w:uiPriority w:val="0"/>
    <w:rPr>
      <w:rFonts w:hint="default" w:ascii="FZSSK--GBK1-00+ZMNHdV-220" w:hAnsi="FZSSK--GBK1-00+ZMNHdV-220"/>
      <w:color w:val="000000"/>
      <w:sz w:val="20"/>
      <w:szCs w:val="20"/>
    </w:rPr>
  </w:style>
  <w:style w:type="character" w:customStyle="1" w:styleId="26">
    <w:name w:val="尾注文本 字符"/>
    <w:link w:val="10"/>
    <w:qFormat/>
    <w:uiPriority w:val="0"/>
    <w:rPr>
      <w:kern w:val="2"/>
      <w:sz w:val="21"/>
      <w:szCs w:val="24"/>
    </w:rPr>
  </w:style>
  <w:style w:type="character" w:customStyle="1" w:styleId="27">
    <w:name w:val="fontstyle51"/>
    <w:qFormat/>
    <w:uiPriority w:val="0"/>
    <w:rPr>
      <w:rFonts w:hint="default" w:ascii="SSJ4+ZMNHcx-1" w:hAnsi="SSJ4+ZMNHcx-1"/>
      <w:color w:val="000000"/>
      <w:sz w:val="20"/>
      <w:szCs w:val="20"/>
    </w:rPr>
  </w:style>
  <w:style w:type="character" w:customStyle="1" w:styleId="28">
    <w:name w:val="_Style 21"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纯文本 字符"/>
    <w:link w:val="8"/>
    <w:qFormat/>
    <w:uiPriority w:val="99"/>
    <w:rPr>
      <w:rFonts w:ascii="等线" w:hAnsi="Courier New" w:eastAsia="等线" w:cs="Courier New"/>
      <w:kern w:val="2"/>
      <w:sz w:val="21"/>
      <w:szCs w:val="22"/>
    </w:rPr>
  </w:style>
  <w:style w:type="character" w:customStyle="1" w:styleId="30">
    <w:name w:val="fontstyle21"/>
    <w:qFormat/>
    <w:uiPriority w:val="0"/>
    <w:rPr>
      <w:rFonts w:hint="default" w:ascii="FZSSK--GBK1-00+ZMNHc1-22" w:hAnsi="FZSSK--GBK1-00+ZMNHc1-22"/>
      <w:color w:val="000000"/>
      <w:sz w:val="20"/>
      <w:szCs w:val="20"/>
    </w:rPr>
  </w:style>
  <w:style w:type="character" w:customStyle="1" w:styleId="31">
    <w:name w:val="fontstyle61"/>
    <w:qFormat/>
    <w:uiPriority w:val="0"/>
    <w:rPr>
      <w:rFonts w:hint="default" w:ascii="FZSSK--GBK1-00+ZMNHdh-290" w:hAnsi="FZSSK--GBK1-00+ZMNHdh-290"/>
      <w:color w:val="000000"/>
      <w:sz w:val="20"/>
      <w:szCs w:val="20"/>
    </w:rPr>
  </w:style>
  <w:style w:type="character" w:customStyle="1" w:styleId="32">
    <w:name w:val="fontstyle31"/>
    <w:qFormat/>
    <w:uiPriority w:val="0"/>
    <w:rPr>
      <w:rFonts w:hint="default" w:ascii="DY265+ZMNHdj-302" w:hAnsi="DY265+ZMNHdj-302"/>
      <w:color w:val="000000"/>
      <w:sz w:val="20"/>
      <w:szCs w:val="20"/>
    </w:rPr>
  </w:style>
  <w:style w:type="character" w:customStyle="1" w:styleId="33">
    <w:name w:val="fontstyle81"/>
    <w:qFormat/>
    <w:uiPriority w:val="0"/>
    <w:rPr>
      <w:rFonts w:hint="default" w:ascii="FZSSK--GBK1-00+ZMNHdO-177" w:hAnsi="FZSSK--GBK1-00+ZMNHdO-177"/>
      <w:color w:val="000000"/>
      <w:sz w:val="20"/>
      <w:szCs w:val="20"/>
    </w:rPr>
  </w:style>
  <w:style w:type="character" w:customStyle="1" w:styleId="34">
    <w:name w:val="fontstyle71"/>
    <w:qFormat/>
    <w:uiPriority w:val="0"/>
    <w:rPr>
      <w:rFonts w:hint="default" w:ascii="FZSSK--GBK1-00+ZMNHcz-18" w:hAnsi="FZSSK--GBK1-00+ZMNHcz-18"/>
      <w:color w:val="000000"/>
      <w:sz w:val="20"/>
      <w:szCs w:val="20"/>
    </w:rPr>
  </w:style>
  <w:style w:type="character" w:customStyle="1" w:styleId="35">
    <w:name w:val="fontstyle41"/>
    <w:qFormat/>
    <w:uiPriority w:val="0"/>
    <w:rPr>
      <w:rFonts w:hint="default" w:ascii="FZSSK--GBK1-00+ZMNHcz-17" w:hAnsi="FZSSK--GBK1-00+ZMNHcz-17"/>
      <w:color w:val="000000"/>
      <w:sz w:val="20"/>
      <w:szCs w:val="20"/>
    </w:rPr>
  </w:style>
  <w:style w:type="paragraph" w:styleId="36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paragraph" w:customStyle="1" w:styleId="37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  <w:style w:type="table" w:customStyle="1" w:styleId="38">
    <w:name w:val="浅色底纹 - 着色 11"/>
    <w:basedOn w:val="15"/>
    <w:qFormat/>
    <w:uiPriority w:val="60"/>
    <w:rPr>
      <w:color w:val="2F5496"/>
      <w:sz w:val="22"/>
      <w:szCs w:val="22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single" w:color="4472C4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single" w:color="4472C4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character" w:customStyle="1" w:styleId="39">
    <w:name w:val="日期 字符"/>
    <w:basedOn w:val="18"/>
    <w:link w:val="9"/>
    <w:qFormat/>
    <w:uiPriority w:val="0"/>
    <w:rPr>
      <w:kern w:val="2"/>
      <w:sz w:val="21"/>
      <w:szCs w:val="24"/>
    </w:rPr>
  </w:style>
  <w:style w:type="character" w:customStyle="1" w:styleId="40">
    <w:name w:val="正文文本 字符"/>
    <w:basedOn w:val="18"/>
    <w:link w:val="6"/>
    <w:qFormat/>
    <w:uiPriority w:val="0"/>
    <w:rPr>
      <w:kern w:val="2"/>
      <w:sz w:val="21"/>
      <w:szCs w:val="24"/>
    </w:rPr>
  </w:style>
  <w:style w:type="paragraph" w:customStyle="1" w:styleId="41">
    <w:name w:val="标题1"/>
    <w:basedOn w:val="1"/>
    <w:qFormat/>
    <w:uiPriority w:val="0"/>
    <w:pPr>
      <w:tabs>
        <w:tab w:val="left" w:pos="168"/>
        <w:tab w:val="left" w:pos="1788"/>
        <w:tab w:val="left" w:pos="2838"/>
        <w:tab w:val="left" w:pos="4938"/>
        <w:tab w:val="left" w:pos="8088"/>
      </w:tabs>
      <w:spacing w:line="360" w:lineRule="auto"/>
      <w:jc w:val="left"/>
    </w:pPr>
    <w:rPr>
      <w:rFonts w:ascii="宋体"/>
      <w:sz w:val="24"/>
    </w:rPr>
  </w:style>
  <w:style w:type="character" w:customStyle="1" w:styleId="42">
    <w:name w:val="标题 1 字符"/>
    <w:basedOn w:val="18"/>
    <w:link w:val="2"/>
    <w:qFormat/>
    <w:uiPriority w:val="9"/>
    <w:rPr>
      <w:rFonts w:ascii="Times New Roman" w:hAnsi="Times New Roman" w:eastAsia="黑体" w:cs="Times New Roman"/>
      <w:b/>
      <w:bCs/>
      <w:kern w:val="44"/>
      <w:sz w:val="2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moe</Company>
  <Pages>6</Pages>
  <Words>303</Words>
  <Characters>313</Characters>
  <Lines>60</Lines>
  <Paragraphs>36</Paragraphs>
  <TotalTime>34</TotalTime>
  <ScaleCrop>false</ScaleCrop>
  <LinksUpToDate>false</LinksUpToDate>
  <CharactersWithSpaces>417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2024-12-27T06:00:00Z</dcterms:created>
  <dc:creator>赵希文</dc:creator>
  <cp:lastModifiedBy>张胡邵</cp:lastModifiedBy>
  <cp:lastPrinted>2021-11-25T11:04:00Z</cp:lastPrinted>
  <dcterms:modified xsi:type="dcterms:W3CDTF">2025-10-18T15:00:26Z</dcterms:modified>
  <dc:title>立项报告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A9065D790522D9EECC3D6E6776D0BAC2_43</vt:lpwstr>
  </property>
  <property fmtid="{D5CDD505-2E9C-101B-9397-08002B2CF9AE}" pid="4" name="KSOTemplateDocerSaveRecord">
    <vt:lpwstr>eyJoZGlkIjoiZDk4Y2RiMGMzYzg1Y2RkNGFhMGZhMzM0OTIxZjIzOWIiLCJ1c2VySWQiOiI3MTQ5ODI5ODMifQ==</vt:lpwstr>
  </property>
</Properties>
</file>