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B4E89" w14:textId="77777777" w:rsidR="00ED3E5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Alpha</w:t>
      </w:r>
      <w:r>
        <w:rPr>
          <w:rFonts w:ascii="Arial" w:eastAsia="等线" w:hAnsi="Arial" w:cs="Arial"/>
          <w:b/>
          <w:sz w:val="52"/>
        </w:rPr>
        <w:t>挖掘手册</w:t>
      </w:r>
    </w:p>
    <w:p w14:paraId="4210D129" w14:textId="77777777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因子挖掘方向</w:t>
      </w:r>
      <w:bookmarkEnd w:id="0"/>
    </w:p>
    <w:p w14:paraId="1A34E13F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、行情数据</w:t>
      </w:r>
      <w:r>
        <w:rPr>
          <w:rFonts w:ascii="Arial" w:eastAsia="等线" w:hAnsi="Arial" w:cs="Arial"/>
          <w:sz w:val="22"/>
        </w:rPr>
        <w:t xml:space="preserve"> - 1d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5m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1m</w:t>
      </w:r>
      <w:r>
        <w:rPr>
          <w:rFonts w:ascii="Arial" w:eastAsia="等线" w:hAnsi="Arial" w:cs="Arial"/>
          <w:sz w:val="22"/>
        </w:rPr>
        <w:t>，技术指标</w:t>
      </w:r>
      <w:r>
        <w:rPr>
          <w:rFonts w:ascii="Arial" w:eastAsia="等线" w:hAnsi="Arial" w:cs="Arial"/>
          <w:sz w:val="22"/>
        </w:rPr>
        <w:t xml:space="preserve"> - 1d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年至今，行情数据所有变量，技术指标</w:t>
      </w:r>
      <w:r>
        <w:rPr>
          <w:rFonts w:ascii="Arial" w:eastAsia="等线" w:hAnsi="Arial" w:cs="Arial"/>
          <w:sz w:val="22"/>
        </w:rPr>
        <w:t>TechIndex</w:t>
      </w:r>
      <w:r>
        <w:rPr>
          <w:rFonts w:ascii="Arial" w:eastAsia="等线" w:hAnsi="Arial" w:cs="Arial"/>
          <w:sz w:val="22"/>
        </w:rPr>
        <w:t>所有变量</w:t>
      </w:r>
    </w:p>
    <w:p w14:paraId="79B1EF12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、资金流数据</w:t>
      </w:r>
      <w:r>
        <w:rPr>
          <w:rFonts w:ascii="Arial" w:eastAsia="等线" w:hAnsi="Arial" w:cs="Arial"/>
          <w:sz w:val="22"/>
        </w:rPr>
        <w:t xml:space="preserve"> - 1d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1m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202307</w:t>
      </w:r>
      <w:r>
        <w:rPr>
          <w:rFonts w:ascii="Arial" w:eastAsia="等线" w:hAnsi="Arial" w:cs="Arial"/>
          <w:sz w:val="22"/>
        </w:rPr>
        <w:t>至今，所有变量</w:t>
      </w:r>
    </w:p>
    <w:p w14:paraId="3A2D86CB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Tick</w:t>
      </w:r>
      <w:r>
        <w:rPr>
          <w:rFonts w:ascii="Arial" w:eastAsia="等线" w:hAnsi="Arial" w:cs="Arial"/>
          <w:sz w:val="22"/>
        </w:rPr>
        <w:t>数据</w:t>
      </w:r>
      <w:r>
        <w:rPr>
          <w:rFonts w:ascii="Arial" w:eastAsia="等线" w:hAnsi="Arial" w:cs="Arial"/>
          <w:sz w:val="22"/>
        </w:rPr>
        <w:t xml:space="preserve"> - 1m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年至今，所有已算完且合格变量</w:t>
      </w:r>
    </w:p>
    <w:p w14:paraId="7F98D9F5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、基本面财务数据</w:t>
      </w:r>
      <w:r>
        <w:rPr>
          <w:rFonts w:ascii="Arial" w:eastAsia="等线" w:hAnsi="Arial" w:cs="Arial"/>
          <w:sz w:val="22"/>
        </w:rPr>
        <w:t xml:space="preserve"> - 1d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15%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2019</w:t>
      </w:r>
      <w:r>
        <w:rPr>
          <w:rFonts w:ascii="Arial" w:eastAsia="等线" w:hAnsi="Arial" w:cs="Arial"/>
          <w:sz w:val="22"/>
        </w:rPr>
        <w:t>年至今，</w:t>
      </w:r>
      <w:r>
        <w:rPr>
          <w:rFonts w:ascii="Arial" w:eastAsia="等线" w:hAnsi="Arial" w:cs="Arial"/>
          <w:sz w:val="22"/>
        </w:rPr>
        <w:t xml:space="preserve">(factor: </w:t>
      </w:r>
      <w:r>
        <w:rPr>
          <w:rFonts w:ascii="Arial" w:eastAsia="等线" w:hAnsi="Arial" w:cs="Arial"/>
          <w:sz w:val="22"/>
        </w:rPr>
        <w:t>结尾</w:t>
      </w:r>
      <w:r>
        <w:rPr>
          <w:rFonts w:ascii="Arial" w:eastAsia="等线" w:hAnsi="Arial" w:cs="Arial"/>
          <w:sz w:val="22"/>
        </w:rPr>
        <w:t xml:space="preserve">mrq_0, Consensus: </w:t>
      </w:r>
      <w:r>
        <w:rPr>
          <w:rFonts w:ascii="Arial" w:eastAsia="等线" w:hAnsi="Arial" w:cs="Arial"/>
          <w:sz w:val="22"/>
        </w:rPr>
        <w:t>结尾</w:t>
      </w:r>
      <w:r>
        <w:rPr>
          <w:rFonts w:ascii="Arial" w:eastAsia="等线" w:hAnsi="Arial" w:cs="Arial"/>
          <w:sz w:val="22"/>
        </w:rPr>
        <w:t xml:space="preserve">ftm, Derivatives: </w:t>
      </w:r>
      <w:r>
        <w:rPr>
          <w:rFonts w:ascii="Arial" w:eastAsia="等线" w:hAnsi="Arial" w:cs="Arial"/>
          <w:sz w:val="22"/>
        </w:rPr>
        <w:t>结尾</w:t>
      </w:r>
      <w:r>
        <w:rPr>
          <w:rFonts w:ascii="Arial" w:eastAsia="等线" w:hAnsi="Arial" w:cs="Arial"/>
          <w:sz w:val="22"/>
        </w:rPr>
        <w:t xml:space="preserve">ttm, Forecast: </w:t>
      </w:r>
      <w:r>
        <w:rPr>
          <w:rFonts w:ascii="Arial" w:eastAsia="等线" w:hAnsi="Arial" w:cs="Arial"/>
          <w:sz w:val="22"/>
        </w:rPr>
        <w:t>结尾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</w:t>
      </w:r>
    </w:p>
    <w:p w14:paraId="25EE7F65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ESG</w:t>
      </w:r>
      <w:r>
        <w:rPr>
          <w:rFonts w:ascii="Arial" w:eastAsia="等线" w:hAnsi="Arial" w:cs="Arial"/>
          <w:sz w:val="22"/>
        </w:rPr>
        <w:t>数据</w:t>
      </w:r>
      <w:r>
        <w:rPr>
          <w:rFonts w:ascii="Arial" w:eastAsia="等线" w:hAnsi="Arial" w:cs="Arial"/>
          <w:sz w:val="22"/>
        </w:rPr>
        <w:t xml:space="preserve"> - 1d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15%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2020</w:t>
      </w:r>
      <w:r>
        <w:rPr>
          <w:rFonts w:ascii="Arial" w:eastAsia="等线" w:hAnsi="Arial" w:cs="Arial"/>
          <w:sz w:val="22"/>
        </w:rPr>
        <w:t>年至今</w:t>
      </w:r>
    </w:p>
    <w:p w14:paraId="499A150A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、新闻舆情数据</w:t>
      </w:r>
      <w:r>
        <w:rPr>
          <w:rFonts w:ascii="Arial" w:eastAsia="等线" w:hAnsi="Arial" w:cs="Arial"/>
          <w:sz w:val="22"/>
        </w:rPr>
        <w:t xml:space="preserve"> - 1d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2020</w:t>
      </w:r>
      <w:r>
        <w:rPr>
          <w:rFonts w:ascii="Arial" w:eastAsia="等线" w:hAnsi="Arial" w:cs="Arial"/>
          <w:sz w:val="22"/>
        </w:rPr>
        <w:t>年至今</w:t>
      </w:r>
    </w:p>
    <w:p w14:paraId="3726082F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、基金持仓数据</w:t>
      </w:r>
      <w:r>
        <w:rPr>
          <w:rFonts w:ascii="Arial" w:eastAsia="等线" w:hAnsi="Arial" w:cs="Arial"/>
          <w:sz w:val="22"/>
        </w:rPr>
        <w:t xml:space="preserve"> - 1d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15%</w:t>
      </w:r>
      <w:r>
        <w:rPr>
          <w:rFonts w:ascii="Arial" w:eastAsia="等线" w:hAnsi="Arial" w:cs="Arial"/>
          <w:sz w:val="22"/>
        </w:rPr>
        <w:t>），</w:t>
      </w:r>
      <w:r>
        <w:rPr>
          <w:rFonts w:ascii="Arial" w:eastAsia="等线" w:hAnsi="Arial" w:cs="Arial"/>
          <w:sz w:val="22"/>
        </w:rPr>
        <w:t>2020</w:t>
      </w:r>
      <w:r>
        <w:rPr>
          <w:rFonts w:ascii="Arial" w:eastAsia="等线" w:hAnsi="Arial" w:cs="Arial"/>
          <w:sz w:val="22"/>
        </w:rPr>
        <w:t>年至今</w:t>
      </w:r>
    </w:p>
    <w:p w14:paraId="4914CDF6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、综合方向：至少使用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类以上数据（</w:t>
      </w:r>
      <w:r>
        <w:rPr>
          <w:rFonts w:ascii="Arial" w:eastAsia="等线" w:hAnsi="Arial" w:cs="Arial"/>
          <w:sz w:val="22"/>
        </w:rPr>
        <w:t>15%</w:t>
      </w:r>
      <w:r>
        <w:rPr>
          <w:rFonts w:ascii="Arial" w:eastAsia="等线" w:hAnsi="Arial" w:cs="Arial"/>
          <w:sz w:val="22"/>
        </w:rPr>
        <w:t>）</w:t>
      </w:r>
    </w:p>
    <w:p w14:paraId="3E2E3CDF" w14:textId="77777777" w:rsidR="00ED3E51" w:rsidRDefault="00ED3E51">
      <w:pPr>
        <w:spacing w:before="120" w:after="120" w:line="288" w:lineRule="auto"/>
        <w:jc w:val="left"/>
        <w:rPr>
          <w:rFonts w:hint="eastAsia"/>
        </w:rPr>
      </w:pPr>
    </w:p>
    <w:p w14:paraId="0EE1FD13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Python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运行环境：统一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python3.10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，推荐使用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vscode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软件编写代码。</w:t>
      </w:r>
    </w:p>
    <w:p w14:paraId="0EB66F03" w14:textId="77777777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1</w:t>
      </w:r>
      <w:r>
        <w:rPr>
          <w:rFonts w:ascii="Arial" w:eastAsia="等线" w:hAnsi="Arial" w:cs="Arial"/>
          <w:b/>
          <w:sz w:val="36"/>
        </w:rPr>
        <w:t>、数据包</w:t>
      </w:r>
      <w:bookmarkEnd w:id="1"/>
    </w:p>
    <w:p w14:paraId="07CD86E8" w14:textId="77777777" w:rsidR="00ED3E51" w:rsidRDefault="00ED3E51">
      <w:pPr>
        <w:spacing w:before="120" w:after="120" w:line="288" w:lineRule="auto"/>
        <w:jc w:val="left"/>
        <w:rPr>
          <w:rFonts w:hint="eastAsia"/>
        </w:rPr>
      </w:pPr>
    </w:p>
    <w:p w14:paraId="72BD2A53" w14:textId="77777777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2</w:t>
      </w:r>
      <w:r>
        <w:rPr>
          <w:rFonts w:ascii="Arial" w:eastAsia="等线" w:hAnsi="Arial" w:cs="Arial"/>
          <w:b/>
          <w:sz w:val="36"/>
        </w:rPr>
        <w:t>、基础算子库</w:t>
      </w:r>
      <w:bookmarkEnd w:id="2"/>
    </w:p>
    <w:p w14:paraId="5E0DAD42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[Operator.zip]</w:t>
      </w:r>
    </w:p>
    <w:p w14:paraId="4DBCA799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基础算子库介绍，定期更新：</w:t>
      </w:r>
    </w:p>
    <w:p w14:paraId="597684A1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 xml:space="preserve"> https://tyls4k3nu2.feishu.cn/wiki/RECXwQqFvio5i3k1qsicD0Wanfc </w:t>
      </w:r>
    </w:p>
    <w:p w14:paraId="32CAEB7B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Password: 496863@Q</w:t>
      </w:r>
    </w:p>
    <w:p w14:paraId="2DB8A31A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  <w:shd w:val="clear" w:color="auto" w:fill="FFF67A"/>
        </w:rPr>
        <w:t>注意：日频数据在使用算子前都需要将变量</w:t>
      </w:r>
      <w:r>
        <w:rPr>
          <w:rFonts w:ascii="Arial" w:eastAsia="等线" w:hAnsi="Arial" w:cs="Arial"/>
          <w:sz w:val="22"/>
          <w:shd w:val="clear" w:color="auto" w:fill="FFF67A"/>
        </w:rPr>
        <w:t>df.index.astype(str)</w:t>
      </w:r>
      <w:r>
        <w:rPr>
          <w:rFonts w:ascii="Arial" w:eastAsia="等线" w:hAnsi="Arial" w:cs="Arial"/>
          <w:sz w:val="22"/>
          <w:shd w:val="clear" w:color="auto" w:fill="FFF67A"/>
        </w:rPr>
        <w:t>后，再使用算子。</w:t>
      </w:r>
    </w:p>
    <w:p w14:paraId="1F55F8FC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需要算子没有的请先向老师反馈，写因子时若算子库有算子，</w:t>
      </w:r>
      <w:r>
        <w:rPr>
          <w:rFonts w:ascii="Arial" w:eastAsia="等线" w:hAnsi="Arial" w:cs="Arial"/>
          <w:b/>
          <w:color w:val="D83931"/>
          <w:sz w:val="22"/>
        </w:rPr>
        <w:t>必须用算子库的算子</w:t>
      </w:r>
      <w:r>
        <w:rPr>
          <w:rFonts w:ascii="Arial" w:eastAsia="等线" w:hAnsi="Arial" w:cs="Arial"/>
          <w:color w:val="D83931"/>
          <w:sz w:val="22"/>
        </w:rPr>
        <w:t>。</w:t>
      </w:r>
    </w:p>
    <w:p w14:paraId="403D9B89" w14:textId="77777777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、因子回测包</w:t>
      </w:r>
      <w:bookmarkEnd w:id="3"/>
    </w:p>
    <w:p w14:paraId="1684B542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lastRenderedPageBreak/>
        <w:t>[Backtest_intern.zip]</w:t>
      </w:r>
    </w:p>
    <w:p w14:paraId="7C2A5A52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用于单因子回测。</w:t>
      </w:r>
    </w:p>
    <w:p w14:paraId="7FD80893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stock.pkl</w:t>
      </w:r>
      <w:r>
        <w:rPr>
          <w:rFonts w:ascii="Arial" w:eastAsia="等线" w:hAnsi="Arial" w:cs="Arial"/>
          <w:b/>
          <w:sz w:val="22"/>
        </w:rPr>
        <w:t>文件是计算因子的统一股票集。</w:t>
      </w:r>
    </w:p>
    <w:p w14:paraId="1DCDFB4C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回测默认因子值越小，认为未来收益越高</w:t>
      </w:r>
      <w:r>
        <w:rPr>
          <w:rFonts w:ascii="Arial" w:eastAsia="等线" w:hAnsi="Arial" w:cs="Arial"/>
          <w:sz w:val="22"/>
        </w:rPr>
        <w:t>。如果是因子值越大，认为未来收益越高，因子值加个负号就行。</w:t>
      </w:r>
    </w:p>
    <w:p w14:paraId="022E4AE2" w14:textId="77777777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4</w:t>
      </w:r>
      <w:r>
        <w:rPr>
          <w:rFonts w:ascii="Arial" w:eastAsia="等线" w:hAnsi="Arial" w:cs="Arial"/>
          <w:b/>
          <w:sz w:val="36"/>
        </w:rPr>
        <w:t>、量价因子研究举例及学习资料</w:t>
      </w:r>
      <w:bookmarkEnd w:id="4"/>
    </w:p>
    <w:p w14:paraId="44FB8363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[factor_research_demo.ipynb]</w:t>
      </w:r>
    </w:p>
    <w:p w14:paraId="7FEC4B26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[20210712-</w:t>
      </w:r>
      <w:r>
        <w:rPr>
          <w:rFonts w:ascii="Arial" w:eastAsia="等线" w:hAnsi="Arial" w:cs="Arial"/>
          <w:b/>
          <w:color w:val="646A73"/>
          <w:sz w:val="22"/>
        </w:rPr>
        <w:t>广发证券</w:t>
      </w:r>
      <w:r>
        <w:rPr>
          <w:rFonts w:ascii="Arial" w:eastAsia="等线" w:hAnsi="Arial" w:cs="Arial"/>
          <w:b/>
          <w:color w:val="646A73"/>
          <w:sz w:val="22"/>
        </w:rPr>
        <w:t>-</w:t>
      </w:r>
      <w:r>
        <w:rPr>
          <w:rFonts w:ascii="Arial" w:eastAsia="等线" w:hAnsi="Arial" w:cs="Arial"/>
          <w:b/>
          <w:color w:val="646A73"/>
          <w:sz w:val="22"/>
        </w:rPr>
        <w:t>多因子</w:t>
      </w:r>
      <w:r>
        <w:rPr>
          <w:rFonts w:ascii="Arial" w:eastAsia="等线" w:hAnsi="Arial" w:cs="Arial"/>
          <w:b/>
          <w:color w:val="646A73"/>
          <w:sz w:val="22"/>
        </w:rPr>
        <w:t>Alpha</w:t>
      </w:r>
      <w:r>
        <w:rPr>
          <w:rFonts w:ascii="Arial" w:eastAsia="等线" w:hAnsi="Arial" w:cs="Arial"/>
          <w:b/>
          <w:color w:val="646A73"/>
          <w:sz w:val="22"/>
        </w:rPr>
        <w:t>系列报告之（四十一）：高频价量数据的因子化方法</w:t>
      </w:r>
      <w:r>
        <w:rPr>
          <w:rFonts w:ascii="Arial" w:eastAsia="等线" w:hAnsi="Arial" w:cs="Arial"/>
          <w:b/>
          <w:color w:val="646A73"/>
          <w:sz w:val="22"/>
        </w:rPr>
        <w:t>(2).pdf]</w:t>
      </w:r>
    </w:p>
    <w:p w14:paraId="270BEE03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比较经典的高频因子，可选择复现：</w:t>
      </w:r>
    </w:p>
    <w:p w14:paraId="0FB6B0A6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https://mp.weixin.qq.com/s/N48b27FAPwcbQZkbnlBhwQ</w:t>
      </w:r>
    </w:p>
    <w:p w14:paraId="6EA395B0" w14:textId="77777777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5</w:t>
      </w:r>
      <w:r>
        <w:rPr>
          <w:rFonts w:ascii="Arial" w:eastAsia="等线" w:hAnsi="Arial" w:cs="Arial"/>
          <w:b/>
          <w:sz w:val="36"/>
        </w:rPr>
        <w:t>、因子要求</w:t>
      </w:r>
      <w:r>
        <w:rPr>
          <w:rFonts w:ascii="Arial" w:eastAsia="等线" w:hAnsi="Arial" w:cs="Arial"/>
          <w:b/>
          <w:sz w:val="36"/>
        </w:rPr>
        <w:t>&amp;</w:t>
      </w:r>
      <w:r>
        <w:rPr>
          <w:rFonts w:ascii="Arial" w:eastAsia="等线" w:hAnsi="Arial" w:cs="Arial"/>
          <w:b/>
          <w:sz w:val="36"/>
        </w:rPr>
        <w:t>提交</w:t>
      </w:r>
      <w:bookmarkEnd w:id="5"/>
    </w:p>
    <w:p w14:paraId="14B2626C" w14:textId="77777777" w:rsidR="00ED3E51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因子要求</w:t>
      </w:r>
      <w:bookmarkEnd w:id="6"/>
    </w:p>
    <w:p w14:paraId="1A7688DA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、因子来源于研报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独立课题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自己研究的</w:t>
      </w:r>
      <w:r>
        <w:rPr>
          <w:rFonts w:ascii="Arial" w:eastAsia="等线" w:hAnsi="Arial" w:cs="Arial"/>
          <w:b/>
          <w:color w:val="D83931"/>
          <w:sz w:val="22"/>
        </w:rPr>
        <w:t>“</w:t>
      </w:r>
      <w:r>
        <w:rPr>
          <w:rFonts w:ascii="Arial" w:eastAsia="等线" w:hAnsi="Arial" w:cs="Arial"/>
          <w:b/>
          <w:color w:val="D83931"/>
          <w:sz w:val="22"/>
        </w:rPr>
        <w:t>复现</w:t>
      </w:r>
      <w:r>
        <w:rPr>
          <w:rFonts w:ascii="Arial" w:eastAsia="等线" w:hAnsi="Arial" w:cs="Arial"/>
          <w:b/>
          <w:color w:val="D83931"/>
          <w:sz w:val="22"/>
        </w:rPr>
        <w:t>+</w:t>
      </w:r>
      <w:r>
        <w:rPr>
          <w:rFonts w:ascii="Arial" w:eastAsia="等线" w:hAnsi="Arial" w:cs="Arial"/>
          <w:b/>
          <w:color w:val="D83931"/>
          <w:sz w:val="22"/>
        </w:rPr>
        <w:t>改进</w:t>
      </w:r>
      <w:r>
        <w:rPr>
          <w:rFonts w:ascii="Arial" w:eastAsia="等线" w:hAnsi="Arial" w:cs="Arial"/>
          <w:b/>
          <w:color w:val="D83931"/>
          <w:sz w:val="22"/>
        </w:rPr>
        <w:t>”</w:t>
      </w:r>
      <w:r>
        <w:rPr>
          <w:rFonts w:ascii="Arial" w:eastAsia="等线" w:hAnsi="Arial" w:cs="Arial"/>
          <w:b/>
          <w:sz w:val="22"/>
        </w:rPr>
        <w:t>。</w:t>
      </w:r>
    </w:p>
    <w:p w14:paraId="506CCED6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b/>
          <w:sz w:val="22"/>
        </w:rPr>
        <w:t>因子质量要求：</w:t>
      </w:r>
      <w:r>
        <w:rPr>
          <w:rFonts w:ascii="Arial" w:eastAsia="等线" w:hAnsi="Arial" w:cs="Arial"/>
          <w:b/>
          <w:sz w:val="22"/>
        </w:rPr>
        <w:t>(</w:t>
      </w:r>
      <w:r>
        <w:rPr>
          <w:rFonts w:ascii="Arial" w:eastAsia="等线" w:hAnsi="Arial" w:cs="Arial"/>
          <w:b/>
          <w:sz w:val="22"/>
        </w:rPr>
        <w:t>如有特殊情况请咨询老师）</w:t>
      </w:r>
    </w:p>
    <w:p w14:paraId="7947D80E" w14:textId="77777777" w:rsidR="00ED3E51" w:rsidRDefault="00000000">
      <w:pPr>
        <w:numPr>
          <w:ilvl w:val="0"/>
          <w:numId w:val="1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全市场回测第一组收益率</w:t>
      </w:r>
      <w:r>
        <w:rPr>
          <w:rFonts w:ascii="Arial" w:eastAsia="等线" w:hAnsi="Arial" w:cs="Arial"/>
          <w:b/>
          <w:sz w:val="22"/>
        </w:rPr>
        <w:t>15%</w:t>
      </w:r>
      <w:r>
        <w:rPr>
          <w:rFonts w:ascii="Arial" w:eastAsia="等线" w:hAnsi="Arial" w:cs="Arial"/>
          <w:b/>
          <w:sz w:val="22"/>
        </w:rPr>
        <w:t>以上</w:t>
      </w:r>
    </w:p>
    <w:p w14:paraId="54389C01" w14:textId="77777777" w:rsidR="00ED3E51" w:rsidRDefault="00000000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全市场</w:t>
      </w:r>
      <w:r>
        <w:rPr>
          <w:rFonts w:ascii="Arial" w:eastAsia="等线" w:hAnsi="Arial" w:cs="Arial"/>
          <w:b/>
          <w:sz w:val="22"/>
        </w:rPr>
        <w:t>IC</w:t>
      </w:r>
      <w:r>
        <w:rPr>
          <w:rFonts w:ascii="Arial" w:eastAsia="等线" w:hAnsi="Arial" w:cs="Arial"/>
          <w:b/>
          <w:sz w:val="22"/>
        </w:rPr>
        <w:t>均值（</w:t>
      </w:r>
      <w:r>
        <w:rPr>
          <w:rFonts w:ascii="Arial" w:eastAsia="等线" w:hAnsi="Arial" w:cs="Arial"/>
          <w:b/>
          <w:sz w:val="22"/>
        </w:rPr>
        <w:t>Rank IC mean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b/>
          <w:sz w:val="22"/>
        </w:rPr>
        <w:t>: 0.03</w:t>
      </w:r>
      <w:r>
        <w:rPr>
          <w:rFonts w:ascii="Arial" w:eastAsia="等线" w:hAnsi="Arial" w:cs="Arial"/>
          <w:b/>
          <w:sz w:val="22"/>
        </w:rPr>
        <w:t>以上</w:t>
      </w:r>
    </w:p>
    <w:p w14:paraId="1AC5A337" w14:textId="77777777" w:rsidR="00ED3E51" w:rsidRDefault="00000000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指数回测收益率</w:t>
      </w:r>
      <w:r>
        <w:rPr>
          <w:rFonts w:ascii="Arial" w:eastAsia="等线" w:hAnsi="Arial" w:cs="Arial"/>
          <w:b/>
          <w:sz w:val="22"/>
        </w:rPr>
        <w:t>5%</w:t>
      </w:r>
      <w:r>
        <w:rPr>
          <w:rFonts w:ascii="Arial" w:eastAsia="等线" w:hAnsi="Arial" w:cs="Arial"/>
          <w:b/>
          <w:sz w:val="22"/>
        </w:rPr>
        <w:t>以上，夏普</w:t>
      </w: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以上</w:t>
      </w:r>
    </w:p>
    <w:p w14:paraId="2B132815" w14:textId="77777777" w:rsidR="00ED3E51" w:rsidRDefault="00000000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全市场回测第一组换手率尽量不低于</w:t>
      </w:r>
      <w:r>
        <w:rPr>
          <w:rFonts w:ascii="Arial" w:eastAsia="等线" w:hAnsi="Arial" w:cs="Arial"/>
          <w:b/>
          <w:sz w:val="22"/>
        </w:rPr>
        <w:t>15%</w:t>
      </w:r>
    </w:p>
    <w:p w14:paraId="18F582D3" w14:textId="77777777" w:rsidR="00ED3E51" w:rsidRDefault="00000000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最大相关性（</w:t>
      </w:r>
      <w:r>
        <w:rPr>
          <w:rFonts w:ascii="Arial" w:eastAsia="等线" w:hAnsi="Arial" w:cs="Arial"/>
          <w:b/>
          <w:sz w:val="22"/>
        </w:rPr>
        <w:t xml:space="preserve">Max_Value) &lt; 0.85 </w:t>
      </w:r>
    </w:p>
    <w:p w14:paraId="1DA8A049" w14:textId="77777777" w:rsidR="00ED3E51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第一步：远程服务器因子</w:t>
      </w:r>
      <w:r>
        <w:rPr>
          <w:rFonts w:ascii="Arial" w:eastAsia="等线" w:hAnsi="Arial" w:cs="Arial"/>
          <w:b/>
          <w:sz w:val="30"/>
        </w:rPr>
        <w:t>py</w:t>
      </w:r>
      <w:r>
        <w:rPr>
          <w:rFonts w:ascii="Arial" w:eastAsia="等线" w:hAnsi="Arial" w:cs="Arial"/>
          <w:b/>
          <w:sz w:val="30"/>
        </w:rPr>
        <w:t>文件提交</w:t>
      </w:r>
      <w:bookmarkEnd w:id="7"/>
    </w:p>
    <w:p w14:paraId="6919DCDF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[upload_demo_intern.zip]</w:t>
      </w:r>
    </w:p>
    <w:p w14:paraId="203B3460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Alpha</w:t>
      </w:r>
      <w:r>
        <w:rPr>
          <w:rFonts w:ascii="Arial" w:eastAsia="等线" w:hAnsi="Arial" w:cs="Arial"/>
          <w:b/>
          <w:sz w:val="22"/>
        </w:rPr>
        <w:t>因子上传框架讲解：</w:t>
      </w:r>
    </w:p>
    <w:p w14:paraId="1A5506CB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[Alpha</w:t>
      </w:r>
      <w:r>
        <w:rPr>
          <w:rFonts w:ascii="Arial" w:eastAsia="等线" w:hAnsi="Arial" w:cs="Arial"/>
          <w:b/>
          <w:color w:val="646A73"/>
          <w:sz w:val="22"/>
        </w:rPr>
        <w:t>因子提交框架</w:t>
      </w:r>
      <w:r>
        <w:rPr>
          <w:rFonts w:ascii="Arial" w:eastAsia="等线" w:hAnsi="Arial" w:cs="Arial"/>
          <w:b/>
          <w:color w:val="646A73"/>
          <w:sz w:val="22"/>
        </w:rPr>
        <w:t>.mov]</w:t>
      </w:r>
    </w:p>
    <w:p w14:paraId="4AF24AE6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因子命名格式：（严格规范）</w:t>
      </w:r>
    </w:p>
    <w:p w14:paraId="4C303963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Alpha_GroupA001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：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Alpha_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默认，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GroupA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是组别，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001</w:t>
      </w:r>
      <w:r>
        <w:rPr>
          <w:rFonts w:ascii="Arial" w:eastAsia="等线" w:hAnsi="Arial" w:cs="Arial"/>
          <w:b/>
          <w:color w:val="D83931"/>
          <w:sz w:val="22"/>
          <w:shd w:val="clear" w:color="auto" w:fill="FFF67A"/>
        </w:rPr>
        <w:t>是因子序号</w:t>
      </w:r>
    </w:p>
    <w:p w14:paraId="71167104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注意：</w:t>
      </w:r>
    </w:p>
    <w:p w14:paraId="04FA8F6E" w14:textId="77777777" w:rsidR="00ED3E51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D83931"/>
          <w:sz w:val="22"/>
        </w:rPr>
        <w:lastRenderedPageBreak/>
        <w:t>算子函数、因子函数的每一行都要写清楚注释</w:t>
      </w:r>
    </w:p>
    <w:p w14:paraId="1B5D34DF" w14:textId="77777777" w:rsidR="00ED3E51" w:rsidRDefault="00000000">
      <w:pPr>
        <w:numPr>
          <w:ilvl w:val="0"/>
          <w:numId w:val="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提交因子时不能使用并行计算库</w:t>
      </w:r>
    </w:p>
    <w:p w14:paraId="61C2148B" w14:textId="77777777" w:rsidR="00ED3E51" w:rsidRDefault="00000000">
      <w:pPr>
        <w:spacing w:before="300" w:after="120" w:line="288" w:lineRule="auto"/>
        <w:jc w:val="left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第二步：因子</w:t>
      </w:r>
      <w:r>
        <w:rPr>
          <w:rFonts w:ascii="Arial" w:eastAsia="等线" w:hAnsi="Arial" w:cs="Arial"/>
          <w:b/>
          <w:sz w:val="30"/>
        </w:rPr>
        <w:t>excel</w:t>
      </w:r>
      <w:r>
        <w:rPr>
          <w:rFonts w:ascii="Arial" w:eastAsia="等线" w:hAnsi="Arial" w:cs="Arial"/>
          <w:b/>
          <w:sz w:val="30"/>
        </w:rPr>
        <w:t>提交</w:t>
      </w:r>
      <w:bookmarkEnd w:id="8"/>
    </w:p>
    <w:p w14:paraId="6D9B07E9" w14:textId="37A2E5C4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所有提交因子汇总</w:t>
      </w:r>
      <w:r>
        <w:rPr>
          <w:rFonts w:ascii="Arial" w:eastAsia="等线" w:hAnsi="Arial" w:cs="Arial"/>
          <w:b/>
          <w:sz w:val="22"/>
        </w:rPr>
        <w:t>excel</w:t>
      </w:r>
      <w:r>
        <w:rPr>
          <w:rFonts w:ascii="Arial" w:eastAsia="等线" w:hAnsi="Arial" w:cs="Arial"/>
          <w:sz w:val="22"/>
        </w:rPr>
        <w:t>，放在每组飞书</w:t>
      </w:r>
      <w:r w:rsidR="004B7A66">
        <w:rPr>
          <w:rFonts w:ascii="Arial" w:eastAsia="等线" w:hAnsi="Arial" w:cs="Arial" w:hint="eastAsia"/>
          <w:sz w:val="22"/>
        </w:rPr>
        <w:t>作业</w:t>
      </w:r>
      <w:r>
        <w:rPr>
          <w:rFonts w:ascii="Arial" w:eastAsia="等线" w:hAnsi="Arial" w:cs="Arial"/>
          <w:sz w:val="22"/>
        </w:rPr>
        <w:t>的最前面：</w:t>
      </w:r>
    </w:p>
    <w:p w14:paraId="6F8B79AA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</w:t>
      </w:r>
      <w:r>
        <w:rPr>
          <w:rFonts w:ascii="Arial" w:eastAsia="等线" w:hAnsi="Arial" w:cs="Arial"/>
          <w:b/>
          <w:color w:val="646A73"/>
          <w:sz w:val="22"/>
        </w:rPr>
        <w:t>因子提交模板</w:t>
      </w:r>
      <w:r>
        <w:rPr>
          <w:rFonts w:ascii="Arial" w:eastAsia="等线" w:hAnsi="Arial" w:cs="Arial"/>
          <w:b/>
          <w:color w:val="646A73"/>
          <w:sz w:val="22"/>
        </w:rPr>
        <w:t>_class.xlsx]</w:t>
      </w:r>
    </w:p>
    <w:p w14:paraId="54C7710F" w14:textId="104A150B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6"/>
        </w:rPr>
        <w:t>6</w:t>
      </w:r>
      <w:r>
        <w:rPr>
          <w:rFonts w:ascii="Arial" w:eastAsia="等线" w:hAnsi="Arial" w:cs="Arial"/>
          <w:b/>
          <w:sz w:val="36"/>
        </w:rPr>
        <w:t>、</w:t>
      </w:r>
      <w:bookmarkEnd w:id="9"/>
      <w:r w:rsidR="008A53AE">
        <w:rPr>
          <w:rFonts w:ascii="Arial" w:eastAsia="等线" w:hAnsi="Arial" w:cs="Arial" w:hint="eastAsia"/>
          <w:b/>
          <w:sz w:val="36"/>
        </w:rPr>
        <w:t>作业要求</w:t>
      </w:r>
    </w:p>
    <w:p w14:paraId="4A96BED5" w14:textId="35A20F89" w:rsidR="00ED3E51" w:rsidRPr="008A53AE" w:rsidRDefault="00000000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color w:val="D83931"/>
          <w:sz w:val="22"/>
          <w:shd w:val="clear" w:color="auto" w:fill="FFF67A"/>
        </w:rPr>
        <w:t>每周</w:t>
      </w:r>
      <w:r>
        <w:rPr>
          <w:rFonts w:ascii="Arial" w:eastAsia="等线" w:hAnsi="Arial" w:cs="Arial"/>
          <w:sz w:val="22"/>
        </w:rPr>
        <w:t>撰写飞书</w:t>
      </w:r>
      <w:r w:rsidR="008A53AE">
        <w:rPr>
          <w:rFonts w:ascii="Arial" w:eastAsia="等线" w:hAnsi="Arial" w:cs="Arial" w:hint="eastAsia"/>
          <w:sz w:val="22"/>
        </w:rPr>
        <w:t>周志，</w:t>
      </w:r>
      <w:r w:rsidR="008A53AE" w:rsidRPr="004B7A66">
        <w:rPr>
          <w:rFonts w:ascii="Arial" w:eastAsia="等线" w:hAnsi="Arial" w:cs="Arial" w:hint="eastAsia"/>
          <w:color w:val="D83931"/>
          <w:sz w:val="22"/>
          <w:shd w:val="clear" w:color="auto" w:fill="FFF67A"/>
        </w:rPr>
        <w:t>每双周</w:t>
      </w:r>
      <w:r w:rsidR="008A53AE">
        <w:rPr>
          <w:rFonts w:ascii="Arial" w:eastAsia="等线" w:hAnsi="Arial" w:cs="Arial" w:hint="eastAsia"/>
          <w:sz w:val="22"/>
        </w:rPr>
        <w:t>撰写飞书双周报，周志</w:t>
      </w:r>
      <w:r w:rsidR="008A53AE">
        <w:rPr>
          <w:rFonts w:ascii="Arial" w:eastAsia="等线" w:hAnsi="Arial" w:cs="Arial" w:hint="eastAsia"/>
          <w:sz w:val="22"/>
        </w:rPr>
        <w:t>/</w:t>
      </w:r>
      <w:r w:rsidR="008A53AE">
        <w:rPr>
          <w:rFonts w:ascii="Arial" w:eastAsia="等线" w:hAnsi="Arial" w:cs="Arial" w:hint="eastAsia"/>
          <w:sz w:val="22"/>
        </w:rPr>
        <w:t>双周报要求参见前面已经下发的作业消息，同时要求按照每次作业前面写上日期。</w:t>
      </w:r>
      <w:r>
        <w:rPr>
          <w:rFonts w:ascii="Arial" w:eastAsia="等线" w:hAnsi="Arial" w:cs="Arial"/>
          <w:sz w:val="22"/>
        </w:rPr>
        <w:t>每</w:t>
      </w:r>
      <w:r w:rsidR="008A53AE">
        <w:rPr>
          <w:rFonts w:ascii="Arial" w:eastAsia="等线" w:hAnsi="Arial" w:cs="Arial" w:hint="eastAsia"/>
          <w:sz w:val="22"/>
        </w:rPr>
        <w:t>次周志</w:t>
      </w:r>
      <w:r w:rsidR="008A53AE">
        <w:rPr>
          <w:rFonts w:ascii="Arial" w:eastAsia="等线" w:hAnsi="Arial" w:cs="Arial" w:hint="eastAsia"/>
          <w:sz w:val="22"/>
        </w:rPr>
        <w:t>/</w:t>
      </w:r>
      <w:r w:rsidR="008A53AE">
        <w:rPr>
          <w:rFonts w:ascii="Arial" w:eastAsia="等线" w:hAnsi="Arial" w:cs="Arial" w:hint="eastAsia"/>
          <w:sz w:val="22"/>
        </w:rPr>
        <w:t>双周报</w:t>
      </w:r>
      <w:r>
        <w:rPr>
          <w:rFonts w:ascii="Arial" w:eastAsia="等线" w:hAnsi="Arial" w:cs="Arial"/>
          <w:sz w:val="22"/>
        </w:rPr>
        <w:t>定义一级标题，如下，同时可以把</w:t>
      </w:r>
      <w:r>
        <w:rPr>
          <w:rFonts w:ascii="Arial" w:eastAsia="等线" w:hAnsi="Arial" w:cs="Arial"/>
          <w:b/>
          <w:sz w:val="22"/>
        </w:rPr>
        <w:t>提交因子后的返回的回测结果</w:t>
      </w:r>
      <w:r>
        <w:rPr>
          <w:rFonts w:ascii="Arial" w:eastAsia="等线" w:hAnsi="Arial" w:cs="Arial"/>
          <w:sz w:val="22"/>
        </w:rPr>
        <w:t>贴上，</w:t>
      </w:r>
    </w:p>
    <w:p w14:paraId="1423C5FA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095D4CC" wp14:editId="5F115E30">
            <wp:extent cx="2286000" cy="800100"/>
            <wp:effectExtent l="0" t="0" r="0" b="0"/>
            <wp:docPr id="173350097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D512" w14:textId="77777777" w:rsidR="00ED3E51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7</w:t>
      </w:r>
      <w:r>
        <w:rPr>
          <w:rFonts w:ascii="Arial" w:eastAsia="等线" w:hAnsi="Arial" w:cs="Arial"/>
          <w:b/>
          <w:sz w:val="36"/>
        </w:rPr>
        <w:t>、研究注意事项</w:t>
      </w:r>
      <w:bookmarkEnd w:id="10"/>
    </w:p>
    <w:p w14:paraId="25F0F7CC" w14:textId="77777777" w:rsidR="00ED3E51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基础数据含义</w:t>
      </w:r>
      <w:bookmarkEnd w:id="11"/>
    </w:p>
    <w:p w14:paraId="285F01F0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收益率：</w:t>
      </w:r>
      <w:r>
        <w:rPr>
          <w:rFonts w:ascii="Arial" w:eastAsia="等线" w:hAnsi="Arial" w:cs="Arial"/>
          <w:sz w:val="22"/>
        </w:rPr>
        <w:t xml:space="preserve">return = </w:t>
      </w:r>
      <w:r>
        <w:rPr>
          <w:rFonts w:ascii="Arial" w:eastAsia="等线" w:hAnsi="Arial" w:cs="Arial"/>
          <w:sz w:val="22"/>
        </w:rPr>
        <w:t>原始</w:t>
      </w:r>
      <w:r>
        <w:rPr>
          <w:rFonts w:ascii="Arial" w:eastAsia="等线" w:hAnsi="Arial" w:cs="Arial"/>
          <w:sz w:val="22"/>
        </w:rPr>
        <w:t>close / preclose - 1</w:t>
      </w:r>
    </w:p>
    <w:p w14:paraId="5FDA09D6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换手率：</w:t>
      </w:r>
      <w:r>
        <w:rPr>
          <w:rFonts w:ascii="Arial" w:eastAsia="等线" w:hAnsi="Arial" w:cs="Arial"/>
          <w:sz w:val="22"/>
        </w:rPr>
        <w:t xml:space="preserve">turnover = volume / 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float_share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free_share</w:t>
      </w:r>
      <w:r>
        <w:rPr>
          <w:rFonts w:ascii="Arial" w:eastAsia="等线" w:hAnsi="Arial" w:cs="Arial"/>
          <w:sz w:val="22"/>
        </w:rPr>
        <w:t>）</w:t>
      </w:r>
    </w:p>
    <w:p w14:paraId="4AB832AE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成交量加权平均价：</w:t>
      </w:r>
      <w:r>
        <w:rPr>
          <w:rFonts w:ascii="Arial" w:eastAsia="等线" w:hAnsi="Arial" w:cs="Arial"/>
          <w:sz w:val="22"/>
        </w:rPr>
        <w:t>vwap = amount / volume * back_adj</w:t>
      </w:r>
    </w:p>
    <w:p w14:paraId="177D122F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市值：</w:t>
      </w:r>
      <w:r>
        <w:rPr>
          <w:rFonts w:ascii="Arial" w:eastAsia="等线" w:hAnsi="Arial" w:cs="Arial"/>
          <w:sz w:val="22"/>
        </w:rPr>
        <w:t xml:space="preserve">cap = </w:t>
      </w:r>
      <w:r>
        <w:rPr>
          <w:rFonts w:ascii="Arial" w:eastAsia="等线" w:hAnsi="Arial" w:cs="Arial"/>
          <w:sz w:val="22"/>
        </w:rPr>
        <w:t>原始</w:t>
      </w:r>
      <w:r>
        <w:rPr>
          <w:rFonts w:ascii="Arial" w:eastAsia="等线" w:hAnsi="Arial" w:cs="Arial"/>
          <w:sz w:val="22"/>
        </w:rPr>
        <w:t xml:space="preserve">close * 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float_share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total_share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free_share</w:t>
      </w:r>
      <w:r>
        <w:rPr>
          <w:rFonts w:ascii="Arial" w:eastAsia="等线" w:hAnsi="Arial" w:cs="Arial"/>
          <w:sz w:val="22"/>
        </w:rPr>
        <w:t>）</w:t>
      </w:r>
    </w:p>
    <w:p w14:paraId="342F47CD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高开低收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价格均需要后复权再使用：如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后复权</w:t>
      </w:r>
      <w:r>
        <w:rPr>
          <w:rFonts w:ascii="Arial" w:eastAsia="等线" w:hAnsi="Arial" w:cs="Arial"/>
          <w:sz w:val="22"/>
        </w:rPr>
        <w:t xml:space="preserve">close = </w:t>
      </w:r>
      <w:r>
        <w:rPr>
          <w:rFonts w:ascii="Arial" w:eastAsia="等线" w:hAnsi="Arial" w:cs="Arial"/>
          <w:sz w:val="22"/>
        </w:rPr>
        <w:t>原始</w:t>
      </w:r>
      <w:r>
        <w:rPr>
          <w:rFonts w:ascii="Arial" w:eastAsia="等线" w:hAnsi="Arial" w:cs="Arial"/>
          <w:sz w:val="22"/>
        </w:rPr>
        <w:t>close * back_adj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preclose</w:t>
      </w:r>
      <w:r>
        <w:rPr>
          <w:rFonts w:ascii="Arial" w:eastAsia="等线" w:hAnsi="Arial" w:cs="Arial"/>
          <w:sz w:val="22"/>
        </w:rPr>
        <w:t>不用复权</w:t>
      </w:r>
    </w:p>
    <w:p w14:paraId="14E25C31" w14:textId="77777777" w:rsidR="00ED3E51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因子计算</w:t>
      </w:r>
      <w:bookmarkEnd w:id="12"/>
    </w:p>
    <w:p w14:paraId="4AF779AD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rolling,groupby</w:t>
      </w:r>
      <w:r>
        <w:rPr>
          <w:rFonts w:ascii="Arial" w:eastAsia="等线" w:hAnsi="Arial" w:cs="Arial"/>
          <w:sz w:val="22"/>
        </w:rPr>
        <w:t>较为方便的一种形式，</w:t>
      </w:r>
      <w:r>
        <w:rPr>
          <w:rFonts w:ascii="Arial" w:eastAsia="等线" w:hAnsi="Arial" w:cs="Arial"/>
          <w:b/>
          <w:sz w:val="22"/>
        </w:rPr>
        <w:t>尽量使用</w:t>
      </w:r>
      <w:r>
        <w:rPr>
          <w:rFonts w:ascii="Arial" w:eastAsia="等线" w:hAnsi="Arial" w:cs="Arial"/>
          <w:b/>
          <w:sz w:val="22"/>
        </w:rPr>
        <w:t>numpy</w:t>
      </w:r>
      <w:r>
        <w:rPr>
          <w:rFonts w:ascii="Arial" w:eastAsia="等线" w:hAnsi="Arial" w:cs="Arial"/>
          <w:b/>
          <w:sz w:val="22"/>
        </w:rPr>
        <w:t>加快速度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b/>
          <w:sz w:val="22"/>
        </w:rPr>
        <w:t>本地研究时</w:t>
      </w:r>
      <w:r>
        <w:rPr>
          <w:rFonts w:ascii="Arial" w:eastAsia="等线" w:hAnsi="Arial" w:cs="Arial"/>
          <w:sz w:val="22"/>
        </w:rPr>
        <w:t>1min</w:t>
      </w:r>
      <w:r>
        <w:rPr>
          <w:rFonts w:ascii="Arial" w:eastAsia="等线" w:hAnsi="Arial" w:cs="Arial"/>
          <w:sz w:val="22"/>
        </w:rPr>
        <w:t>数据最好并行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按照股票横截面并行，</w:t>
      </w:r>
      <w:r>
        <w:rPr>
          <w:rFonts w:ascii="Arial" w:eastAsia="等线" w:hAnsi="Arial" w:cs="Arial"/>
          <w:sz w:val="22"/>
        </w:rPr>
        <w:t>joblib</w:t>
      </w:r>
      <w:r>
        <w:rPr>
          <w:rFonts w:ascii="Arial" w:eastAsia="等线" w:hAnsi="Arial" w:cs="Arial"/>
          <w:sz w:val="22"/>
        </w:rPr>
        <w:t>库自己学习），</w:t>
      </w:r>
      <w:r>
        <w:rPr>
          <w:rFonts w:ascii="Arial" w:eastAsia="等线" w:hAnsi="Arial" w:cs="Arial"/>
          <w:b/>
          <w:sz w:val="22"/>
        </w:rPr>
        <w:t>提交时不允许并行</w:t>
      </w:r>
    </w:p>
    <w:p w14:paraId="1303AC54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、构造因子原则上都要用到</w:t>
      </w:r>
      <w:r>
        <w:rPr>
          <w:rFonts w:ascii="Arial" w:eastAsia="等线" w:hAnsi="Arial" w:cs="Arial"/>
          <w:sz w:val="22"/>
        </w:rPr>
        <w:t>min</w:t>
      </w:r>
      <w:r>
        <w:rPr>
          <w:rFonts w:ascii="Arial" w:eastAsia="等线" w:hAnsi="Arial" w:cs="Arial"/>
          <w:sz w:val="22"/>
        </w:rPr>
        <w:t>的数据，除非只用日线数据效果很好。如果研报上因子只用到日线数据，自己将因子思想用在</w:t>
      </w:r>
      <w:r>
        <w:rPr>
          <w:rFonts w:ascii="Arial" w:eastAsia="等线" w:hAnsi="Arial" w:cs="Arial"/>
          <w:sz w:val="22"/>
        </w:rPr>
        <w:t>min</w:t>
      </w:r>
      <w:r>
        <w:rPr>
          <w:rFonts w:ascii="Arial" w:eastAsia="等线" w:hAnsi="Arial" w:cs="Arial"/>
          <w:sz w:val="22"/>
        </w:rPr>
        <w:t>数据上实现</w:t>
      </w:r>
    </w:p>
    <w:p w14:paraId="0EF6DB20" w14:textId="77777777" w:rsidR="00ED3E51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因子改进方法举例</w:t>
      </w:r>
      <w:bookmarkEnd w:id="13"/>
    </w:p>
    <w:p w14:paraId="2F410E7A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、利用过去几日因子值信息：</w:t>
      </w:r>
      <w:r>
        <w:rPr>
          <w:rFonts w:ascii="Arial" w:eastAsia="等线" w:hAnsi="Arial" w:cs="Arial"/>
          <w:sz w:val="22"/>
        </w:rPr>
        <w:t>roll_decay_int, roll_max</w:t>
      </w:r>
      <w:r>
        <w:rPr>
          <w:rFonts w:ascii="Arial" w:eastAsia="等线" w:hAnsi="Arial" w:cs="Arial"/>
          <w:sz w:val="22"/>
        </w:rPr>
        <w:t>等</w:t>
      </w:r>
    </w:p>
    <w:p w14:paraId="6DD52C78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factor_sample_classify</w:t>
      </w:r>
      <w:r>
        <w:rPr>
          <w:rFonts w:ascii="Arial" w:eastAsia="等线" w:hAnsi="Arial" w:cs="Arial"/>
          <w:sz w:val="22"/>
        </w:rPr>
        <w:t>算子</w:t>
      </w:r>
    </w:p>
    <w:p w14:paraId="2617E2BE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min</w:t>
      </w:r>
      <w:r>
        <w:rPr>
          <w:rFonts w:ascii="Arial" w:eastAsia="等线" w:hAnsi="Arial" w:cs="Arial"/>
          <w:sz w:val="22"/>
        </w:rPr>
        <w:t>数据下，用</w:t>
      </w:r>
      <w:r>
        <w:rPr>
          <w:rFonts w:ascii="Arial" w:eastAsia="等线" w:hAnsi="Arial" w:cs="Arial"/>
          <w:sz w:val="22"/>
        </w:rPr>
        <w:t>part</w:t>
      </w:r>
      <w:r>
        <w:rPr>
          <w:rFonts w:ascii="Arial" w:eastAsia="等线" w:hAnsi="Arial" w:cs="Arial"/>
          <w:sz w:val="22"/>
        </w:rPr>
        <w:t>函数取不同时间段的数据计算因子</w:t>
      </w:r>
    </w:p>
    <w:p w14:paraId="7D626345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、利用多种维度的数据，如日线、</w:t>
      </w:r>
      <w:r>
        <w:rPr>
          <w:rFonts w:ascii="Arial" w:eastAsia="等线" w:hAnsi="Arial" w:cs="Arial"/>
          <w:sz w:val="22"/>
        </w:rPr>
        <w:t>5min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1min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tick</w:t>
      </w:r>
      <w:r>
        <w:rPr>
          <w:rFonts w:ascii="Arial" w:eastAsia="等线" w:hAnsi="Arial" w:cs="Arial"/>
          <w:sz w:val="22"/>
        </w:rPr>
        <w:t>组合形成因子</w:t>
      </w:r>
    </w:p>
    <w:p w14:paraId="42873C83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注意：</w:t>
      </w:r>
      <w:r>
        <w:rPr>
          <w:rFonts w:ascii="Arial" w:eastAsia="等线" w:hAnsi="Arial" w:cs="Arial"/>
          <w:b/>
          <w:color w:val="D83931"/>
          <w:sz w:val="22"/>
        </w:rPr>
        <w:t>有发现较好的因子改进方法请在日报中写出，并与老师沟通，作为表现成果加分</w:t>
      </w:r>
      <w:r>
        <w:rPr>
          <w:rFonts w:ascii="Arial" w:eastAsia="等线" w:hAnsi="Arial" w:cs="Arial"/>
          <w:b/>
          <w:sz w:val="22"/>
        </w:rPr>
        <w:t>。</w:t>
      </w:r>
    </w:p>
    <w:p w14:paraId="59293D8A" w14:textId="77777777" w:rsidR="00ED3E51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Alpha</w:t>
      </w:r>
      <w:r>
        <w:rPr>
          <w:rFonts w:ascii="Arial" w:eastAsia="等线" w:hAnsi="Arial" w:cs="Arial"/>
          <w:b/>
          <w:sz w:val="32"/>
        </w:rPr>
        <w:t>研究问题汇总</w:t>
      </w:r>
      <w:bookmarkEnd w:id="14"/>
    </w:p>
    <w:p w14:paraId="1E2AA9B5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遇到普遍问题请在文档内</w:t>
      </w:r>
      <w:r>
        <w:rPr>
          <w:rFonts w:ascii="Arial" w:eastAsia="等线" w:hAnsi="Arial" w:cs="Arial"/>
          <w:b/>
          <w:sz w:val="22"/>
        </w:rPr>
        <w:t>提出</w:t>
      </w:r>
      <w:r>
        <w:rPr>
          <w:rFonts w:ascii="Arial" w:eastAsia="等线" w:hAnsi="Arial" w:cs="Arial"/>
          <w:b/>
          <w:sz w:val="22"/>
        </w:rPr>
        <w:t>&amp;</w:t>
      </w:r>
      <w:r>
        <w:rPr>
          <w:rFonts w:ascii="Arial" w:eastAsia="等线" w:hAnsi="Arial" w:cs="Arial"/>
          <w:b/>
          <w:sz w:val="22"/>
        </w:rPr>
        <w:t>记录：</w:t>
      </w:r>
    </w:p>
    <w:p w14:paraId="65BD3EAC" w14:textId="77777777" w:rsidR="00ED3E51" w:rsidRDefault="00000000">
      <w:pPr>
        <w:spacing w:before="120" w:after="120" w:line="288" w:lineRule="auto"/>
        <w:jc w:val="left"/>
        <w:rPr>
          <w:rFonts w:hint="eastAsia"/>
        </w:rPr>
      </w:pPr>
      <w:hyperlink r:id="rId8">
        <w:r>
          <w:rPr>
            <w:rFonts w:ascii="Arial" w:eastAsia="等线" w:hAnsi="Arial" w:cs="Arial"/>
            <w:color w:val="3370FF"/>
            <w:sz w:val="22"/>
          </w:rPr>
          <w:t>Alpha</w:t>
        </w:r>
        <w:r>
          <w:rPr>
            <w:rFonts w:ascii="Arial" w:eastAsia="等线" w:hAnsi="Arial" w:cs="Arial"/>
            <w:color w:val="3370FF"/>
            <w:sz w:val="22"/>
          </w:rPr>
          <w:t>研究问题汇总</w:t>
        </w:r>
      </w:hyperlink>
      <w:r>
        <w:rPr>
          <w:rFonts w:ascii="Arial" w:eastAsia="等线" w:hAnsi="Arial" w:cs="Arial"/>
          <w:sz w:val="22"/>
        </w:rPr>
        <w:t xml:space="preserve"> </w:t>
      </w:r>
    </w:p>
    <w:p w14:paraId="281A35FC" w14:textId="77777777" w:rsidR="00ED3E51" w:rsidRDefault="00ED3E51">
      <w:pPr>
        <w:spacing w:before="120" w:after="120" w:line="288" w:lineRule="auto"/>
        <w:jc w:val="left"/>
        <w:rPr>
          <w:rFonts w:hint="eastAsia"/>
        </w:rPr>
      </w:pPr>
    </w:p>
    <w:sectPr w:rsidR="00ED3E5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50FF25" w14:textId="77777777" w:rsidR="00147EC4" w:rsidRDefault="00147EC4">
      <w:pPr>
        <w:rPr>
          <w:rFonts w:hint="eastAsia"/>
        </w:rPr>
      </w:pPr>
      <w:r>
        <w:separator/>
      </w:r>
    </w:p>
  </w:endnote>
  <w:endnote w:type="continuationSeparator" w:id="0">
    <w:p w14:paraId="48A6341F" w14:textId="77777777" w:rsidR="00147EC4" w:rsidRDefault="00147E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DB3AF8" w14:textId="77777777" w:rsidR="00147EC4" w:rsidRDefault="00147EC4">
      <w:pPr>
        <w:rPr>
          <w:rFonts w:hint="eastAsia"/>
        </w:rPr>
      </w:pPr>
      <w:r>
        <w:separator/>
      </w:r>
    </w:p>
  </w:footnote>
  <w:footnote w:type="continuationSeparator" w:id="0">
    <w:p w14:paraId="612C7998" w14:textId="77777777" w:rsidR="00147EC4" w:rsidRDefault="00147E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16E6B"/>
    <w:multiLevelType w:val="multilevel"/>
    <w:tmpl w:val="8424011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194FEB"/>
    <w:multiLevelType w:val="multilevel"/>
    <w:tmpl w:val="6742B74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8A95789"/>
    <w:multiLevelType w:val="multilevel"/>
    <w:tmpl w:val="B650BF8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3204D3"/>
    <w:multiLevelType w:val="multilevel"/>
    <w:tmpl w:val="AAD2C2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EE2493"/>
    <w:multiLevelType w:val="multilevel"/>
    <w:tmpl w:val="AB2C5CD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D8921F2"/>
    <w:multiLevelType w:val="multilevel"/>
    <w:tmpl w:val="149638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A4F1529"/>
    <w:multiLevelType w:val="multilevel"/>
    <w:tmpl w:val="D4E61AEE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4074616">
    <w:abstractNumId w:val="0"/>
  </w:num>
  <w:num w:numId="2" w16cid:durableId="1034624017">
    <w:abstractNumId w:val="4"/>
  </w:num>
  <w:num w:numId="3" w16cid:durableId="2092702092">
    <w:abstractNumId w:val="1"/>
  </w:num>
  <w:num w:numId="4" w16cid:durableId="70930058">
    <w:abstractNumId w:val="2"/>
  </w:num>
  <w:num w:numId="5" w16cid:durableId="10492065">
    <w:abstractNumId w:val="6"/>
  </w:num>
  <w:num w:numId="6" w16cid:durableId="286278329">
    <w:abstractNumId w:val="5"/>
  </w:num>
  <w:num w:numId="7" w16cid:durableId="731274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E51"/>
    <w:rsid w:val="00147EC4"/>
    <w:rsid w:val="004B7A66"/>
    <w:rsid w:val="008A53AE"/>
    <w:rsid w:val="009A609C"/>
    <w:rsid w:val="00ED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C1092"/>
  <w15:docId w15:val="{A94BE62D-1906-4217-A790-B1BA54DE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53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53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53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53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w3jzf9eqlg.feishu.cn/wiki/EBomwWRk1iZxnqk7f0eckThxnFe?from=from_copy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闻 王</cp:lastModifiedBy>
  <cp:revision>3</cp:revision>
  <dcterms:created xsi:type="dcterms:W3CDTF">2024-09-25T13:04:00Z</dcterms:created>
  <dcterms:modified xsi:type="dcterms:W3CDTF">2024-09-25T13:41:00Z</dcterms:modified>
</cp:coreProperties>
</file>