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SimHei" w:hAnsi="SimHei" w:eastAsia="SimHei"/>
          <w:b/>
          <w:color w:val="000000"/>
          <w:sz w:val="38"/>
        </w:rPr>
        <w:t>计算机视觉课程大作业</w:t>
      </w:r>
    </w:p>
    <w:p>
      <w:pPr>
        <w:jc w:val="center"/>
      </w:pPr>
      <w:r>
        <w:rPr>
          <w:rFonts w:ascii="SimHei" w:hAnsi="SimHei" w:eastAsia="SimHei"/>
          <w:b/>
          <w:color w:val="000000"/>
          <w:sz w:val="34"/>
        </w:rPr>
        <w:t>基于 YOLO11-Pose 与 Qwen-VL-Plus 的智能康复健身辅助系统</w:t>
      </w:r>
    </w:p>
    <w:p>
      <w:pPr>
        <w:jc w:val="center"/>
      </w:pPr>
      <w:r>
        <w:rPr>
          <w:rFonts w:ascii="SimHei" w:hAnsi="SimHei" w:eastAsia="SimHei"/>
          <w:b/>
          <w:color w:val="000000"/>
          <w:sz w:val="30"/>
        </w:rPr>
        <w:t>基于 YOLO11-Pose 与 Qwen-VL-Plus 的智能康复健身辅助系统</w:t>
        <w:br/>
        <w:t>——算法实现与在线分析个人报告</w:t>
      </w:r>
    </w:p>
    <w:p>
      <w:pPr>
        <w:jc w:val="center"/>
      </w:pPr>
      <w:r>
        <w:rPr>
          <w:rFonts w:ascii="SimSun" w:hAnsi="SimSun" w:eastAsia="SimSun"/>
          <w:b w:val="0"/>
          <w:color w:val="000000"/>
          <w:sz w:val="24"/>
        </w:rPr>
      </w:r>
    </w:p>
    <w:p>
      <w:pPr>
        <w:jc w:val="center"/>
      </w:pPr>
      <w:r>
        <w:rPr>
          <w:rFonts w:ascii="SimSun" w:hAnsi="SimSun" w:eastAsia="SimSun"/>
          <w:b w:val="0"/>
          <w:color w:val="000000"/>
          <w:sz w:val="24"/>
        </w:rPr>
        <w:t>Group 04  |  2026年6月</w:t>
      </w:r>
    </w:p>
    <w:p>
      <w:pPr>
        <w:jc w:val="center"/>
      </w:pPr>
      <w:r>
        <w:rPr>
          <w:rFonts w:ascii="SimSun" w:hAnsi="SimSun" w:eastAsia="SimSun"/>
          <w:b w:val="0"/>
          <w:color w:val="000000"/>
          <w:sz w:val="24"/>
        </w:rPr>
        <w:t>姓名：赵逸凡</w:t>
      </w:r>
    </w:p>
    <w:p>
      <w:pPr>
        <w:jc w:val="center"/>
      </w:pPr>
      <w:r>
        <w:rPr>
          <w:rFonts w:ascii="SimSun" w:hAnsi="SimSun" w:eastAsia="SimSun"/>
          <w:b w:val="0"/>
          <w:color w:val="000000"/>
          <w:sz w:val="24"/>
        </w:rPr>
        <w:t>学号：1211002038</w:t>
      </w:r>
    </w:p>
    <w:p>
      <w:pPr>
        <w:jc w:val="center"/>
      </w:pPr>
      <w:r>
        <w:rPr>
          <w:rFonts w:ascii="SimSun" w:hAnsi="SimSun" w:eastAsia="SimSun"/>
          <w:b w:val="0"/>
          <w:color w:val="000000"/>
          <w:sz w:val="24"/>
        </w:rPr>
        <w:t>个人侧重点：姿态估计、动作建模、多模态分析与系统测试</w:t>
      </w:r>
    </w:p>
    <w:p>
      <w:r>
        <w:br w:type="page"/>
      </w:r>
    </w:p>
    <w:p>
      <w:pPr>
        <w:pStyle w:val="Heading1"/>
      </w:pPr>
      <w:r>
        <w:rPr>
          <w:rFonts w:ascii="SimHei" w:hAnsi="SimHei" w:eastAsia="SimHei"/>
          <w:b/>
          <w:color w:val="000000"/>
          <w:sz w:val="32"/>
        </w:rPr>
        <w:t>摘  要</w:t>
      </w:r>
    </w:p>
    <w:p>
      <w:pPr>
        <w:spacing w:line="372" w:lineRule="auto"/>
        <w:ind w:firstLine="454"/>
      </w:pPr>
      <w:r>
        <w:rPr>
          <w:rFonts w:ascii="SimSun" w:hAnsi="SimSun" w:eastAsia="SimSun"/>
          <w:b w:val="0"/>
          <w:color w:val="000000"/>
          <w:sz w:val="22"/>
        </w:rPr>
        <w:t>本文围绕 Group 04 课程项目中的在线动作分析链路，总结本人在姿态估计、动作建模和多模态反馈三个方面的主要工作。项目总体采用“离线模型验证 + 在线系统演示”的双主线方案：离线部分基于 UI-PRMD 数据集训练骨骼动作质量评估模型，在线部分基于 YOLO11-Pose 提取人体关键点，并通过关节角度计算、状态机计数和 Qwen-VL-Plus 文本建议实现面向用户的即时反馈。我主要负责把单帧关键点结果转化为可解释的动作阶段信息，并将这些结构化结果组织成图片、视频和摄像头三种模式下都能展示的分析流程。</w:t>
      </w:r>
    </w:p>
    <w:p>
      <w:pPr>
        <w:ind w:firstLine="454"/>
      </w:pPr>
      <w:r>
        <w:rPr>
          <w:rFonts w:ascii="SimHei" w:hAnsi="SimHei" w:eastAsia="SimHei"/>
          <w:b/>
          <w:color w:val="000000"/>
          <w:sz w:val="22"/>
        </w:rPr>
        <w:t>关键词：</w:t>
      </w:r>
      <w:r>
        <w:rPr>
          <w:rFonts w:ascii="SimSun" w:hAnsi="SimSun" w:eastAsia="SimSun"/>
          <w:b w:val="0"/>
          <w:color w:val="000000"/>
          <w:sz w:val="22"/>
        </w:rPr>
        <w:t>康复动作评估；YOLO11-Pose；Qwen-VL-Plus；姿态估计；动作计数</w:t>
      </w:r>
    </w:p>
    <w:p>
      <w:pPr>
        <w:pStyle w:val="Heading1"/>
      </w:pPr>
      <w:r>
        <w:rPr>
          <w:rFonts w:ascii="SimHei" w:hAnsi="SimHei" w:eastAsia="SimHei"/>
          <w:b/>
          <w:color w:val="000000"/>
          <w:sz w:val="32"/>
        </w:rPr>
        <w:t>第一章 研究背景与任务定义</w:t>
      </w:r>
    </w:p>
    <w:p>
      <w:pPr>
        <w:spacing w:line="372" w:lineRule="auto"/>
        <w:ind w:firstLine="454"/>
      </w:pPr>
      <w:r>
        <w:rPr>
          <w:rFonts w:ascii="SimSun" w:hAnsi="SimSun" w:eastAsia="SimSun"/>
          <w:b w:val="0"/>
          <w:color w:val="000000"/>
          <w:sz w:val="22"/>
        </w:rPr>
        <w:t>本项目面向“动作是否规范”这一比单纯动作识别更接近实际康复场景的问题展开。对于康复和健身训练来说，用户往往并不缺少动作名称提示，真正缺少的是及时、明确且可解释的规范性反馈，例如角度是否到位、动作节奏是否完整、是否存在明显代偿。</w:t>
      </w:r>
    </w:p>
    <w:p>
      <w:pPr>
        <w:spacing w:line="372" w:lineRule="auto"/>
        <w:ind w:firstLine="454"/>
      </w:pPr>
      <w:r>
        <w:rPr>
          <w:rFonts w:ascii="SimSun" w:hAnsi="SimSun" w:eastAsia="SimSun"/>
          <w:b w:val="0"/>
          <w:color w:val="000000"/>
          <w:sz w:val="22"/>
        </w:rPr>
        <w:t>因此，项目没有把目标停留在“识别动作类别”这一层，而是把系统拆分成两个互相支撑的部分：离线部分负责用公开数据集验证方法有效性，在线部分负责把姿态检测、动作计数和文本建议做成可演示、可交互的系统。我的工作重点集中在在线部分，即如何把关键点检测结果稳定地转成用户能看懂的动作状态与分析结论。</w:t>
      </w:r>
    </w:p>
    <w:p>
      <w:pPr>
        <w:pStyle w:val="Heading1"/>
      </w:pPr>
      <w:r>
        <w:rPr>
          <w:rFonts w:ascii="SimHei" w:hAnsi="SimHei" w:eastAsia="SimHei"/>
          <w:b/>
          <w:color w:val="000000"/>
          <w:sz w:val="32"/>
        </w:rPr>
        <w:t>第二章 数据集与整体方案</w:t>
      </w:r>
    </w:p>
    <w:p>
      <w:pPr>
        <w:spacing w:line="372" w:lineRule="auto"/>
        <w:ind w:firstLine="454"/>
      </w:pPr>
      <w:r>
        <w:rPr>
          <w:rFonts w:ascii="SimSun" w:hAnsi="SimSun" w:eastAsia="SimSun"/>
          <w:b w:val="0"/>
          <w:color w:val="000000"/>
          <w:sz w:val="22"/>
        </w:rPr>
        <w:t>离线实验部分选用 UI-PRMD 数据集，该数据集包含 10 类康复动作、22 个三维骨骼节点以及正确/错误执行标签，适合用于动作质量二分类训练。在线系统部分则不直接使用 3D 骨骼数据做端到端推理，而是通过 YOLO11-Pose 对普通 RGB 图像进行 2D 关键点检测，再把关键点结果映射为角度、阶段和文本反馈。两条主线在任务目标上一致，但在输入形态与展示方式上有所区分。</w:t>
      </w:r>
    </w:p>
    <w:p>
      <w:pPr>
        <w:jc w:val="center"/>
      </w:pPr>
      <w:r>
        <w:rPr>
          <w:rFonts w:ascii="SimHei" w:hAnsi="SimHei" w:eastAsia="SimHei"/>
          <w:b/>
          <w:color w:val="000000"/>
          <w:sz w:val="22"/>
        </w:rPr>
        <w:t>表 2-1 UI-PRMD 数据集核心属性</w:t>
      </w:r>
    </w:p>
    <w:tbl>
      <w:tblPr>
        <w:tblStyle w:val="TableGrid"/>
        <w:tblW w:type="auto" w:w="0"/>
        <w:jc w:val="center"/>
        <w:tblLook w:firstColumn="1" w:firstRow="1" w:lastColumn="0" w:lastRow="0" w:noHBand="0" w:noVBand="1" w:val="04A0"/>
      </w:tblPr>
      <w:tblGrid>
        <w:gridCol w:w="4674"/>
        <w:gridCol w:w="4674"/>
      </w:tblGrid>
      <w:tr>
        <w:tc>
          <w:tcPr>
            <w:tcW w:type="dxa" w:w="4674"/>
            <w:shd w:fill="EAEAEA"/>
          </w:tcPr>
          <w:p>
            <w:pPr>
              <w:jc w:val="center"/>
            </w:pPr>
            <w:r>
              <w:rPr>
                <w:rFonts w:ascii="Microsoft YaHei" w:hAnsi="Microsoft YaHei" w:eastAsia="Microsoft YaHei"/>
                <w:b/>
                <w:color w:val="000000"/>
                <w:sz w:val="21"/>
              </w:rPr>
              <w:t>项目</w:t>
            </w:r>
          </w:p>
        </w:tc>
        <w:tc>
          <w:tcPr>
            <w:tcW w:type="dxa" w:w="4674"/>
            <w:shd w:fill="EAEAEA"/>
          </w:tcPr>
          <w:p>
            <w:pPr>
              <w:jc w:val="center"/>
            </w:pPr>
            <w:r>
              <w:rPr>
                <w:rFonts w:ascii="Microsoft YaHei" w:hAnsi="Microsoft YaHei" w:eastAsia="Microsoft YaHei"/>
                <w:b/>
                <w:color w:val="000000"/>
                <w:sz w:val="21"/>
              </w:rPr>
              <w:t>内容</w:t>
            </w:r>
          </w:p>
        </w:tc>
      </w:tr>
      <w:tr>
        <w:tc>
          <w:tcPr>
            <w:tcW w:type="dxa" w:w="4674"/>
          </w:tcPr>
          <w:p>
            <w:pPr>
              <w:jc w:val="left"/>
            </w:pPr>
            <w:r>
              <w:rPr>
                <w:rFonts w:ascii="Microsoft YaHei" w:hAnsi="Microsoft YaHei" w:eastAsia="Microsoft YaHei"/>
                <w:b w:val="0"/>
                <w:color w:val="000000"/>
                <w:sz w:val="21"/>
              </w:rPr>
              <w:t>数据集来源</w:t>
            </w:r>
          </w:p>
        </w:tc>
        <w:tc>
          <w:tcPr>
            <w:tcW w:type="dxa" w:w="4674"/>
          </w:tcPr>
          <w:p>
            <w:pPr>
              <w:jc w:val="left"/>
            </w:pPr>
            <w:r>
              <w:rPr>
                <w:rFonts w:ascii="Microsoft YaHei" w:hAnsi="Microsoft YaHei" w:eastAsia="Microsoft YaHei"/>
                <w:b w:val="0"/>
                <w:color w:val="000000"/>
                <w:sz w:val="21"/>
              </w:rPr>
              <w:t>University of Idaho, 2018</w:t>
            </w:r>
          </w:p>
        </w:tc>
      </w:tr>
      <w:tr>
        <w:tc>
          <w:tcPr>
            <w:tcW w:type="dxa" w:w="4674"/>
          </w:tcPr>
          <w:p>
            <w:pPr>
              <w:jc w:val="left"/>
            </w:pPr>
            <w:r>
              <w:rPr>
                <w:rFonts w:ascii="Microsoft YaHei" w:hAnsi="Microsoft YaHei" w:eastAsia="Microsoft YaHei"/>
                <w:b w:val="0"/>
                <w:color w:val="000000"/>
                <w:sz w:val="21"/>
              </w:rPr>
              <w:t>动作类别数</w:t>
            </w:r>
          </w:p>
        </w:tc>
        <w:tc>
          <w:tcPr>
            <w:tcW w:type="dxa" w:w="4674"/>
          </w:tcPr>
          <w:p>
            <w:pPr>
              <w:jc w:val="left"/>
            </w:pPr>
            <w:r>
              <w:rPr>
                <w:rFonts w:ascii="Microsoft YaHei" w:hAnsi="Microsoft YaHei" w:eastAsia="Microsoft YaHei"/>
                <w:b w:val="0"/>
                <w:color w:val="000000"/>
                <w:sz w:val="21"/>
              </w:rPr>
              <w:t>10</w:t>
            </w:r>
          </w:p>
        </w:tc>
      </w:tr>
      <w:tr>
        <w:tc>
          <w:tcPr>
            <w:tcW w:type="dxa" w:w="4674"/>
          </w:tcPr>
          <w:p>
            <w:pPr>
              <w:jc w:val="left"/>
            </w:pPr>
            <w:r>
              <w:rPr>
                <w:rFonts w:ascii="Microsoft YaHei" w:hAnsi="Microsoft YaHei" w:eastAsia="Microsoft YaHei"/>
                <w:b w:val="0"/>
                <w:color w:val="000000"/>
                <w:sz w:val="21"/>
              </w:rPr>
              <w:t>骨骼节点数</w:t>
            </w:r>
          </w:p>
        </w:tc>
        <w:tc>
          <w:tcPr>
            <w:tcW w:type="dxa" w:w="4674"/>
          </w:tcPr>
          <w:p>
            <w:pPr>
              <w:jc w:val="left"/>
            </w:pPr>
            <w:r>
              <w:rPr>
                <w:rFonts w:ascii="Microsoft YaHei" w:hAnsi="Microsoft YaHei" w:eastAsia="Microsoft YaHei"/>
                <w:b w:val="0"/>
                <w:color w:val="000000"/>
                <w:sz w:val="21"/>
              </w:rPr>
              <w:t>22</w:t>
            </w:r>
          </w:p>
        </w:tc>
      </w:tr>
      <w:tr>
        <w:tc>
          <w:tcPr>
            <w:tcW w:type="dxa" w:w="4674"/>
          </w:tcPr>
          <w:p>
            <w:pPr>
              <w:jc w:val="left"/>
            </w:pPr>
            <w:r>
              <w:rPr>
                <w:rFonts w:ascii="Microsoft YaHei" w:hAnsi="Microsoft YaHei" w:eastAsia="Microsoft YaHei"/>
                <w:b w:val="0"/>
                <w:color w:val="000000"/>
                <w:sz w:val="21"/>
              </w:rPr>
              <w:t>标签形式</w:t>
            </w:r>
          </w:p>
        </w:tc>
        <w:tc>
          <w:tcPr>
            <w:tcW w:type="dxa" w:w="4674"/>
          </w:tcPr>
          <w:p>
            <w:pPr>
              <w:jc w:val="left"/>
            </w:pPr>
            <w:r>
              <w:rPr>
                <w:rFonts w:ascii="Microsoft YaHei" w:hAnsi="Microsoft YaHei" w:eastAsia="Microsoft YaHei"/>
                <w:b w:val="0"/>
                <w:color w:val="000000"/>
                <w:sz w:val="21"/>
              </w:rPr>
              <w:t>正确执行 / 不正确执行</w:t>
            </w:r>
          </w:p>
        </w:tc>
      </w:tr>
      <w:tr>
        <w:tc>
          <w:tcPr>
            <w:tcW w:type="dxa" w:w="4674"/>
          </w:tcPr>
          <w:p>
            <w:pPr>
              <w:jc w:val="left"/>
            </w:pPr>
            <w:r>
              <w:rPr>
                <w:rFonts w:ascii="Microsoft YaHei" w:hAnsi="Microsoft YaHei" w:eastAsia="Microsoft YaHei"/>
                <w:b w:val="0"/>
                <w:color w:val="000000"/>
                <w:sz w:val="21"/>
              </w:rPr>
              <w:t>统一序列长度</w:t>
            </w:r>
          </w:p>
        </w:tc>
        <w:tc>
          <w:tcPr>
            <w:tcW w:type="dxa" w:w="4674"/>
          </w:tcPr>
          <w:p>
            <w:pPr>
              <w:jc w:val="left"/>
            </w:pPr>
            <w:r>
              <w:rPr>
                <w:rFonts w:ascii="Microsoft YaHei" w:hAnsi="Microsoft YaHei" w:eastAsia="Microsoft YaHei"/>
                <w:b w:val="0"/>
                <w:color w:val="000000"/>
                <w:sz w:val="21"/>
              </w:rPr>
              <w:t>96 帧</w:t>
            </w:r>
          </w:p>
        </w:tc>
      </w:tr>
    </w:tbl>
    <w:p/>
    <w:p>
      <w:pPr>
        <w:spacing w:line="348" w:lineRule="auto"/>
        <w:ind w:left="454"/>
      </w:pPr>
      <w:r>
        <w:rPr>
          <w:rFonts w:ascii="SimSun" w:hAnsi="SimSun" w:eastAsia="SimSun"/>
          <w:b w:val="0"/>
          <w:color w:val="000000"/>
          <w:sz w:val="22"/>
        </w:rPr>
        <w:t>• 1. 深蹲</w:t>
      </w:r>
    </w:p>
    <w:p>
      <w:pPr>
        <w:spacing w:line="348" w:lineRule="auto"/>
        <w:ind w:left="454"/>
      </w:pPr>
      <w:r>
        <w:rPr>
          <w:rFonts w:ascii="SimSun" w:hAnsi="SimSun" w:eastAsia="SimSun"/>
          <w:b w:val="0"/>
          <w:color w:val="000000"/>
          <w:sz w:val="22"/>
        </w:rPr>
        <w:t>• 2. 站姿直腿抬高</w:t>
      </w:r>
    </w:p>
    <w:p>
      <w:pPr>
        <w:spacing w:line="348" w:lineRule="auto"/>
        <w:ind w:left="454"/>
      </w:pPr>
      <w:r>
        <w:rPr>
          <w:rFonts w:ascii="SimSun" w:hAnsi="SimSun" w:eastAsia="SimSun"/>
          <w:b w:val="0"/>
          <w:color w:val="000000"/>
          <w:sz w:val="22"/>
        </w:rPr>
        <w:t>• 3. 站姿肩部外展</w:t>
      </w:r>
    </w:p>
    <w:p>
      <w:pPr>
        <w:spacing w:line="348" w:lineRule="auto"/>
        <w:ind w:left="454"/>
      </w:pPr>
      <w:r>
        <w:rPr>
          <w:rFonts w:ascii="SimSun" w:hAnsi="SimSun" w:eastAsia="SimSun"/>
          <w:b w:val="0"/>
          <w:color w:val="000000"/>
          <w:sz w:val="22"/>
        </w:rPr>
        <w:t>• 4. 站姿肩部后伸</w:t>
      </w:r>
    </w:p>
    <w:p>
      <w:pPr>
        <w:spacing w:line="348" w:lineRule="auto"/>
        <w:ind w:left="454"/>
      </w:pPr>
      <w:r>
        <w:rPr>
          <w:rFonts w:ascii="SimSun" w:hAnsi="SimSun" w:eastAsia="SimSun"/>
          <w:b w:val="0"/>
          <w:color w:val="000000"/>
          <w:sz w:val="22"/>
        </w:rPr>
        <w:t>• 5. 肩部内/外旋</w:t>
      </w:r>
    </w:p>
    <w:p>
      <w:pPr>
        <w:spacing w:line="348" w:lineRule="auto"/>
        <w:ind w:left="454"/>
      </w:pPr>
      <w:r>
        <w:rPr>
          <w:rFonts w:ascii="SimSun" w:hAnsi="SimSun" w:eastAsia="SimSun"/>
          <w:b w:val="0"/>
          <w:color w:val="000000"/>
          <w:sz w:val="22"/>
        </w:rPr>
        <w:t>• 6. 站姿臀部外展</w:t>
      </w:r>
    </w:p>
    <w:p>
      <w:pPr>
        <w:spacing w:line="348" w:lineRule="auto"/>
        <w:ind w:left="454"/>
      </w:pPr>
      <w:r>
        <w:rPr>
          <w:rFonts w:ascii="SimSun" w:hAnsi="SimSun" w:eastAsia="SimSun"/>
          <w:b w:val="0"/>
          <w:color w:val="000000"/>
          <w:sz w:val="22"/>
        </w:rPr>
        <w:t>• 7. 站姿臀部后伸</w:t>
      </w:r>
    </w:p>
    <w:p>
      <w:pPr>
        <w:spacing w:line="348" w:lineRule="auto"/>
        <w:ind w:left="454"/>
      </w:pPr>
      <w:r>
        <w:rPr>
          <w:rFonts w:ascii="SimSun" w:hAnsi="SimSun" w:eastAsia="SimSun"/>
          <w:b w:val="0"/>
          <w:color w:val="000000"/>
          <w:sz w:val="22"/>
        </w:rPr>
        <w:t>• 8. 臀部内/外旋</w:t>
      </w:r>
    </w:p>
    <w:p>
      <w:pPr>
        <w:spacing w:line="348" w:lineRule="auto"/>
        <w:ind w:left="454"/>
      </w:pPr>
      <w:r>
        <w:rPr>
          <w:rFonts w:ascii="SimSun" w:hAnsi="SimSun" w:eastAsia="SimSun"/>
          <w:b w:val="0"/>
          <w:color w:val="000000"/>
          <w:sz w:val="22"/>
        </w:rPr>
        <w:t>• 9. 坐姿膝关节伸展</w:t>
      </w:r>
    </w:p>
    <w:p>
      <w:pPr>
        <w:spacing w:line="348" w:lineRule="auto"/>
        <w:ind w:left="454"/>
      </w:pPr>
      <w:r>
        <w:rPr>
          <w:rFonts w:ascii="SimSun" w:hAnsi="SimSun" w:eastAsia="SimSun"/>
          <w:b w:val="0"/>
          <w:color w:val="000000"/>
          <w:sz w:val="22"/>
        </w:rPr>
        <w:t>• 10. 坐姿踝关节背屈/跖屈</w:t>
      </w:r>
    </w:p>
    <w:p>
      <w:pPr>
        <w:jc w:val="center"/>
      </w:pPr>
      <w:r>
        <w:drawing>
          <wp:inline xmlns:a="http://schemas.openxmlformats.org/drawingml/2006/main" xmlns:pic="http://schemas.openxmlformats.org/drawingml/2006/picture">
            <wp:extent cx="5220000" cy="4068804"/>
            <wp:docPr id="1" name="Picture 1"/>
            <wp:cNvGraphicFramePr>
              <a:graphicFrameLocks noChangeAspect="1"/>
            </wp:cNvGraphicFramePr>
            <a:graphic>
              <a:graphicData uri="http://schemas.openxmlformats.org/drawingml/2006/picture">
                <pic:pic>
                  <pic:nvPicPr>
                    <pic:cNvPr id="0" name="dataset_page.png"/>
                    <pic:cNvPicPr/>
                  </pic:nvPicPr>
                  <pic:blipFill>
                    <a:blip r:embed="rId9"/>
                    <a:stretch>
                      <a:fillRect/>
                    </a:stretch>
                  </pic:blipFill>
                  <pic:spPr>
                    <a:xfrm>
                      <a:off x="0" y="0"/>
                      <a:ext cx="5220000" cy="4068804"/>
                    </a:xfrm>
                    <a:prstGeom prst="rect"/>
                  </pic:spPr>
                </pic:pic>
              </a:graphicData>
            </a:graphic>
          </wp:inline>
        </w:drawing>
      </w:r>
    </w:p>
    <w:p>
      <w:pPr>
        <w:jc w:val="center"/>
      </w:pPr>
      <w:r>
        <w:rPr>
          <w:rFonts w:ascii="SimHei" w:hAnsi="SimHei" w:eastAsia="SimHei"/>
          <w:b w:val="0"/>
          <w:color w:val="000000"/>
          <w:sz w:val="21"/>
        </w:rPr>
        <w:t>图 2-1 UI-PRMD 数据集页面截图（原稿继承）</w:t>
      </w:r>
    </w:p>
    <w:p>
      <w:pPr>
        <w:jc w:val="center"/>
      </w:pPr>
      <w:r>
        <w:drawing>
          <wp:inline xmlns:a="http://schemas.openxmlformats.org/drawingml/2006/main" xmlns:pic="http://schemas.openxmlformats.org/drawingml/2006/picture">
            <wp:extent cx="5472000" cy="3456000"/>
            <wp:docPr id="2" name="Picture 2"/>
            <wp:cNvGraphicFramePr>
              <a:graphicFrameLocks noChangeAspect="1"/>
            </wp:cNvGraphicFramePr>
            <a:graphic>
              <a:graphicData uri="http://schemas.openxmlformats.org/drawingml/2006/picture">
                <pic:pic>
                  <pic:nvPicPr>
                    <pic:cNvPr id="0" name="project_pipelines.png"/>
                    <pic:cNvPicPr/>
                  </pic:nvPicPr>
                  <pic:blipFill>
                    <a:blip r:embed="rId10"/>
                    <a:stretch>
                      <a:fillRect/>
                    </a:stretch>
                  </pic:blipFill>
                  <pic:spPr>
                    <a:xfrm>
                      <a:off x="0" y="0"/>
                      <a:ext cx="5472000" cy="3456000"/>
                    </a:xfrm>
                    <a:prstGeom prst="rect"/>
                  </pic:spPr>
                </pic:pic>
              </a:graphicData>
            </a:graphic>
          </wp:inline>
        </w:drawing>
      </w:r>
    </w:p>
    <w:p>
      <w:pPr>
        <w:jc w:val="center"/>
      </w:pPr>
      <w:r>
        <w:rPr>
          <w:rFonts w:ascii="SimHei" w:hAnsi="SimHei" w:eastAsia="SimHei"/>
          <w:b w:val="0"/>
          <w:color w:val="000000"/>
          <w:sz w:val="21"/>
        </w:rPr>
        <w:t>图 2-2 项目双主线技术路线示意图</w:t>
      </w:r>
    </w:p>
    <w:p>
      <w:pPr>
        <w:pStyle w:val="Heading1"/>
      </w:pPr>
      <w:r>
        <w:rPr>
          <w:rFonts w:ascii="SimHei" w:hAnsi="SimHei" w:eastAsia="SimHei"/>
          <w:b/>
          <w:color w:val="000000"/>
          <w:sz w:val="32"/>
        </w:rPr>
        <w:t>第三章 在线姿态估计与动作分析设计</w:t>
      </w:r>
    </w:p>
    <w:p>
      <w:pPr>
        <w:spacing w:line="372" w:lineRule="auto"/>
        <w:ind w:firstLine="454"/>
      </w:pPr>
      <w:r>
        <w:rPr>
          <w:rFonts w:ascii="SimSun" w:hAnsi="SimSun" w:eastAsia="SimSun"/>
          <w:b w:val="0"/>
          <w:color w:val="000000"/>
          <w:sz w:val="22"/>
        </w:rPr>
        <w:t>在线分析链路首先使用 YOLO11-Pose 对单帧图像进行人体姿态估计，输出 17 个 COCO 关键点。为了保证系统展示稳定，当前实现以单人体场景为主，并围绕肩、肘、腕、髋、膝、踝等关键点构造三点夹角。这样做的优点是结构清晰、推理速度稳定，也便于在网页端解释“为什么系统做出这个判断”。</w:t>
      </w:r>
    </w:p>
    <w:p>
      <w:pPr>
        <w:spacing w:line="372" w:lineRule="auto"/>
        <w:ind w:firstLine="454"/>
      </w:pPr>
      <w:r>
        <w:rPr>
          <w:rFonts w:ascii="SimSun" w:hAnsi="SimSun" w:eastAsia="SimSun"/>
          <w:b w:val="0"/>
          <w:color w:val="000000"/>
          <w:sz w:val="22"/>
        </w:rPr>
        <w:t>在动作计数层面，系统采用“关键角度 + 状态机”的规则化方法，而不是把动作阶段完全交给黑箱分类器处理。以深蹲、俯卧撑和引体向上为例，系统会持续跟踪主要关节角度的变化，并在准备、下降、最低点、上升、完成等阶段之间切换，从而得到更可靠的动作次数统计结果。</w:t>
      </w:r>
    </w:p>
    <w:p>
      <w:pPr>
        <w:spacing w:line="372" w:lineRule="auto"/>
        <w:ind w:firstLine="454"/>
      </w:pPr>
      <w:r>
        <w:rPr>
          <w:rFonts w:ascii="SimSun" w:hAnsi="SimSun" w:eastAsia="SimSun"/>
          <w:b w:val="0"/>
          <w:color w:val="000000"/>
          <w:sz w:val="22"/>
        </w:rPr>
        <w:t>在具体实现中，我更关注两个问题：一是阈值附近抖动会不会导致误计数；二是用户能否从界面上直接看懂当前状态。为此，系统在实时视频画面上同时绘制关键点骨架、角度文本和阶段状态，把底层关键点信息转成更符合答辩展示和用户理解习惯的结果形式。</w:t>
      </w:r>
    </w:p>
    <w:p>
      <w:pPr>
        <w:jc w:val="center"/>
      </w:pPr>
      <w:r>
        <w:drawing>
          <wp:inline xmlns:a="http://schemas.openxmlformats.org/drawingml/2006/main" xmlns:pic="http://schemas.openxmlformats.org/drawingml/2006/picture">
            <wp:extent cx="5400000" cy="3313508"/>
            <wp:docPr id="3" name="Picture 3"/>
            <wp:cNvGraphicFramePr>
              <a:graphicFrameLocks noChangeAspect="1"/>
            </wp:cNvGraphicFramePr>
            <a:graphic>
              <a:graphicData uri="http://schemas.openxmlformats.org/drawingml/2006/picture">
                <pic:pic>
                  <pic:nvPicPr>
                    <pic:cNvPr id="0" name="实时检测-引体向上.png"/>
                    <pic:cNvPicPr/>
                  </pic:nvPicPr>
                  <pic:blipFill>
                    <a:blip r:embed="rId11"/>
                    <a:stretch>
                      <a:fillRect/>
                    </a:stretch>
                  </pic:blipFill>
                  <pic:spPr>
                    <a:xfrm>
                      <a:off x="0" y="0"/>
                      <a:ext cx="5400000" cy="3313508"/>
                    </a:xfrm>
                    <a:prstGeom prst="rect"/>
                  </pic:spPr>
                </pic:pic>
              </a:graphicData>
            </a:graphic>
          </wp:inline>
        </w:drawing>
      </w:r>
    </w:p>
    <w:p>
      <w:pPr>
        <w:jc w:val="center"/>
      </w:pPr>
      <w:r>
        <w:rPr>
          <w:rFonts w:ascii="SimHei" w:hAnsi="SimHei" w:eastAsia="SimHei"/>
          <w:b w:val="0"/>
          <w:color w:val="000000"/>
          <w:sz w:val="21"/>
        </w:rPr>
        <w:t>图 3-1 实时检测界面示例：引体向上动作计数与肘部角度</w:t>
      </w:r>
    </w:p>
    <w:p>
      <w:pPr>
        <w:jc w:val="center"/>
      </w:pPr>
      <w:r>
        <w:drawing>
          <wp:inline xmlns:a="http://schemas.openxmlformats.org/drawingml/2006/main" xmlns:pic="http://schemas.openxmlformats.org/drawingml/2006/picture">
            <wp:extent cx="5400000" cy="2926510"/>
            <wp:docPr id="4" name="Picture 4"/>
            <wp:cNvGraphicFramePr>
              <a:graphicFrameLocks noChangeAspect="1"/>
            </wp:cNvGraphicFramePr>
            <a:graphic>
              <a:graphicData uri="http://schemas.openxmlformats.org/drawingml/2006/picture">
                <pic:pic>
                  <pic:nvPicPr>
                    <pic:cNvPr id="0" name="实时检测-深蹲.png"/>
                    <pic:cNvPicPr/>
                  </pic:nvPicPr>
                  <pic:blipFill>
                    <a:blip r:embed="rId12"/>
                    <a:stretch>
                      <a:fillRect/>
                    </a:stretch>
                  </pic:blipFill>
                  <pic:spPr>
                    <a:xfrm>
                      <a:off x="0" y="0"/>
                      <a:ext cx="5400000" cy="2926510"/>
                    </a:xfrm>
                    <a:prstGeom prst="rect"/>
                  </pic:spPr>
                </pic:pic>
              </a:graphicData>
            </a:graphic>
          </wp:inline>
        </w:drawing>
      </w:r>
    </w:p>
    <w:p>
      <w:pPr>
        <w:jc w:val="center"/>
      </w:pPr>
      <w:r>
        <w:rPr>
          <w:rFonts w:ascii="SimHei" w:hAnsi="SimHei" w:eastAsia="SimHei"/>
          <w:b w:val="0"/>
          <w:color w:val="000000"/>
          <w:sz w:val="21"/>
        </w:rPr>
        <w:t>图 3-2 实时检测界面示例：深蹲动作阶段识别</w:t>
      </w:r>
    </w:p>
    <w:p>
      <w:pPr>
        <w:jc w:val="center"/>
      </w:pPr>
      <w:r>
        <w:rPr>
          <w:rFonts w:ascii="SimHei" w:hAnsi="SimHei" w:eastAsia="SimHei"/>
          <w:b/>
          <w:color w:val="000000"/>
          <w:sz w:val="22"/>
        </w:rPr>
        <w:t>表 3-1 在线系统支持的 7 类动作</w:t>
      </w:r>
    </w:p>
    <w:tbl>
      <w:tblPr>
        <w:tblStyle w:val="TableGrid"/>
        <w:tblW w:type="auto" w:w="0"/>
        <w:jc w:val="center"/>
        <w:tblLook w:firstColumn="1" w:firstRow="1" w:lastColumn="0" w:lastRow="0" w:noHBand="0" w:noVBand="1" w:val="04A0"/>
      </w:tblPr>
      <w:tblGrid>
        <w:gridCol w:w="3116"/>
        <w:gridCol w:w="3116"/>
        <w:gridCol w:w="3116"/>
      </w:tblGrid>
      <w:tr>
        <w:tc>
          <w:tcPr>
            <w:tcW w:type="dxa" w:w="3116"/>
            <w:shd w:fill="EAEAEA"/>
          </w:tcPr>
          <w:p>
            <w:pPr>
              <w:jc w:val="center"/>
            </w:pPr>
            <w:r>
              <w:rPr>
                <w:rFonts w:ascii="Microsoft YaHei" w:hAnsi="Microsoft YaHei" w:eastAsia="Microsoft YaHei"/>
                <w:b/>
                <w:color w:val="000000"/>
                <w:sz w:val="21"/>
              </w:rPr>
              <w:t>动作键值</w:t>
            </w:r>
          </w:p>
        </w:tc>
        <w:tc>
          <w:tcPr>
            <w:tcW w:type="dxa" w:w="3116"/>
            <w:shd w:fill="EAEAEA"/>
          </w:tcPr>
          <w:p>
            <w:pPr>
              <w:jc w:val="center"/>
            </w:pPr>
            <w:r>
              <w:rPr>
                <w:rFonts w:ascii="Microsoft YaHei" w:hAnsi="Microsoft YaHei" w:eastAsia="Microsoft YaHei"/>
                <w:b/>
                <w:color w:val="000000"/>
                <w:sz w:val="21"/>
              </w:rPr>
              <w:t>中文名称</w:t>
            </w:r>
          </w:p>
        </w:tc>
        <w:tc>
          <w:tcPr>
            <w:tcW w:type="dxa" w:w="3116"/>
            <w:shd w:fill="EAEAEA"/>
          </w:tcPr>
          <w:p>
            <w:pPr>
              <w:jc w:val="center"/>
            </w:pPr>
            <w:r>
              <w:rPr>
                <w:rFonts w:ascii="Microsoft YaHei" w:hAnsi="Microsoft YaHei" w:eastAsia="Microsoft YaHei"/>
                <w:b/>
                <w:color w:val="000000"/>
                <w:sz w:val="21"/>
              </w:rPr>
              <w:t>主要关节角度</w:t>
            </w:r>
          </w:p>
        </w:tc>
      </w:tr>
      <w:tr>
        <w:tc>
          <w:tcPr>
            <w:tcW w:type="dxa" w:w="3116"/>
          </w:tcPr>
          <w:p>
            <w:pPr>
              <w:jc w:val="left"/>
            </w:pPr>
            <w:r>
              <w:rPr>
                <w:rFonts w:ascii="Microsoft YaHei" w:hAnsi="Microsoft YaHei" w:eastAsia="Microsoft YaHei"/>
                <w:b w:val="0"/>
                <w:color w:val="000000"/>
                <w:sz w:val="21"/>
              </w:rPr>
              <w:t>squat</w:t>
            </w:r>
          </w:p>
        </w:tc>
        <w:tc>
          <w:tcPr>
            <w:tcW w:type="dxa" w:w="3116"/>
          </w:tcPr>
          <w:p>
            <w:pPr>
              <w:jc w:val="left"/>
            </w:pPr>
            <w:r>
              <w:rPr>
                <w:rFonts w:ascii="Microsoft YaHei" w:hAnsi="Microsoft YaHei" w:eastAsia="Microsoft YaHei"/>
                <w:b w:val="0"/>
                <w:color w:val="000000"/>
                <w:sz w:val="21"/>
              </w:rPr>
              <w:t>深蹲</w:t>
            </w:r>
          </w:p>
        </w:tc>
        <w:tc>
          <w:tcPr>
            <w:tcW w:type="dxa" w:w="3116"/>
          </w:tcPr>
          <w:p>
            <w:pPr>
              <w:jc w:val="left"/>
            </w:pPr>
            <w:r>
              <w:rPr>
                <w:rFonts w:ascii="Microsoft YaHei" w:hAnsi="Microsoft YaHei" w:eastAsia="Microsoft YaHei"/>
                <w:b w:val="0"/>
                <w:color w:val="000000"/>
                <w:sz w:val="21"/>
              </w:rPr>
              <w:t>髋、膝</w:t>
            </w:r>
          </w:p>
        </w:tc>
      </w:tr>
      <w:tr>
        <w:tc>
          <w:tcPr>
            <w:tcW w:type="dxa" w:w="3116"/>
          </w:tcPr>
          <w:p>
            <w:pPr>
              <w:jc w:val="left"/>
            </w:pPr>
            <w:r>
              <w:rPr>
                <w:rFonts w:ascii="Microsoft YaHei" w:hAnsi="Microsoft YaHei" w:eastAsia="Microsoft YaHei"/>
                <w:b w:val="0"/>
                <w:color w:val="000000"/>
                <w:sz w:val="21"/>
              </w:rPr>
              <w:t>pushup</w:t>
            </w:r>
          </w:p>
        </w:tc>
        <w:tc>
          <w:tcPr>
            <w:tcW w:type="dxa" w:w="3116"/>
          </w:tcPr>
          <w:p>
            <w:pPr>
              <w:jc w:val="left"/>
            </w:pPr>
            <w:r>
              <w:rPr>
                <w:rFonts w:ascii="Microsoft YaHei" w:hAnsi="Microsoft YaHei" w:eastAsia="Microsoft YaHei"/>
                <w:b w:val="0"/>
                <w:color w:val="000000"/>
                <w:sz w:val="21"/>
              </w:rPr>
              <w:t>俯卧撑</w:t>
            </w:r>
          </w:p>
        </w:tc>
        <w:tc>
          <w:tcPr>
            <w:tcW w:type="dxa" w:w="3116"/>
          </w:tcPr>
          <w:p>
            <w:pPr>
              <w:jc w:val="left"/>
            </w:pPr>
            <w:r>
              <w:rPr>
                <w:rFonts w:ascii="Microsoft YaHei" w:hAnsi="Microsoft YaHei" w:eastAsia="Microsoft YaHei"/>
                <w:b w:val="0"/>
                <w:color w:val="000000"/>
                <w:sz w:val="21"/>
              </w:rPr>
              <w:t>肘、肩</w:t>
            </w:r>
          </w:p>
        </w:tc>
      </w:tr>
      <w:tr>
        <w:tc>
          <w:tcPr>
            <w:tcW w:type="dxa" w:w="3116"/>
          </w:tcPr>
          <w:p>
            <w:pPr>
              <w:jc w:val="left"/>
            </w:pPr>
            <w:r>
              <w:rPr>
                <w:rFonts w:ascii="Microsoft YaHei" w:hAnsi="Microsoft YaHei" w:eastAsia="Microsoft YaHei"/>
                <w:b w:val="0"/>
                <w:color w:val="000000"/>
                <w:sz w:val="21"/>
              </w:rPr>
              <w:t>pullup</w:t>
            </w:r>
          </w:p>
        </w:tc>
        <w:tc>
          <w:tcPr>
            <w:tcW w:type="dxa" w:w="3116"/>
          </w:tcPr>
          <w:p>
            <w:pPr>
              <w:jc w:val="left"/>
            </w:pPr>
            <w:r>
              <w:rPr>
                <w:rFonts w:ascii="Microsoft YaHei" w:hAnsi="Microsoft YaHei" w:eastAsia="Microsoft YaHei"/>
                <w:b w:val="0"/>
                <w:color w:val="000000"/>
                <w:sz w:val="21"/>
              </w:rPr>
              <w:t>引体向上</w:t>
            </w:r>
          </w:p>
        </w:tc>
        <w:tc>
          <w:tcPr>
            <w:tcW w:type="dxa" w:w="3116"/>
          </w:tcPr>
          <w:p>
            <w:pPr>
              <w:jc w:val="left"/>
            </w:pPr>
            <w:r>
              <w:rPr>
                <w:rFonts w:ascii="Microsoft YaHei" w:hAnsi="Microsoft YaHei" w:eastAsia="Microsoft YaHei"/>
                <w:b w:val="0"/>
                <w:color w:val="000000"/>
                <w:sz w:val="21"/>
              </w:rPr>
              <w:t>肘</w:t>
            </w:r>
          </w:p>
        </w:tc>
      </w:tr>
      <w:tr>
        <w:tc>
          <w:tcPr>
            <w:tcW w:type="dxa" w:w="3116"/>
          </w:tcPr>
          <w:p>
            <w:pPr>
              <w:jc w:val="left"/>
            </w:pPr>
            <w:r>
              <w:rPr>
                <w:rFonts w:ascii="Microsoft YaHei" w:hAnsi="Microsoft YaHei" w:eastAsia="Microsoft YaHei"/>
                <w:b w:val="0"/>
                <w:color w:val="000000"/>
                <w:sz w:val="21"/>
              </w:rPr>
              <w:t>situp</w:t>
            </w:r>
          </w:p>
        </w:tc>
        <w:tc>
          <w:tcPr>
            <w:tcW w:type="dxa" w:w="3116"/>
          </w:tcPr>
          <w:p>
            <w:pPr>
              <w:jc w:val="left"/>
            </w:pPr>
            <w:r>
              <w:rPr>
                <w:rFonts w:ascii="Microsoft YaHei" w:hAnsi="Microsoft YaHei" w:eastAsia="Microsoft YaHei"/>
                <w:b w:val="0"/>
                <w:color w:val="000000"/>
                <w:sz w:val="21"/>
              </w:rPr>
              <w:t>仰卧起坐</w:t>
            </w:r>
          </w:p>
        </w:tc>
        <w:tc>
          <w:tcPr>
            <w:tcW w:type="dxa" w:w="3116"/>
          </w:tcPr>
          <w:p>
            <w:pPr>
              <w:jc w:val="left"/>
            </w:pPr>
            <w:r>
              <w:rPr>
                <w:rFonts w:ascii="Microsoft YaHei" w:hAnsi="Microsoft YaHei" w:eastAsia="Microsoft YaHei"/>
                <w:b w:val="0"/>
                <w:color w:val="000000"/>
                <w:sz w:val="21"/>
              </w:rPr>
              <w:t>髋、躯干</w:t>
            </w:r>
          </w:p>
        </w:tc>
      </w:tr>
      <w:tr>
        <w:tc>
          <w:tcPr>
            <w:tcW w:type="dxa" w:w="3116"/>
          </w:tcPr>
          <w:p>
            <w:pPr>
              <w:jc w:val="left"/>
            </w:pPr>
            <w:r>
              <w:rPr>
                <w:rFonts w:ascii="Microsoft YaHei" w:hAnsi="Microsoft YaHei" w:eastAsia="Microsoft YaHei"/>
                <w:b w:val="0"/>
                <w:color w:val="000000"/>
                <w:sz w:val="21"/>
              </w:rPr>
              <w:t>bicep_curl</w:t>
            </w:r>
          </w:p>
        </w:tc>
        <w:tc>
          <w:tcPr>
            <w:tcW w:type="dxa" w:w="3116"/>
          </w:tcPr>
          <w:p>
            <w:pPr>
              <w:jc w:val="left"/>
            </w:pPr>
            <w:r>
              <w:rPr>
                <w:rFonts w:ascii="Microsoft YaHei" w:hAnsi="Microsoft YaHei" w:eastAsia="Microsoft YaHei"/>
                <w:b w:val="0"/>
                <w:color w:val="000000"/>
                <w:sz w:val="21"/>
              </w:rPr>
              <w:t>哑铃弯举</w:t>
            </w:r>
          </w:p>
        </w:tc>
        <w:tc>
          <w:tcPr>
            <w:tcW w:type="dxa" w:w="3116"/>
          </w:tcPr>
          <w:p>
            <w:pPr>
              <w:jc w:val="left"/>
            </w:pPr>
            <w:r>
              <w:rPr>
                <w:rFonts w:ascii="Microsoft YaHei" w:hAnsi="Microsoft YaHei" w:eastAsia="Microsoft YaHei"/>
                <w:b w:val="0"/>
                <w:color w:val="000000"/>
                <w:sz w:val="21"/>
              </w:rPr>
              <w:t>肘</w:t>
            </w:r>
          </w:p>
        </w:tc>
      </w:tr>
      <w:tr>
        <w:tc>
          <w:tcPr>
            <w:tcW w:type="dxa" w:w="3116"/>
          </w:tcPr>
          <w:p>
            <w:pPr>
              <w:jc w:val="left"/>
            </w:pPr>
            <w:r>
              <w:rPr>
                <w:rFonts w:ascii="Microsoft YaHei" w:hAnsi="Microsoft YaHei" w:eastAsia="Microsoft YaHei"/>
                <w:b w:val="0"/>
                <w:color w:val="000000"/>
                <w:sz w:val="21"/>
              </w:rPr>
              <w:t>shoulder_press</w:t>
            </w:r>
          </w:p>
        </w:tc>
        <w:tc>
          <w:tcPr>
            <w:tcW w:type="dxa" w:w="3116"/>
          </w:tcPr>
          <w:p>
            <w:pPr>
              <w:jc w:val="left"/>
            </w:pPr>
            <w:r>
              <w:rPr>
                <w:rFonts w:ascii="Microsoft YaHei" w:hAnsi="Microsoft YaHei" w:eastAsia="Microsoft YaHei"/>
                <w:b w:val="0"/>
                <w:color w:val="000000"/>
                <w:sz w:val="21"/>
              </w:rPr>
              <w:t>肩部推举</w:t>
            </w:r>
          </w:p>
        </w:tc>
        <w:tc>
          <w:tcPr>
            <w:tcW w:type="dxa" w:w="3116"/>
          </w:tcPr>
          <w:p>
            <w:pPr>
              <w:jc w:val="left"/>
            </w:pPr>
            <w:r>
              <w:rPr>
                <w:rFonts w:ascii="Microsoft YaHei" w:hAnsi="Microsoft YaHei" w:eastAsia="Microsoft YaHei"/>
                <w:b w:val="0"/>
                <w:color w:val="000000"/>
                <w:sz w:val="21"/>
              </w:rPr>
              <w:t>肩、肘</w:t>
            </w:r>
          </w:p>
        </w:tc>
      </w:tr>
      <w:tr>
        <w:tc>
          <w:tcPr>
            <w:tcW w:type="dxa" w:w="3116"/>
          </w:tcPr>
          <w:p>
            <w:pPr>
              <w:jc w:val="left"/>
            </w:pPr>
            <w:r>
              <w:rPr>
                <w:rFonts w:ascii="Microsoft YaHei" w:hAnsi="Microsoft YaHei" w:eastAsia="Microsoft YaHei"/>
                <w:b w:val="0"/>
                <w:color w:val="000000"/>
                <w:sz w:val="21"/>
              </w:rPr>
              <w:t>dumbbell_fly</w:t>
            </w:r>
          </w:p>
        </w:tc>
        <w:tc>
          <w:tcPr>
            <w:tcW w:type="dxa" w:w="3116"/>
          </w:tcPr>
          <w:p>
            <w:pPr>
              <w:jc w:val="left"/>
            </w:pPr>
            <w:r>
              <w:rPr>
                <w:rFonts w:ascii="Microsoft YaHei" w:hAnsi="Microsoft YaHei" w:eastAsia="Microsoft YaHei"/>
                <w:b w:val="0"/>
                <w:color w:val="000000"/>
                <w:sz w:val="21"/>
              </w:rPr>
              <w:t>哑铃飞鸟</w:t>
            </w:r>
          </w:p>
        </w:tc>
        <w:tc>
          <w:tcPr>
            <w:tcW w:type="dxa" w:w="3116"/>
          </w:tcPr>
          <w:p>
            <w:pPr>
              <w:jc w:val="left"/>
            </w:pPr>
            <w:r>
              <w:rPr>
                <w:rFonts w:ascii="Microsoft YaHei" w:hAnsi="Microsoft YaHei" w:eastAsia="Microsoft YaHei"/>
                <w:b w:val="0"/>
                <w:color w:val="000000"/>
                <w:sz w:val="21"/>
              </w:rPr>
              <w:t>肩、肘</w:t>
            </w:r>
          </w:p>
        </w:tc>
      </w:tr>
    </w:tbl>
    <w:p/>
    <w:p>
      <w:pPr>
        <w:pStyle w:val="Heading1"/>
      </w:pPr>
      <w:r>
        <w:rPr>
          <w:rFonts w:ascii="SimHei" w:hAnsi="SimHei" w:eastAsia="SimHei"/>
          <w:b/>
          <w:color w:val="000000"/>
          <w:sz w:val="32"/>
        </w:rPr>
        <w:t>第四章 多模态反馈与展示效果</w:t>
      </w:r>
    </w:p>
    <w:p>
      <w:pPr>
        <w:spacing w:line="372" w:lineRule="auto"/>
        <w:ind w:firstLine="454"/>
      </w:pPr>
      <w:r>
        <w:rPr>
          <w:rFonts w:ascii="SimSun" w:hAnsi="SimSun" w:eastAsia="SimSun"/>
          <w:b w:val="0"/>
          <w:color w:val="000000"/>
          <w:sz w:val="22"/>
        </w:rPr>
        <w:t>为了让系统不只停留在“给一个数字”这一层，项目把图片、视频和摄像头三种输入方式统一到同一套动作分析逻辑中。图片模式适合展示单帧姿态与关键角度，视频模式适合观察完整动作周期，摄像头模式则更强调即时反馈和交互体验。</w:t>
      </w:r>
    </w:p>
    <w:p>
      <w:pPr>
        <w:spacing w:line="372" w:lineRule="auto"/>
        <w:ind w:firstLine="454"/>
      </w:pPr>
      <w:r>
        <w:rPr>
          <w:rFonts w:ascii="SimSun" w:hAnsi="SimSun" w:eastAsia="SimSun"/>
          <w:b w:val="0"/>
          <w:color w:val="000000"/>
          <w:sz w:val="22"/>
        </w:rPr>
        <w:t>在结果表达上，系统除了展示骨架和角度外，还会根据动作类型输出动作名称、阶段状态和文字说明。进一步接入 Qwen-VL-Plus 后，系统能够把检测结果组织成更自然的建议文本，例如指出动作幅度不足、姿态不稳或者发力路径不合理等问题。这样的输出方式比单纯阈值判断更适合课程项目答辩和用户演示。</w:t>
      </w:r>
    </w:p>
    <w:p>
      <w:pPr>
        <w:jc w:val="center"/>
      </w:pPr>
      <w:r>
        <w:drawing>
          <wp:inline xmlns:a="http://schemas.openxmlformats.org/drawingml/2006/main" xmlns:pic="http://schemas.openxmlformats.org/drawingml/2006/picture">
            <wp:extent cx="5400000" cy="2588646"/>
            <wp:docPr id="5" name="Picture 5"/>
            <wp:cNvGraphicFramePr>
              <a:graphicFrameLocks noChangeAspect="1"/>
            </wp:cNvGraphicFramePr>
            <a:graphic>
              <a:graphicData uri="http://schemas.openxmlformats.org/drawingml/2006/picture">
                <pic:pic>
                  <pic:nvPicPr>
                    <pic:cNvPr id="0" name="图片分析-肩部推举结果.png"/>
                    <pic:cNvPicPr/>
                  </pic:nvPicPr>
                  <pic:blipFill>
                    <a:blip r:embed="rId13"/>
                    <a:stretch>
                      <a:fillRect/>
                    </a:stretch>
                  </pic:blipFill>
                  <pic:spPr>
                    <a:xfrm>
                      <a:off x="0" y="0"/>
                      <a:ext cx="5400000" cy="2588646"/>
                    </a:xfrm>
                    <a:prstGeom prst="rect"/>
                  </pic:spPr>
                </pic:pic>
              </a:graphicData>
            </a:graphic>
          </wp:inline>
        </w:drawing>
      </w:r>
    </w:p>
    <w:p>
      <w:pPr>
        <w:jc w:val="center"/>
      </w:pPr>
      <w:r>
        <w:rPr>
          <w:rFonts w:ascii="SimHei" w:hAnsi="SimHei" w:eastAsia="SimHei"/>
          <w:b w:val="0"/>
          <w:color w:val="000000"/>
          <w:sz w:val="21"/>
        </w:rPr>
        <w:t>图 4-1 图片分析模式示例：肩部推举动作识别与角度显示</w:t>
      </w:r>
    </w:p>
    <w:p>
      <w:pPr>
        <w:jc w:val="center"/>
      </w:pPr>
      <w:r>
        <w:drawing>
          <wp:inline xmlns:a="http://schemas.openxmlformats.org/drawingml/2006/main" xmlns:pic="http://schemas.openxmlformats.org/drawingml/2006/picture">
            <wp:extent cx="5400000" cy="2440499"/>
            <wp:docPr id="6" name="Picture 6"/>
            <wp:cNvGraphicFramePr>
              <a:graphicFrameLocks noChangeAspect="1"/>
            </wp:cNvGraphicFramePr>
            <a:graphic>
              <a:graphicData uri="http://schemas.openxmlformats.org/drawingml/2006/picture">
                <pic:pic>
                  <pic:nvPicPr>
                    <pic:cNvPr id="0" name="大模型分析-引体向上建议.png"/>
                    <pic:cNvPicPr/>
                  </pic:nvPicPr>
                  <pic:blipFill>
                    <a:blip r:embed="rId14"/>
                    <a:stretch>
                      <a:fillRect/>
                    </a:stretch>
                  </pic:blipFill>
                  <pic:spPr>
                    <a:xfrm>
                      <a:off x="0" y="0"/>
                      <a:ext cx="5400000" cy="2440499"/>
                    </a:xfrm>
                    <a:prstGeom prst="rect"/>
                  </pic:spPr>
                </pic:pic>
              </a:graphicData>
            </a:graphic>
          </wp:inline>
        </w:drawing>
      </w:r>
    </w:p>
    <w:p>
      <w:pPr>
        <w:jc w:val="center"/>
      </w:pPr>
      <w:r>
        <w:rPr>
          <w:rFonts w:ascii="SimHei" w:hAnsi="SimHei" w:eastAsia="SimHei"/>
          <w:b w:val="0"/>
          <w:color w:val="000000"/>
          <w:sz w:val="21"/>
        </w:rPr>
        <w:t>图 4-2 大模型分析结果示例：引体向上逐次动作建议</w:t>
      </w:r>
    </w:p>
    <w:p>
      <w:pPr>
        <w:jc w:val="center"/>
      </w:pPr>
      <w:r>
        <w:drawing>
          <wp:inline xmlns:a="http://schemas.openxmlformats.org/drawingml/2006/main" xmlns:pic="http://schemas.openxmlformats.org/drawingml/2006/picture">
            <wp:extent cx="5400000" cy="4501374"/>
            <wp:docPr id="7" name="Picture 7"/>
            <wp:cNvGraphicFramePr>
              <a:graphicFrameLocks noChangeAspect="1"/>
            </wp:cNvGraphicFramePr>
            <a:graphic>
              <a:graphicData uri="http://schemas.openxmlformats.org/drawingml/2006/picture">
                <pic:pic>
                  <pic:nvPicPr>
                    <pic:cNvPr id="0" name="视频分析-俯卧撑结果页.png"/>
                    <pic:cNvPicPr/>
                  </pic:nvPicPr>
                  <pic:blipFill>
                    <a:blip r:embed="rId15"/>
                    <a:stretch>
                      <a:fillRect/>
                    </a:stretch>
                  </pic:blipFill>
                  <pic:spPr>
                    <a:xfrm>
                      <a:off x="0" y="0"/>
                      <a:ext cx="5400000" cy="4501374"/>
                    </a:xfrm>
                    <a:prstGeom prst="rect"/>
                  </pic:spPr>
                </pic:pic>
              </a:graphicData>
            </a:graphic>
          </wp:inline>
        </w:drawing>
      </w:r>
    </w:p>
    <w:p>
      <w:pPr>
        <w:jc w:val="center"/>
      </w:pPr>
      <w:r>
        <w:rPr>
          <w:rFonts w:ascii="SimHei" w:hAnsi="SimHei" w:eastAsia="SimHei"/>
          <w:b w:val="0"/>
          <w:color w:val="000000"/>
          <w:sz w:val="21"/>
        </w:rPr>
        <w:t>图 4-3 视频分析结果页示例：俯卧撑动作完成质量反馈</w:t>
      </w:r>
    </w:p>
    <w:p>
      <w:pPr>
        <w:pStyle w:val="Heading1"/>
      </w:pPr>
      <w:r>
        <w:rPr>
          <w:rFonts w:ascii="SimHei" w:hAnsi="SimHei" w:eastAsia="SimHei"/>
          <w:b/>
          <w:color w:val="000000"/>
          <w:sz w:val="32"/>
        </w:rPr>
        <w:t>第五章 系统测试与结果口径</w:t>
      </w:r>
    </w:p>
    <w:p>
      <w:pPr>
        <w:spacing w:line="372" w:lineRule="auto"/>
        <w:ind w:firstLine="454"/>
      </w:pPr>
      <w:r>
        <w:rPr>
          <w:rFonts w:ascii="SimSun" w:hAnsi="SimSun" w:eastAsia="SimSun"/>
          <w:b w:val="0"/>
          <w:color w:val="000000"/>
          <w:sz w:val="22"/>
        </w:rPr>
        <w:t>当前仓库与 README 给出了离线训练结果：最佳 epoch 为 672，Accuracy 为 0.9800，F1-score 为 0.9799。需要特别强调的是，这组指标对应的是基于 UI-PRMD 的离线骨骼动作质量评估模型，并不是网页端实时系统的端到端准确率。在线系统的展示应表述为“工程实现表现”或“系统测试观察”，避免与离线实验指标混写。</w:t>
      </w:r>
    </w:p>
    <w:p>
      <w:pPr>
        <w:jc w:val="center"/>
      </w:pPr>
      <w:r>
        <w:drawing>
          <wp:inline xmlns:a="http://schemas.openxmlformats.org/drawingml/2006/main" xmlns:pic="http://schemas.openxmlformats.org/drawingml/2006/picture">
            <wp:extent cx="5472000" cy="1822560"/>
            <wp:docPr id="8" name="Picture 8"/>
            <wp:cNvGraphicFramePr>
              <a:graphicFrameLocks noChangeAspect="1"/>
            </wp:cNvGraphicFramePr>
            <a:graphic>
              <a:graphicData uri="http://schemas.openxmlformats.org/drawingml/2006/picture">
                <pic:pic>
                  <pic:nvPicPr>
                    <pic:cNvPr id="0" name="loss_curve.png"/>
                    <pic:cNvPicPr/>
                  </pic:nvPicPr>
                  <pic:blipFill>
                    <a:blip r:embed="rId16"/>
                    <a:stretch>
                      <a:fillRect/>
                    </a:stretch>
                  </pic:blipFill>
                  <pic:spPr>
                    <a:xfrm>
                      <a:off x="0" y="0"/>
                      <a:ext cx="5472000" cy="1822560"/>
                    </a:xfrm>
                    <a:prstGeom prst="rect"/>
                  </pic:spPr>
                </pic:pic>
              </a:graphicData>
            </a:graphic>
          </wp:inline>
        </w:drawing>
      </w:r>
    </w:p>
    <w:p>
      <w:pPr>
        <w:jc w:val="center"/>
      </w:pPr>
      <w:r>
        <w:rPr>
          <w:rFonts w:ascii="SimHei" w:hAnsi="SimHei" w:eastAsia="SimHei"/>
          <w:b w:val="0"/>
          <w:color w:val="000000"/>
          <w:sz w:val="21"/>
        </w:rPr>
        <w:t>图 5-1 训练损失与验证指标曲线（原稿继承）</w:t>
      </w:r>
    </w:p>
    <w:p>
      <w:pPr>
        <w:jc w:val="center"/>
      </w:pPr>
      <w:r>
        <w:drawing>
          <wp:inline xmlns:a="http://schemas.openxmlformats.org/drawingml/2006/main" xmlns:pic="http://schemas.openxmlformats.org/drawingml/2006/picture">
            <wp:extent cx="4500000" cy="3600000"/>
            <wp:docPr id="9" name="Picture 9"/>
            <wp:cNvGraphicFramePr>
              <a:graphicFrameLocks noChangeAspect="1"/>
            </wp:cNvGraphicFramePr>
            <a:graphic>
              <a:graphicData uri="http://schemas.openxmlformats.org/drawingml/2006/picture">
                <pic:pic>
                  <pic:nvPicPr>
                    <pic:cNvPr id="0" name="confusion_matrix.png"/>
                    <pic:cNvPicPr/>
                  </pic:nvPicPr>
                  <pic:blipFill>
                    <a:blip r:embed="rId17"/>
                    <a:stretch>
                      <a:fillRect/>
                    </a:stretch>
                  </pic:blipFill>
                  <pic:spPr>
                    <a:xfrm>
                      <a:off x="0" y="0"/>
                      <a:ext cx="4500000" cy="3600000"/>
                    </a:xfrm>
                    <a:prstGeom prst="rect"/>
                  </pic:spPr>
                </pic:pic>
              </a:graphicData>
            </a:graphic>
          </wp:inline>
        </w:drawing>
      </w:r>
    </w:p>
    <w:p>
      <w:pPr>
        <w:jc w:val="center"/>
      </w:pPr>
      <w:r>
        <w:rPr>
          <w:rFonts w:ascii="SimHei" w:hAnsi="SimHei" w:eastAsia="SimHei"/>
          <w:b w:val="0"/>
          <w:color w:val="000000"/>
          <w:sz w:val="21"/>
        </w:rPr>
        <w:t>图 5-2 测试集混淆矩阵（原稿继承）</w:t>
      </w:r>
    </w:p>
    <w:p>
      <w:pPr>
        <w:jc w:val="center"/>
      </w:pPr>
      <w:r>
        <w:drawing>
          <wp:inline xmlns:a="http://schemas.openxmlformats.org/drawingml/2006/main" xmlns:pic="http://schemas.openxmlformats.org/drawingml/2006/picture">
            <wp:extent cx="4860000" cy="3016166"/>
            <wp:docPr id="10" name="Picture 10"/>
            <wp:cNvGraphicFramePr>
              <a:graphicFrameLocks noChangeAspect="1"/>
            </wp:cNvGraphicFramePr>
            <a:graphic>
              <a:graphicData uri="http://schemas.openxmlformats.org/drawingml/2006/picture">
                <pic:pic>
                  <pic:nvPicPr>
                    <pic:cNvPr id="0" name="offline_metrics.png"/>
                    <pic:cNvPicPr/>
                  </pic:nvPicPr>
                  <pic:blipFill>
                    <a:blip r:embed="rId18"/>
                    <a:stretch>
                      <a:fillRect/>
                    </a:stretch>
                  </pic:blipFill>
                  <pic:spPr>
                    <a:xfrm>
                      <a:off x="0" y="0"/>
                      <a:ext cx="4860000" cy="3016166"/>
                    </a:xfrm>
                    <a:prstGeom prst="rect"/>
                  </pic:spPr>
                </pic:pic>
              </a:graphicData>
            </a:graphic>
          </wp:inline>
        </w:drawing>
      </w:r>
    </w:p>
    <w:p>
      <w:pPr>
        <w:jc w:val="center"/>
      </w:pPr>
      <w:r>
        <w:rPr>
          <w:rFonts w:ascii="SimHei" w:hAnsi="SimHei" w:eastAsia="SimHei"/>
          <w:b w:val="0"/>
          <w:color w:val="000000"/>
          <w:sz w:val="21"/>
        </w:rPr>
        <w:t>图 5-3 离线模型指标重绘图（来源：README）</w:t>
      </w:r>
    </w:p>
    <w:p>
      <w:pPr>
        <w:spacing w:line="372" w:lineRule="auto"/>
        <w:ind w:firstLine="454"/>
      </w:pPr>
      <w:r>
        <w:rPr>
          <w:rFonts w:ascii="SimSun" w:hAnsi="SimSun" w:eastAsia="SimSun"/>
          <w:b w:val="0"/>
          <w:color w:val="000000"/>
          <w:sz w:val="22"/>
        </w:rPr>
        <w:t>在线系统部分，现有项目说明记录了 YOLO11-Pose 在 RTX 3070 Ti GPU 条件下单人姿态估计延迟约为 15–25 ms / 帧，Qwen-VL-Plus 的平均响应时间约为 3–8 秒 / 次。结合系统已支持 7 种动作和 3 种检测模式这一事实，可以认为当前系统已经具备较完整的课程项目展示能力：既能说明模型有效性，也能展示交互链路是否打通。</w:t>
      </w:r>
    </w:p>
    <w:p>
      <w:pPr>
        <w:jc w:val="center"/>
      </w:pPr>
      <w:r>
        <w:drawing>
          <wp:inline xmlns:a="http://schemas.openxmlformats.org/drawingml/2006/main" xmlns:pic="http://schemas.openxmlformats.org/drawingml/2006/picture">
            <wp:extent cx="5580000" cy="3100000"/>
            <wp:docPr id="11" name="Picture 11"/>
            <wp:cNvGraphicFramePr>
              <a:graphicFrameLocks noChangeAspect="1"/>
            </wp:cNvGraphicFramePr>
            <a:graphic>
              <a:graphicData uri="http://schemas.openxmlformats.org/drawingml/2006/picture">
                <pic:pic>
                  <pic:nvPicPr>
                    <pic:cNvPr id="0" name="online_performance.png"/>
                    <pic:cNvPicPr/>
                  </pic:nvPicPr>
                  <pic:blipFill>
                    <a:blip r:embed="rId19"/>
                    <a:stretch>
                      <a:fillRect/>
                    </a:stretch>
                  </pic:blipFill>
                  <pic:spPr>
                    <a:xfrm>
                      <a:off x="0" y="0"/>
                      <a:ext cx="5580000" cy="3100000"/>
                    </a:xfrm>
                    <a:prstGeom prst="rect"/>
                  </pic:spPr>
                </pic:pic>
              </a:graphicData>
            </a:graphic>
          </wp:inline>
        </w:drawing>
      </w:r>
    </w:p>
    <w:p>
      <w:pPr>
        <w:jc w:val="center"/>
      </w:pPr>
      <w:r>
        <w:rPr>
          <w:rFonts w:ascii="SimHei" w:hAnsi="SimHei" w:eastAsia="SimHei"/>
          <w:b w:val="0"/>
          <w:color w:val="000000"/>
          <w:sz w:val="21"/>
        </w:rPr>
        <w:t>图 5-4 在线系统工程表现信息图</w:t>
      </w:r>
    </w:p>
    <w:p>
      <w:pPr>
        <w:pStyle w:val="Heading1"/>
      </w:pPr>
      <w:r>
        <w:rPr>
          <w:rFonts w:ascii="SimHei" w:hAnsi="SimHei" w:eastAsia="SimHei"/>
          <w:b/>
          <w:color w:val="000000"/>
          <w:sz w:val="32"/>
        </w:rPr>
        <w:t>第六章 个人贡献与反思</w:t>
      </w:r>
    </w:p>
    <w:p>
      <w:pPr>
        <w:spacing w:line="372" w:lineRule="auto"/>
        <w:ind w:firstLine="454"/>
      </w:pPr>
      <w:r>
        <w:rPr>
          <w:rFonts w:ascii="SimSun" w:hAnsi="SimSun" w:eastAsia="SimSun"/>
          <w:b w:val="0"/>
          <w:color w:val="000000"/>
          <w:sz w:val="22"/>
        </w:rPr>
        <w:t>在团队分工中，我主要负责在线动作分析链路的实现与整理，包括姿态估计结果解释、关节角度计算、动作状态机逻辑、多模态建议流程以及相关页面展示内容的打磨。我的工作重点偏向“让系统能看懂一个动作，也让用户能看懂系统在说什么”，因此既涉及算法细节，也涉及展示方式。</w:t>
      </w:r>
    </w:p>
    <w:p>
      <w:pPr>
        <w:spacing w:line="372" w:lineRule="auto"/>
        <w:ind w:firstLine="454"/>
      </w:pPr>
      <w:r>
        <w:rPr>
          <w:rFonts w:ascii="SimSun" w:hAnsi="SimSun" w:eastAsia="SimSun"/>
          <w:b w:val="0"/>
          <w:color w:val="000000"/>
          <w:sz w:val="22"/>
        </w:rPr>
        <w:t>这次项目给我的直接体会是：课程项目中的“可解释性”非常重要。仅有一个准确率并不能支撑完整答辩，必须把输入、关键点、角度、阶段、建议这条链路讲清楚。后续如果继续迭代，我希望进一步补充更严格的动作规范标签，并把在线系统的规则判断与离线数据集标签建立更紧密的对应关系。</w:t>
      </w:r>
    </w:p>
    <w:p>
      <w:pPr>
        <w:pStyle w:val="Heading1"/>
      </w:pPr>
      <w:r>
        <w:rPr>
          <w:rFonts w:ascii="SimHei" w:hAnsi="SimHei" w:eastAsia="SimHei"/>
          <w:b/>
          <w:color w:val="000000"/>
          <w:sz w:val="32"/>
        </w:rPr>
        <w:t>参考文献</w:t>
      </w:r>
    </w:p>
    <w:p>
      <w:pPr>
        <w:spacing w:line="336" w:lineRule="auto"/>
      </w:pPr>
      <w:r>
        <w:rPr>
          <w:rFonts w:ascii="SimSun" w:hAnsi="SimSun" w:eastAsia="SimSun"/>
          <w:b w:val="0"/>
          <w:color w:val="000000"/>
          <w:sz w:val="21"/>
        </w:rPr>
        <w:t>[1] Yan S, Xiong Y, Lin D. Spatial temporal graph convolutional networks for skeleton-based action recognition[C]//Proceedings of the AAAI Conference on Artificial Intelligence, 2018, 32(1).</w:t>
      </w:r>
    </w:p>
    <w:p>
      <w:pPr>
        <w:spacing w:line="336" w:lineRule="auto"/>
      </w:pPr>
      <w:r>
        <w:rPr>
          <w:rFonts w:ascii="SimSun" w:hAnsi="SimSun" w:eastAsia="SimSun"/>
          <w:b w:val="0"/>
          <w:color w:val="000000"/>
          <w:sz w:val="21"/>
        </w:rPr>
        <w:t>[2] Vakanski A, Jun H, Paul D, Baker R. A data set of human body movements for physical rehabilitation exercises[J]. Data, 2018, 3(1): 2.</w:t>
      </w:r>
    </w:p>
    <w:p>
      <w:pPr>
        <w:spacing w:line="336" w:lineRule="auto"/>
      </w:pPr>
      <w:r>
        <w:rPr>
          <w:rFonts w:ascii="SimSun" w:hAnsi="SimSun" w:eastAsia="SimSun"/>
          <w:b w:val="0"/>
          <w:color w:val="000000"/>
          <w:sz w:val="21"/>
        </w:rPr>
        <w:t>[3] Karlov M, Abedi A, Khan S S. Rehabilitation exercise quality assessment through supervised contrastive learning with hard and soft negatives[J]. Medical &amp; Biological Engineering &amp; Computing, 2025, 63(1): 15-28.</w:t>
      </w:r>
    </w:p>
    <w:p>
      <w:pPr>
        <w:spacing w:line="336" w:lineRule="auto"/>
      </w:pPr>
      <w:r>
        <w:rPr>
          <w:rFonts w:ascii="SimSun" w:hAnsi="SimSun" w:eastAsia="SimSun"/>
          <w:b w:val="0"/>
          <w:color w:val="000000"/>
          <w:sz w:val="21"/>
        </w:rPr>
        <w:t>[4] Khosla P, Teterwak P, Wang C, et al. Supervised contrastive learning[C]//Advances in Neural Information Processing Systems, 2020, 33: 18661-18673.</w:t>
      </w:r>
    </w:p>
    <w:p>
      <w:pPr>
        <w:spacing w:line="336" w:lineRule="auto"/>
      </w:pPr>
      <w:r>
        <w:rPr>
          <w:rFonts w:ascii="SimSun" w:hAnsi="SimSun" w:eastAsia="SimSun"/>
          <w:b w:val="0"/>
          <w:color w:val="000000"/>
          <w:sz w:val="21"/>
        </w:rPr>
        <w:t>[5] Ultralytics. YOLO11 Pose Estimation Documentation[EB/OL].</w:t>
      </w:r>
    </w:p>
    <w:p>
      <w:pPr>
        <w:spacing w:line="336" w:lineRule="auto"/>
      </w:pPr>
      <w:r>
        <w:rPr>
          <w:rFonts w:ascii="SimSun" w:hAnsi="SimSun" w:eastAsia="SimSun"/>
          <w:b w:val="0"/>
          <w:color w:val="000000"/>
          <w:sz w:val="21"/>
        </w:rPr>
        <w:t>[6] Qwen Team. Qwen-VL: A Versatile Vision-Language Model[EB/OL].</w:t>
      </w:r>
    </w:p>
    <w:sectPr w:rsidR="00FC693F" w:rsidRPr="0006063C" w:rsidSect="00034616">
      <w:pgSz w:w="12240" w:h="15840"/>
      <w:pgMar w:top="1361" w:right="1361" w:bottom="124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Hei" w:hAnsi="SimHei" w:eastAsia="SimHe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