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color w:val="000000"/>
          <w:sz w:val="38"/>
        </w:rPr>
        <w:t>计算机视觉课程大作业</w:t>
      </w:r>
    </w:p>
    <w:p>
      <w:pPr>
        <w:jc w:val="center"/>
      </w:pPr>
      <w:r>
        <w:rPr>
          <w:rFonts w:ascii="SimHei" w:hAnsi="SimHei" w:eastAsia="SimHei"/>
          <w:b/>
          <w:color w:val="000000"/>
          <w:sz w:val="34"/>
        </w:rPr>
        <w:t>基于 YOLO11-Pose 与 Qwen-VL-Plus 的智能康复健身辅助系统</w:t>
      </w:r>
    </w:p>
    <w:p>
      <w:pPr>
        <w:jc w:val="center"/>
      </w:pPr>
      <w:r>
        <w:rPr>
          <w:rFonts w:ascii="SimHei" w:hAnsi="SimHei" w:eastAsia="SimHei"/>
          <w:b/>
          <w:color w:val="000000"/>
          <w:sz w:val="30"/>
        </w:rPr>
        <w:t>基于 UI-PRMD 与 Multi-Stream ST-GCN 的康复动作质量评估</w:t>
        <w:br/>
        <w:t>——数据处理、工程整合与 Web 系统实现个人报告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Group 04  |  2026年6月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姓名：唐伟翔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学号：1231002012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个人侧重点：数据预处理、训练流程、前后端联动与系统落地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摘  要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本文从数据处理、训练工程与系统整合的角度，总结本人在 Group 04 项目中的主要工作。围绕 UI-PRMD 数据集，我重点完成了样本解析、统一重采样、Joint / Bone / Motion 三流构建以及 Multi-Stream ST-GCN 训练链路整理；在工程实现层面，参与 Flask + Vue 前后端结构搭建、数据库模型与接口联动，并将图片、视频和摄像头三种动作分析模式统一整合到可演示的 Web 系统中。</w:t>
      </w:r>
    </w:p>
    <w:p>
      <w:pPr>
        <w:ind w:firstLine="454"/>
      </w:pPr>
      <w:r>
        <w:rPr>
          <w:rFonts w:ascii="SimHei" w:hAnsi="SimHei" w:eastAsia="SimHei"/>
          <w:b/>
          <w:color w:val="000000"/>
          <w:sz w:val="22"/>
        </w:rPr>
        <w:t>关键词：</w:t>
      </w:r>
      <w:r>
        <w:rPr>
          <w:rFonts w:ascii="SimSun" w:hAnsi="SimSun" w:eastAsia="SimSun"/>
          <w:b w:val="0"/>
          <w:color w:val="000000"/>
          <w:sz w:val="22"/>
        </w:rPr>
        <w:t>UI-PRMD；ST-GCN；数据预处理；Flask；Vue 3；工程整合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第一章 技术路线与项目整体组织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从项目组织方式看，本次课程大作业采用了比较清晰的“双主线”结构：离线链路负责验证动作质量评估方法本身是否有效，在线链路负责把结果做成可以操作、可以展示、可以记录的系统。这样的拆分让训练与演示各自承担明确任务，也便于组内成员并行推进。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从工程结构上看，项目主要由 `train_stgat_uiprmd.py`、`infer_rehab_folder.py`、`web-flask` 和 `web-vue` 四部分组成。训练脚本负责数据读取、模型训练和评估；推理脚本负责离线目录分析；Flask 负责 RESTful API、数据库和服务编排；Vue 负责前端交互页面和结果展示。我个人的工作主要落在数据处理、训练工程组织和前后端联动这三个环节。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30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1-1 系统整体架构图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第二章 UI-PRMD 预处理与三流构建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训练链路首先需要把 UI-PRMD 中格式各异的动作样本整理成可以统一输入模型的序列。项目通过文件名模式解析动作编号、受试者编号、重复次数和正确性标签，并将原始序列统一重采样为 96 帧，从而保证不同样本可以进入同一批次训练。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在空间建模方面，项目对原始骨骼序列做了中心化和结构归一化处理，尽量减弱个体位置偏移和体型差异的影响。基于归一化后的骨骼数据，再分别构造 Joint、Bone 和 Motion 三种输入流，使模型能够同时利用空间姿态、骨骼拓扑关系和时间变化趋势。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984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2-1 UI-PRMD 数据集页面截图（原稿继承）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97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stream_stg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2-2 Multi-Stream ST-GCN 三流输入结构</w:t>
      </w:r>
    </w:p>
    <w:p>
      <w:pPr>
        <w:jc w:val="center"/>
      </w:pPr>
      <w:r>
        <w:rPr>
          <w:rFonts w:ascii="SimHei" w:hAnsi="SimHei" w:eastAsia="SimHei"/>
          <w:b/>
          <w:color w:val="000000"/>
          <w:sz w:val="22"/>
        </w:rPr>
        <w:t>表 2-1 预处理与训练中的关键工程参数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fill="EA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674"/>
            <w:shd w:fill="EA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取值 / 说明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统一序列长度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96 帧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批大小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128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训练轮数上限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2000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最佳 epoch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672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评估指标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Accuracy / F1-score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第三章 Multi-Stream ST-GCN 训练工程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模型部分采用 Multi-Stream ST-GCN，将人体骨骼序列表示为时空图，并在 Joint、Bone、Motion 三种输入流上分别提取特征后再做融合。相较于只使用单一关节坐标，这种结构能够更完整地表达动作随时间的变化与关节间的拓扑关系。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在训练工程上，脚本不仅负责前向训练，还包含阈值搜索、验证集 F1 监控、最佳模型保存和混淆矩阵输出等内容。README 中记录的最终结果为 Accuracy 0.9800、F1-score 0.9799，这表明当前离线骨骼动作质量评估链路已经具备较强的区分能力，也为系统整体答辩提供了比较扎实的实验支撑。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1865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gcn_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6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3-1 ST-GCN 结构示意图（原稿继承）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00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ive_pai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0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3-2 正负样本对示意图（原稿继承）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822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2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3-3 训练损失与验证指标曲线（原稿继承）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3-4 测试集混淆矩阵（原稿继承）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161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1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3-5 README 指标重绘：离线模型 Accuracy 与 F1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第四章 Flask + Vue 前后端系统设计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前端基于 Vue 3、TypeScript、Element Plus 与 ECharts，后端基于 Flask、SQLAlchemy 和 JWT 认证，形成了比较标准的前后端分离结构。当前路由层面共定义 9 个命名页面，其中包含 1 个登录页和 8 个核心业务页面；数据库层面定义了 11 张业务表，用于承载用户信息、计划管理、图片/视频分析记录、摄像头会话和截图等数据。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我在系统整合中的主要工作，是把动作分析能力包装成稳定可用的 API 与页面交互流程。图片、视频和摄像头三种输入虽然前端入口不同，但在后端服务层会被组织成统一的分析链路；前端页面则负责把上传、处理、进度和结果展示串成一个完整使用流程。</w:t>
      </w:r>
    </w:p>
    <w:p>
      <w:pPr>
        <w:jc w:val="center"/>
      </w:pPr>
      <w:r>
        <w:rPr>
          <w:rFonts w:ascii="SimHei" w:hAnsi="SimHei" w:eastAsia="SimHei"/>
          <w:b/>
          <w:color w:val="000000"/>
          <w:sz w:val="22"/>
        </w:rPr>
        <w:t>表 4-1 当前 Web 系统可证事实汇总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fill="EA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674"/>
            <w:shd w:fill="EAEAE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事实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命名前端路由数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9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核心业务页面数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8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数据库表数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11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支持动作数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7</w:t>
            </w:r>
          </w:p>
        </w:tc>
      </w:tr>
      <w:tr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检测模式数</w:t>
            </w:r>
          </w:p>
        </w:tc>
        <w:tc>
          <w:tcPr>
            <w:tcW w:type="dxa" w:w="467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919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分析-俯卧撑上传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1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4-1 视频分析页面：俯卧撑上传配置与预览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231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分析-肩部推举结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2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4-2 图片分析页面：肩部推举姿态识别与角度结果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5613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分析-俯卧撑结果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6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4-3 视频分析结果页：俯卧撑动作完成质量反馈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第五章 项目整合与运行链路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从运行链路来看，用户在前端选择动作类型和输入方式后，页面会把文件或视频帧发送到后端；后端完成姿态估计、角度计算、动作计数和结果存储后，再把结构化结果返回前端展示。这样的链路设计让项目不只是“能跑脚本”，而是形成了完整的产品闭环。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训练脚本与 Web 系统之间的桥接，也是这次工程整合最关键的部分。离线训练结果保证项目具备可验证的实验基础，在线系统则把这些能力转成可操作的功能页面。对课程答辩来说，这种“既有实验、又有系统”的形态比单独展示模型或单独展示页面都更完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265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时检测-深蹲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b w:val="0"/>
          <w:color w:val="000000"/>
          <w:sz w:val="21"/>
        </w:rPr>
        <w:t>图 5-1 实时检测页面：深蹲动作状态识别示例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第六章 个人贡献与改进方向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我的主要贡献集中在数据预处理、训练工程组织、前后端结构搭建以及多模块整合这几部分。相较于单独实现某一个算法模块，这部分工作更强调链路完整性，即数据能否进入模型、模型结果能否进入接口、接口结果能否稳定展示在页面上。</w:t>
      </w:r>
    </w:p>
    <w:p>
      <w:pPr>
        <w:spacing w:line="372" w:lineRule="auto"/>
        <w:ind w:firstLine="454"/>
      </w:pPr>
      <w:r>
        <w:rPr>
          <w:rFonts w:ascii="SimSun" w:hAnsi="SimSun" w:eastAsia="SimSun"/>
          <w:b w:val="0"/>
          <w:color w:val="000000"/>
          <w:sz w:val="22"/>
        </w:rPr>
        <w:t>通过这次实践，我对骨骼动作识别项目的工程链路有了更完整的理解，也意识到“可维护、可展示、可复现实验”与“单个模型能跑通”同样重要。后续如果继续迭代，我会优先补齐实验结果归档、统一运行脚本入口，并进一步减少文档、代码和展示页面之间的口径差异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2"/>
        </w:rPr>
        <w:t>参考文献</w:t>
      </w:r>
    </w:p>
    <w:p>
      <w:pPr>
        <w:spacing w:line="336" w:lineRule="auto"/>
      </w:pPr>
      <w:r>
        <w:rPr>
          <w:rFonts w:ascii="SimSun" w:hAnsi="SimSun" w:eastAsia="SimSun"/>
          <w:b w:val="0"/>
          <w:color w:val="000000"/>
          <w:sz w:val="21"/>
        </w:rPr>
        <w:t>[1] Yan S, Xiong Y, Lin D. Spatial temporal graph convolutional networks for skeleton-based action recognition[C]//Proceedings of the AAAI Conference on Artificial Intelligence, 2018, 32(1).</w:t>
      </w:r>
    </w:p>
    <w:p>
      <w:pPr>
        <w:spacing w:line="336" w:lineRule="auto"/>
      </w:pPr>
      <w:r>
        <w:rPr>
          <w:rFonts w:ascii="SimSun" w:hAnsi="SimSun" w:eastAsia="SimSun"/>
          <w:b w:val="0"/>
          <w:color w:val="000000"/>
          <w:sz w:val="21"/>
        </w:rPr>
        <w:t>[2] Vakanski A, Jun H, Paul D, Baker R. A data set of human body movements for physical rehabilitation exercises[J]. Data, 2018, 3(1): 2.</w:t>
      </w:r>
    </w:p>
    <w:p>
      <w:pPr>
        <w:spacing w:line="336" w:lineRule="auto"/>
      </w:pPr>
      <w:r>
        <w:rPr>
          <w:rFonts w:ascii="SimSun" w:hAnsi="SimSun" w:eastAsia="SimSun"/>
          <w:b w:val="0"/>
          <w:color w:val="000000"/>
          <w:sz w:val="21"/>
        </w:rPr>
        <w:t>[3] Karlov M, Abedi A, Khan S S. Rehabilitation exercise quality assessment through supervised contrastive learning with hard and soft negatives[J]. Medical &amp; Biological Engineering &amp; Computing, 2025, 63(1): 15-28.</w:t>
      </w:r>
    </w:p>
    <w:p>
      <w:pPr>
        <w:spacing w:line="336" w:lineRule="auto"/>
      </w:pPr>
      <w:r>
        <w:rPr>
          <w:rFonts w:ascii="SimSun" w:hAnsi="SimSun" w:eastAsia="SimSun"/>
          <w:b w:val="0"/>
          <w:color w:val="000000"/>
          <w:sz w:val="21"/>
        </w:rPr>
        <w:t>[4] Khosla P, Teterwak P, Wang C, et al. Supervised contrastive learning[C]//Advances in Neural Information Processing Systems, 2020, 33: 18661-18673.</w:t>
      </w:r>
    </w:p>
    <w:p>
      <w:pPr>
        <w:spacing w:line="336" w:lineRule="auto"/>
      </w:pPr>
      <w:r>
        <w:rPr>
          <w:rFonts w:ascii="SimSun" w:hAnsi="SimSun" w:eastAsia="SimSun"/>
          <w:b w:val="0"/>
          <w:color w:val="000000"/>
          <w:sz w:val="21"/>
        </w:rPr>
        <w:t>[5] Ultralytics. YOLO11 Pose Estimation Documentation[EB/OL].</w:t>
      </w:r>
    </w:p>
    <w:p>
      <w:pPr>
        <w:spacing w:line="336" w:lineRule="auto"/>
      </w:pPr>
      <w:r>
        <w:rPr>
          <w:rFonts w:ascii="SimSun" w:hAnsi="SimSun" w:eastAsia="SimSun"/>
          <w:b w:val="0"/>
          <w:color w:val="000000"/>
          <w:sz w:val="21"/>
        </w:rPr>
        <w:t>[6] Qwen Team. Qwen-VL: A Versatile Vision-Language Model[EB/OL].</w:t>
      </w:r>
    </w:p>
    <w:sectPr w:rsidR="00FC693F" w:rsidRPr="0006063C" w:rsidSect="00034616">
      <w:pgSz w:w="12240" w:h="15840"/>
      <w:pgMar w:top="1361" w:right="136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