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SimHei" w:hAnsi="SimHei" w:eastAsia="SimHei"/>
          <w:b/>
          <w:color w:val="000000"/>
          <w:sz w:val="38"/>
        </w:rPr>
        <w:t>计算机视觉课程大作业</w:t>
      </w:r>
    </w:p>
    <w:p>
      <w:pPr>
        <w:jc w:val="center"/>
      </w:pPr>
      <w:r>
        <w:rPr>
          <w:rFonts w:ascii="SimHei" w:hAnsi="SimHei" w:eastAsia="SimHei"/>
          <w:b/>
          <w:color w:val="000000"/>
          <w:sz w:val="34"/>
        </w:rPr>
        <w:t>基于 YOLO11-Pose 与 Qwen-VL-Plus 的智能康复健身辅助系统</w:t>
      </w:r>
    </w:p>
    <w:p>
      <w:pPr>
        <w:jc w:val="center"/>
      </w:pPr>
      <w:r>
        <w:rPr>
          <w:rFonts w:ascii="SimHei" w:hAnsi="SimHei" w:eastAsia="SimHei"/>
          <w:b/>
          <w:color w:val="000000"/>
          <w:sz w:val="30"/>
        </w:rPr>
        <w:t>智能康复健身辅助系统的前期资料检索整理</w:t>
        <w:br/>
        <w:t>——数据集、文献与展示材料辅助个人报告</w:t>
      </w:r>
    </w:p>
    <w:p>
      <w:pPr>
        <w:jc w:val="center"/>
      </w:pPr>
      <w:r>
        <w:rPr>
          <w:rFonts w:ascii="SimSun" w:hAnsi="SimSun" w:eastAsia="SimSun"/>
          <w:b w:val="0"/>
          <w:color w:val="000000"/>
          <w:sz w:val="24"/>
        </w:rPr>
      </w:r>
    </w:p>
    <w:p>
      <w:pPr>
        <w:jc w:val="center"/>
      </w:pPr>
      <w:r>
        <w:rPr>
          <w:rFonts w:ascii="SimSun" w:hAnsi="SimSun" w:eastAsia="SimSun"/>
          <w:b w:val="0"/>
          <w:color w:val="000000"/>
          <w:sz w:val="24"/>
        </w:rPr>
        <w:t>Group 04  |  2026年6月</w:t>
      </w:r>
    </w:p>
    <w:p>
      <w:pPr>
        <w:jc w:val="center"/>
      </w:pPr>
      <w:r>
        <w:rPr>
          <w:rFonts w:ascii="SimSun" w:hAnsi="SimSun" w:eastAsia="SimSun"/>
          <w:b w:val="0"/>
          <w:color w:val="000000"/>
          <w:sz w:val="24"/>
        </w:rPr>
        <w:t>姓名：王浩懿</w:t>
      </w:r>
    </w:p>
    <w:p>
      <w:pPr>
        <w:jc w:val="center"/>
      </w:pPr>
      <w:r>
        <w:rPr>
          <w:rFonts w:ascii="SimSun" w:hAnsi="SimSun" w:eastAsia="SimSun"/>
          <w:b w:val="0"/>
          <w:color w:val="000000"/>
          <w:sz w:val="24"/>
        </w:rPr>
        <w:t>学号：1231002015</w:t>
      </w:r>
    </w:p>
    <w:p>
      <w:pPr>
        <w:jc w:val="center"/>
      </w:pPr>
      <w:r>
        <w:rPr>
          <w:rFonts w:ascii="SimSun" w:hAnsi="SimSun" w:eastAsia="SimSun"/>
          <w:b w:val="0"/>
          <w:color w:val="000000"/>
          <w:sz w:val="24"/>
        </w:rPr>
        <w:t>个人侧重点：网上资料检索、文献整理、展示材料辅助</w:t>
      </w:r>
    </w:p>
    <w:p>
      <w:r>
        <w:br w:type="page"/>
      </w:r>
    </w:p>
    <w:p>
      <w:pPr>
        <w:pStyle w:val="Heading1"/>
      </w:pPr>
      <w:r>
        <w:rPr>
          <w:rFonts w:ascii="SimHei" w:hAnsi="SimHei" w:eastAsia="SimHei"/>
          <w:b/>
          <w:color w:val="000000"/>
          <w:sz w:val="32"/>
        </w:rPr>
        <w:t>摘  要</w:t>
      </w:r>
    </w:p>
    <w:p>
      <w:pPr>
        <w:spacing w:line="372" w:lineRule="auto"/>
        <w:ind w:firstLine="454"/>
      </w:pPr>
      <w:r>
        <w:rPr>
          <w:rFonts w:ascii="SimSun" w:hAnsi="SimSun" w:eastAsia="SimSun"/>
          <w:b w:val="0"/>
          <w:color w:val="000000"/>
          <w:sz w:val="22"/>
        </w:rPr>
        <w:t>本文简要说明本人在 Group 04 课程项目中的工作内容。我的任务主要是通过网络检索与资料整理，辅助小组了解康复动作评估相关数据集、常见姿态估计方案以及可用于展示的参考材料；同时整理部分答辩中需要用到的公开信息、示例素材和文献条目。本人未承担核心代码实现工作，因此本报告重点记录资料检索与整理过程，而不展开具体算法实现细节。</w:t>
      </w:r>
    </w:p>
    <w:p>
      <w:pPr>
        <w:ind w:firstLine="454"/>
      </w:pPr>
      <w:r>
        <w:rPr>
          <w:rFonts w:ascii="SimHei" w:hAnsi="SimHei" w:eastAsia="SimHei"/>
          <w:b/>
          <w:color w:val="000000"/>
          <w:sz w:val="22"/>
        </w:rPr>
        <w:t>关键词：</w:t>
      </w:r>
      <w:r>
        <w:rPr>
          <w:rFonts w:ascii="SimSun" w:hAnsi="SimSun" w:eastAsia="SimSun"/>
          <w:b w:val="0"/>
          <w:color w:val="000000"/>
          <w:sz w:val="22"/>
        </w:rPr>
        <w:t>资料检索；文献整理；UI-PRMD；技术选型；展示材料</w:t>
      </w:r>
    </w:p>
    <w:p>
      <w:pPr>
        <w:pStyle w:val="Heading1"/>
      </w:pPr>
      <w:r>
        <w:rPr>
          <w:rFonts w:ascii="SimHei" w:hAnsi="SimHei" w:eastAsia="SimHei"/>
          <w:b/>
          <w:color w:val="000000"/>
          <w:sz w:val="32"/>
        </w:rPr>
        <w:t>第一章 工作内容说明</w:t>
      </w:r>
    </w:p>
    <w:p>
      <w:pPr>
        <w:spacing w:line="372" w:lineRule="auto"/>
        <w:ind w:firstLine="454"/>
      </w:pPr>
      <w:r>
        <w:rPr>
          <w:rFonts w:ascii="SimSun" w:hAnsi="SimSun" w:eastAsia="SimSun"/>
          <w:b w:val="0"/>
          <w:color w:val="000000"/>
          <w:sz w:val="22"/>
        </w:rPr>
        <w:t>本人在本次项目中的工作比较简单，主要负责上网搜索资料、整理可用文献和辅助准备展示素材，没有参与核心模型训练或系统开发实现。</w:t>
      </w:r>
    </w:p>
    <w:p>
      <w:pPr>
        <w:spacing w:line="372" w:lineRule="auto"/>
        <w:ind w:firstLine="454"/>
      </w:pPr>
      <w:r>
        <w:rPr>
          <w:rFonts w:ascii="SimSun" w:hAnsi="SimSun" w:eastAsia="SimSun"/>
          <w:b w:val="0"/>
          <w:color w:val="000000"/>
          <w:sz w:val="22"/>
        </w:rPr>
        <w:t>资料整理的目标主要有两个：一是帮助小组快速了解康复动作评估方向中常用的数据集和技术路线，二是为后续文档撰写和答辩展示准备可直接引用的背景信息与参考材料。</w:t>
      </w:r>
    </w:p>
    <w:p>
      <w:pPr>
        <w:pStyle w:val="Heading1"/>
      </w:pPr>
      <w:r>
        <w:rPr>
          <w:rFonts w:ascii="SimHei" w:hAnsi="SimHei" w:eastAsia="SimHei"/>
          <w:b/>
          <w:color w:val="000000"/>
          <w:sz w:val="32"/>
        </w:rPr>
        <w:t>第二章 数据集与技术资料检索</w:t>
      </w:r>
    </w:p>
    <w:p>
      <w:pPr>
        <w:spacing w:line="372" w:lineRule="auto"/>
        <w:ind w:firstLine="454"/>
      </w:pPr>
      <w:r>
        <w:rPr>
          <w:rFonts w:ascii="SimSun" w:hAnsi="SimSun" w:eastAsia="SimSun"/>
          <w:b w:val="0"/>
          <w:color w:val="000000"/>
          <w:sz w:val="22"/>
        </w:rPr>
        <w:t>在资料检索过程中，我重点整理了与项目直接相关的数据集和技术名词，方便组内成员快速对齐概念。数据集方面，主要比较是否包含康复动作、是否带有动作质量标签、是否便于课程项目复现实验；技术方案方面，主要记录了姿态估计、骨骼动作识别和多模态分析这三类关键词。</w:t>
      </w:r>
    </w:p>
    <w:p>
      <w:pPr>
        <w:jc w:val="center"/>
      </w:pPr>
      <w:r>
        <w:rPr>
          <w:rFonts w:ascii="SimHei" w:hAnsi="SimHei" w:eastAsia="SimHei"/>
          <w:b/>
          <w:color w:val="000000"/>
          <w:sz w:val="22"/>
        </w:rPr>
        <w:t>表 2-1 资料检索中整理的核心信息</w:t>
      </w:r>
    </w:p>
    <w:tbl>
      <w:tblPr>
        <w:tblStyle w:val="TableGrid"/>
        <w:tblW w:type="auto" w:w="0"/>
        <w:jc w:val="center"/>
        <w:tblLook w:firstColumn="1" w:firstRow="1" w:lastColumn="0" w:lastRow="0" w:noHBand="0" w:noVBand="1" w:val="04A0"/>
      </w:tblPr>
      <w:tblGrid>
        <w:gridCol w:w="3116"/>
        <w:gridCol w:w="3116"/>
        <w:gridCol w:w="3116"/>
      </w:tblGrid>
      <w:tr>
        <w:tc>
          <w:tcPr>
            <w:tcW w:type="dxa" w:w="3116"/>
            <w:shd w:fill="EAEAEA"/>
          </w:tcPr>
          <w:p>
            <w:pPr>
              <w:jc w:val="center"/>
            </w:pPr>
            <w:r>
              <w:rPr>
                <w:rFonts w:ascii="Microsoft YaHei" w:hAnsi="Microsoft YaHei" w:eastAsia="Microsoft YaHei"/>
                <w:b/>
                <w:color w:val="000000"/>
                <w:sz w:val="21"/>
              </w:rPr>
              <w:t>类别</w:t>
            </w:r>
          </w:p>
        </w:tc>
        <w:tc>
          <w:tcPr>
            <w:tcW w:type="dxa" w:w="3116"/>
            <w:shd w:fill="EAEAEA"/>
          </w:tcPr>
          <w:p>
            <w:pPr>
              <w:jc w:val="center"/>
            </w:pPr>
            <w:r>
              <w:rPr>
                <w:rFonts w:ascii="Microsoft YaHei" w:hAnsi="Microsoft YaHei" w:eastAsia="Microsoft YaHei"/>
                <w:b/>
                <w:color w:val="000000"/>
                <w:sz w:val="21"/>
              </w:rPr>
              <w:t>检索内容</w:t>
            </w:r>
          </w:p>
        </w:tc>
        <w:tc>
          <w:tcPr>
            <w:tcW w:type="dxa" w:w="3116"/>
            <w:shd w:fill="EAEAEA"/>
          </w:tcPr>
          <w:p>
            <w:pPr>
              <w:jc w:val="center"/>
            </w:pPr>
            <w:r>
              <w:rPr>
                <w:rFonts w:ascii="Microsoft YaHei" w:hAnsi="Microsoft YaHei" w:eastAsia="Microsoft YaHei"/>
                <w:b/>
                <w:color w:val="000000"/>
                <w:sz w:val="21"/>
              </w:rPr>
              <w:t>整理结论</w:t>
            </w:r>
          </w:p>
        </w:tc>
      </w:tr>
      <w:tr>
        <w:tc>
          <w:tcPr>
            <w:tcW w:type="dxa" w:w="3116"/>
          </w:tcPr>
          <w:p>
            <w:pPr>
              <w:jc w:val="left"/>
            </w:pPr>
            <w:r>
              <w:rPr>
                <w:rFonts w:ascii="Microsoft YaHei" w:hAnsi="Microsoft YaHei" w:eastAsia="Microsoft YaHei"/>
                <w:b w:val="0"/>
                <w:color w:val="000000"/>
                <w:sz w:val="21"/>
              </w:rPr>
              <w:t>数据集</w:t>
            </w:r>
          </w:p>
        </w:tc>
        <w:tc>
          <w:tcPr>
            <w:tcW w:type="dxa" w:w="3116"/>
          </w:tcPr>
          <w:p>
            <w:pPr>
              <w:jc w:val="left"/>
            </w:pPr>
            <w:r>
              <w:rPr>
                <w:rFonts w:ascii="Microsoft YaHei" w:hAnsi="Microsoft YaHei" w:eastAsia="Microsoft YaHei"/>
                <w:b w:val="0"/>
                <w:color w:val="000000"/>
                <w:sz w:val="21"/>
              </w:rPr>
              <w:t>UI-PRMD / KIMORE / Fitness-AQA</w:t>
            </w:r>
          </w:p>
        </w:tc>
        <w:tc>
          <w:tcPr>
            <w:tcW w:type="dxa" w:w="3116"/>
          </w:tcPr>
          <w:p>
            <w:pPr>
              <w:jc w:val="left"/>
            </w:pPr>
            <w:r>
              <w:rPr>
                <w:rFonts w:ascii="Microsoft YaHei" w:hAnsi="Microsoft YaHei" w:eastAsia="Microsoft YaHei"/>
                <w:b w:val="0"/>
                <w:color w:val="000000"/>
                <w:sz w:val="21"/>
              </w:rPr>
              <w:t>UI-PRMD 更适合当前离线实验任务</w:t>
            </w:r>
          </w:p>
        </w:tc>
      </w:tr>
      <w:tr>
        <w:tc>
          <w:tcPr>
            <w:tcW w:type="dxa" w:w="3116"/>
          </w:tcPr>
          <w:p>
            <w:pPr>
              <w:jc w:val="left"/>
            </w:pPr>
            <w:r>
              <w:rPr>
                <w:rFonts w:ascii="Microsoft YaHei" w:hAnsi="Microsoft YaHei" w:eastAsia="Microsoft YaHei"/>
                <w:b w:val="0"/>
                <w:color w:val="000000"/>
                <w:sz w:val="21"/>
              </w:rPr>
              <w:t>姿态估计</w:t>
            </w:r>
          </w:p>
        </w:tc>
        <w:tc>
          <w:tcPr>
            <w:tcW w:type="dxa" w:w="3116"/>
          </w:tcPr>
          <w:p>
            <w:pPr>
              <w:jc w:val="left"/>
            </w:pPr>
            <w:r>
              <w:rPr>
                <w:rFonts w:ascii="Microsoft YaHei" w:hAnsi="Microsoft YaHei" w:eastAsia="Microsoft YaHei"/>
                <w:b w:val="0"/>
                <w:color w:val="000000"/>
                <w:sz w:val="21"/>
              </w:rPr>
              <w:t>OpenPose / MediaPipe / YOLO-Pose</w:t>
            </w:r>
          </w:p>
        </w:tc>
        <w:tc>
          <w:tcPr>
            <w:tcW w:type="dxa" w:w="3116"/>
          </w:tcPr>
          <w:p>
            <w:pPr>
              <w:jc w:val="left"/>
            </w:pPr>
            <w:r>
              <w:rPr>
                <w:rFonts w:ascii="Microsoft YaHei" w:hAnsi="Microsoft YaHei" w:eastAsia="Microsoft YaHei"/>
                <w:b w:val="0"/>
                <w:color w:val="000000"/>
                <w:sz w:val="21"/>
              </w:rPr>
              <w:t>YOLO-Pose 系列更便于快速落地</w:t>
            </w:r>
          </w:p>
        </w:tc>
      </w:tr>
      <w:tr>
        <w:tc>
          <w:tcPr>
            <w:tcW w:type="dxa" w:w="3116"/>
          </w:tcPr>
          <w:p>
            <w:pPr>
              <w:jc w:val="left"/>
            </w:pPr>
            <w:r>
              <w:rPr>
                <w:rFonts w:ascii="Microsoft YaHei" w:hAnsi="Microsoft YaHei" w:eastAsia="Microsoft YaHei"/>
                <w:b w:val="0"/>
                <w:color w:val="000000"/>
                <w:sz w:val="21"/>
              </w:rPr>
              <w:t>骨骼模型</w:t>
            </w:r>
          </w:p>
        </w:tc>
        <w:tc>
          <w:tcPr>
            <w:tcW w:type="dxa" w:w="3116"/>
          </w:tcPr>
          <w:p>
            <w:pPr>
              <w:jc w:val="left"/>
            </w:pPr>
            <w:r>
              <w:rPr>
                <w:rFonts w:ascii="Microsoft YaHei" w:hAnsi="Microsoft YaHei" w:eastAsia="Microsoft YaHei"/>
                <w:b w:val="0"/>
                <w:color w:val="000000"/>
                <w:sz w:val="21"/>
              </w:rPr>
              <w:t>ST-GCN 相关论文与实现</w:t>
            </w:r>
          </w:p>
        </w:tc>
        <w:tc>
          <w:tcPr>
            <w:tcW w:type="dxa" w:w="3116"/>
          </w:tcPr>
          <w:p>
            <w:pPr>
              <w:jc w:val="left"/>
            </w:pPr>
            <w:r>
              <w:rPr>
                <w:rFonts w:ascii="Microsoft YaHei" w:hAnsi="Microsoft YaHei" w:eastAsia="Microsoft YaHei"/>
                <w:b w:val="0"/>
                <w:color w:val="000000"/>
                <w:sz w:val="21"/>
              </w:rPr>
              <w:t>适合承接骨骼时空建模任务</w:t>
            </w:r>
          </w:p>
        </w:tc>
      </w:tr>
      <w:tr>
        <w:tc>
          <w:tcPr>
            <w:tcW w:type="dxa" w:w="3116"/>
          </w:tcPr>
          <w:p>
            <w:pPr>
              <w:jc w:val="left"/>
            </w:pPr>
            <w:r>
              <w:rPr>
                <w:rFonts w:ascii="Microsoft YaHei" w:hAnsi="Microsoft YaHei" w:eastAsia="Microsoft YaHei"/>
                <w:b w:val="0"/>
                <w:color w:val="000000"/>
                <w:sz w:val="21"/>
              </w:rPr>
              <w:t>多模态模型</w:t>
            </w:r>
          </w:p>
        </w:tc>
        <w:tc>
          <w:tcPr>
            <w:tcW w:type="dxa" w:w="3116"/>
          </w:tcPr>
          <w:p>
            <w:pPr>
              <w:jc w:val="left"/>
            </w:pPr>
            <w:r>
              <w:rPr>
                <w:rFonts w:ascii="Microsoft YaHei" w:hAnsi="Microsoft YaHei" w:eastAsia="Microsoft YaHei"/>
                <w:b w:val="0"/>
                <w:color w:val="000000"/>
                <w:sz w:val="21"/>
              </w:rPr>
              <w:t>Qwen-VL 等视觉语言模型</w:t>
            </w:r>
          </w:p>
        </w:tc>
        <w:tc>
          <w:tcPr>
            <w:tcW w:type="dxa" w:w="3116"/>
          </w:tcPr>
          <w:p>
            <w:pPr>
              <w:jc w:val="left"/>
            </w:pPr>
            <w:r>
              <w:rPr>
                <w:rFonts w:ascii="Microsoft YaHei" w:hAnsi="Microsoft YaHei" w:eastAsia="Microsoft YaHei"/>
                <w:b w:val="0"/>
                <w:color w:val="000000"/>
                <w:sz w:val="21"/>
              </w:rPr>
              <w:t>适合输出文字化分析建议</w:t>
            </w:r>
          </w:p>
        </w:tc>
      </w:tr>
    </w:tbl>
    <w:p/>
    <w:p>
      <w:pPr>
        <w:jc w:val="center"/>
      </w:pPr>
      <w:r>
        <w:drawing>
          <wp:inline xmlns:a="http://schemas.openxmlformats.org/drawingml/2006/main" xmlns:pic="http://schemas.openxmlformats.org/drawingml/2006/picture">
            <wp:extent cx="5112000" cy="3984621"/>
            <wp:docPr id="1" name="Picture 1"/>
            <wp:cNvGraphicFramePr>
              <a:graphicFrameLocks noChangeAspect="1"/>
            </wp:cNvGraphicFramePr>
            <a:graphic>
              <a:graphicData uri="http://schemas.openxmlformats.org/drawingml/2006/picture">
                <pic:pic>
                  <pic:nvPicPr>
                    <pic:cNvPr id="0" name="dataset_page.png"/>
                    <pic:cNvPicPr/>
                  </pic:nvPicPr>
                  <pic:blipFill>
                    <a:blip r:embed="rId9"/>
                    <a:stretch>
                      <a:fillRect/>
                    </a:stretch>
                  </pic:blipFill>
                  <pic:spPr>
                    <a:xfrm>
                      <a:off x="0" y="0"/>
                      <a:ext cx="5112000" cy="3984621"/>
                    </a:xfrm>
                    <a:prstGeom prst="rect"/>
                  </pic:spPr>
                </pic:pic>
              </a:graphicData>
            </a:graphic>
          </wp:inline>
        </w:drawing>
      </w:r>
    </w:p>
    <w:p>
      <w:pPr>
        <w:jc w:val="center"/>
      </w:pPr>
      <w:r>
        <w:rPr>
          <w:rFonts w:ascii="SimHei" w:hAnsi="SimHei" w:eastAsia="SimHei"/>
          <w:b w:val="0"/>
          <w:color w:val="000000"/>
          <w:sz w:val="21"/>
        </w:rPr>
        <w:t>图 2-1 UI-PRMD 数据集页面截图（原稿继承）</w:t>
      </w:r>
    </w:p>
    <w:p>
      <w:pPr>
        <w:spacing w:line="348" w:lineRule="auto"/>
        <w:ind w:left="454"/>
      </w:pPr>
      <w:r>
        <w:rPr>
          <w:rFonts w:ascii="SimSun" w:hAnsi="SimSun" w:eastAsia="SimSun"/>
          <w:b w:val="0"/>
          <w:color w:val="000000"/>
          <w:sz w:val="22"/>
        </w:rPr>
        <w:t>• UI-PRMD 动作 1：深蹲</w:t>
      </w:r>
    </w:p>
    <w:p>
      <w:pPr>
        <w:spacing w:line="348" w:lineRule="auto"/>
        <w:ind w:left="454"/>
      </w:pPr>
      <w:r>
        <w:rPr>
          <w:rFonts w:ascii="SimSun" w:hAnsi="SimSun" w:eastAsia="SimSun"/>
          <w:b w:val="0"/>
          <w:color w:val="000000"/>
          <w:sz w:val="22"/>
        </w:rPr>
        <w:t>• UI-PRMD 动作 2：站姿直腿抬高</w:t>
      </w:r>
    </w:p>
    <w:p>
      <w:pPr>
        <w:spacing w:line="348" w:lineRule="auto"/>
        <w:ind w:left="454"/>
      </w:pPr>
      <w:r>
        <w:rPr>
          <w:rFonts w:ascii="SimSun" w:hAnsi="SimSun" w:eastAsia="SimSun"/>
          <w:b w:val="0"/>
          <w:color w:val="000000"/>
          <w:sz w:val="22"/>
        </w:rPr>
        <w:t>• UI-PRMD 动作 3：站姿肩部外展</w:t>
      </w:r>
    </w:p>
    <w:p>
      <w:pPr>
        <w:spacing w:line="348" w:lineRule="auto"/>
        <w:ind w:left="454"/>
      </w:pPr>
      <w:r>
        <w:rPr>
          <w:rFonts w:ascii="SimSun" w:hAnsi="SimSun" w:eastAsia="SimSun"/>
          <w:b w:val="0"/>
          <w:color w:val="000000"/>
          <w:sz w:val="22"/>
        </w:rPr>
        <w:t>• UI-PRMD 动作 4：站姿肩部后伸</w:t>
      </w:r>
    </w:p>
    <w:p>
      <w:pPr>
        <w:spacing w:line="348" w:lineRule="auto"/>
        <w:ind w:left="454"/>
      </w:pPr>
      <w:r>
        <w:rPr>
          <w:rFonts w:ascii="SimSun" w:hAnsi="SimSun" w:eastAsia="SimSun"/>
          <w:b w:val="0"/>
          <w:color w:val="000000"/>
          <w:sz w:val="22"/>
        </w:rPr>
        <w:t>• UI-PRMD 动作 5：肩部内/外旋</w:t>
      </w:r>
    </w:p>
    <w:p>
      <w:pPr>
        <w:pStyle w:val="Heading1"/>
      </w:pPr>
      <w:r>
        <w:rPr>
          <w:rFonts w:ascii="SimHei" w:hAnsi="SimHei" w:eastAsia="SimHei"/>
          <w:b/>
          <w:color w:val="000000"/>
          <w:sz w:val="32"/>
        </w:rPr>
        <w:t>第三章 文献与展示材料整理</w:t>
      </w:r>
    </w:p>
    <w:p>
      <w:pPr>
        <w:spacing w:line="372" w:lineRule="auto"/>
        <w:ind w:firstLine="454"/>
      </w:pPr>
      <w:r>
        <w:rPr>
          <w:rFonts w:ascii="SimSun" w:hAnsi="SimSun" w:eastAsia="SimSun"/>
          <w:b w:val="0"/>
          <w:color w:val="000000"/>
          <w:sz w:val="22"/>
        </w:rPr>
        <w:t>除了前期的资料搜索，我还协助整理了文献条目、项目背景描述和部分可用于展示的参考素材。这部分工作主要服务于文档撰写和 PPT 制作，目的是让答辩材料中的术语、模型名称和数据集信息尽量保持一致，减少重复查找资料的时间成本。</w:t>
      </w:r>
    </w:p>
    <w:p>
      <w:pPr>
        <w:jc w:val="center"/>
      </w:pPr>
      <w:r>
        <w:rPr>
          <w:rFonts w:ascii="SimHei" w:hAnsi="SimHei" w:eastAsia="SimHei"/>
          <w:b/>
          <w:color w:val="000000"/>
          <w:sz w:val="22"/>
        </w:rPr>
        <w:t>表 3-1 本人参与整理的辅助性材料</w:t>
      </w:r>
    </w:p>
    <w:tbl>
      <w:tblPr>
        <w:tblStyle w:val="TableGrid"/>
        <w:tblW w:type="auto" w:w="0"/>
        <w:jc w:val="center"/>
        <w:tblLook w:firstColumn="1" w:firstRow="1" w:lastColumn="0" w:lastRow="0" w:noHBand="0" w:noVBand="1" w:val="04A0"/>
      </w:tblPr>
      <w:tblGrid>
        <w:gridCol w:w="4674"/>
        <w:gridCol w:w="4674"/>
      </w:tblGrid>
      <w:tr>
        <w:tc>
          <w:tcPr>
            <w:tcW w:type="dxa" w:w="4674"/>
            <w:shd w:fill="EAEAEA"/>
          </w:tcPr>
          <w:p>
            <w:pPr>
              <w:jc w:val="center"/>
            </w:pPr>
            <w:r>
              <w:rPr>
                <w:rFonts w:ascii="Microsoft YaHei" w:hAnsi="Microsoft YaHei" w:eastAsia="Microsoft YaHei"/>
                <w:b/>
                <w:color w:val="000000"/>
                <w:sz w:val="21"/>
              </w:rPr>
              <w:t>材料类型</w:t>
            </w:r>
          </w:p>
        </w:tc>
        <w:tc>
          <w:tcPr>
            <w:tcW w:type="dxa" w:w="4674"/>
            <w:shd w:fill="EAEAEA"/>
          </w:tcPr>
          <w:p>
            <w:pPr>
              <w:jc w:val="center"/>
            </w:pPr>
            <w:r>
              <w:rPr>
                <w:rFonts w:ascii="Microsoft YaHei" w:hAnsi="Microsoft YaHei" w:eastAsia="Microsoft YaHei"/>
                <w:b/>
                <w:color w:val="000000"/>
                <w:sz w:val="21"/>
              </w:rPr>
              <w:t>内容</w:t>
            </w:r>
          </w:p>
        </w:tc>
      </w:tr>
      <w:tr>
        <w:tc>
          <w:tcPr>
            <w:tcW w:type="dxa" w:w="4674"/>
          </w:tcPr>
          <w:p>
            <w:pPr>
              <w:jc w:val="left"/>
            </w:pPr>
            <w:r>
              <w:rPr>
                <w:rFonts w:ascii="Microsoft YaHei" w:hAnsi="Microsoft YaHei" w:eastAsia="Microsoft YaHei"/>
                <w:b w:val="0"/>
                <w:color w:val="000000"/>
                <w:sz w:val="21"/>
              </w:rPr>
              <w:t>背景资料</w:t>
            </w:r>
          </w:p>
        </w:tc>
        <w:tc>
          <w:tcPr>
            <w:tcW w:type="dxa" w:w="4674"/>
          </w:tcPr>
          <w:p>
            <w:pPr>
              <w:jc w:val="left"/>
            </w:pPr>
            <w:r>
              <w:rPr>
                <w:rFonts w:ascii="Microsoft YaHei" w:hAnsi="Microsoft YaHei" w:eastAsia="Microsoft YaHei"/>
                <w:b w:val="0"/>
                <w:color w:val="000000"/>
                <w:sz w:val="21"/>
              </w:rPr>
              <w:t>康复动作评估相关概念、数据集说明、技术名词解释</w:t>
            </w:r>
          </w:p>
        </w:tc>
      </w:tr>
      <w:tr>
        <w:tc>
          <w:tcPr>
            <w:tcW w:type="dxa" w:w="4674"/>
          </w:tcPr>
          <w:p>
            <w:pPr>
              <w:jc w:val="left"/>
            </w:pPr>
            <w:r>
              <w:rPr>
                <w:rFonts w:ascii="Microsoft YaHei" w:hAnsi="Microsoft YaHei" w:eastAsia="Microsoft YaHei"/>
                <w:b w:val="0"/>
                <w:color w:val="000000"/>
                <w:sz w:val="21"/>
              </w:rPr>
              <w:t>文献条目</w:t>
            </w:r>
          </w:p>
        </w:tc>
        <w:tc>
          <w:tcPr>
            <w:tcW w:type="dxa" w:w="4674"/>
          </w:tcPr>
          <w:p>
            <w:pPr>
              <w:jc w:val="left"/>
            </w:pPr>
            <w:r>
              <w:rPr>
                <w:rFonts w:ascii="Microsoft YaHei" w:hAnsi="Microsoft YaHei" w:eastAsia="Microsoft YaHei"/>
                <w:b w:val="0"/>
                <w:color w:val="000000"/>
                <w:sz w:val="21"/>
              </w:rPr>
              <w:t>ST-GCN、UI-PRMD、Qwen-VL 等相关参考文献整理</w:t>
            </w:r>
          </w:p>
        </w:tc>
      </w:tr>
      <w:tr>
        <w:tc>
          <w:tcPr>
            <w:tcW w:type="dxa" w:w="4674"/>
          </w:tcPr>
          <w:p>
            <w:pPr>
              <w:jc w:val="left"/>
            </w:pPr>
            <w:r>
              <w:rPr>
                <w:rFonts w:ascii="Microsoft YaHei" w:hAnsi="Microsoft YaHei" w:eastAsia="Microsoft YaHei"/>
                <w:b w:val="0"/>
                <w:color w:val="000000"/>
                <w:sz w:val="21"/>
              </w:rPr>
              <w:t>展示素材</w:t>
            </w:r>
          </w:p>
        </w:tc>
        <w:tc>
          <w:tcPr>
            <w:tcW w:type="dxa" w:w="4674"/>
          </w:tcPr>
          <w:p>
            <w:pPr>
              <w:jc w:val="left"/>
            </w:pPr>
            <w:r>
              <w:rPr>
                <w:rFonts w:ascii="Microsoft YaHei" w:hAnsi="Microsoft YaHei" w:eastAsia="Microsoft YaHei"/>
                <w:b w:val="0"/>
                <w:color w:val="000000"/>
                <w:sz w:val="21"/>
              </w:rPr>
              <w:t>公开动作示例、页面截图、答辩中可引用的说明文字</w:t>
            </w:r>
          </w:p>
        </w:tc>
      </w:tr>
    </w:tbl>
    <w:p/>
    <w:p>
      <w:pPr>
        <w:spacing w:line="372" w:lineRule="auto"/>
        <w:ind w:firstLine="454"/>
      </w:pPr>
      <w:r>
        <w:rPr>
          <w:rFonts w:ascii="SimSun" w:hAnsi="SimSun" w:eastAsia="SimSun"/>
          <w:b w:val="0"/>
          <w:color w:val="000000"/>
          <w:sz w:val="22"/>
        </w:rPr>
        <w:t>由于本人没有参与核心编码，因此这部分工作的价值主要体现在信息补充和材料整理上。虽然工作量相对有限，但能够帮助团队在写文档、做 PPT 和准备答辩时少走一些重复查找资料的步骤。</w:t>
      </w:r>
    </w:p>
    <w:p>
      <w:pPr>
        <w:jc w:val="center"/>
      </w:pPr>
      <w:r>
        <w:drawing>
          <wp:inline xmlns:a="http://schemas.openxmlformats.org/drawingml/2006/main" xmlns:pic="http://schemas.openxmlformats.org/drawingml/2006/picture">
            <wp:extent cx="5400000" cy="2880753"/>
            <wp:docPr id="2" name="Picture 2"/>
            <wp:cNvGraphicFramePr>
              <a:graphicFrameLocks noChangeAspect="1"/>
            </wp:cNvGraphicFramePr>
            <a:graphic>
              <a:graphicData uri="http://schemas.openxmlformats.org/drawingml/2006/picture">
                <pic:pic>
                  <pic:nvPicPr>
                    <pic:cNvPr id="0" name="视频分析-俯卧撑上传页.png"/>
                    <pic:cNvPicPr/>
                  </pic:nvPicPr>
                  <pic:blipFill>
                    <a:blip r:embed="rId10"/>
                    <a:stretch>
                      <a:fillRect/>
                    </a:stretch>
                  </pic:blipFill>
                  <pic:spPr>
                    <a:xfrm>
                      <a:off x="0" y="0"/>
                      <a:ext cx="5400000" cy="2880753"/>
                    </a:xfrm>
                    <a:prstGeom prst="rect"/>
                  </pic:spPr>
                </pic:pic>
              </a:graphicData>
            </a:graphic>
          </wp:inline>
        </w:drawing>
      </w:r>
    </w:p>
    <w:p>
      <w:pPr>
        <w:jc w:val="center"/>
      </w:pPr>
      <w:r>
        <w:rPr>
          <w:rFonts w:ascii="SimHei" w:hAnsi="SimHei" w:eastAsia="SimHei"/>
          <w:b w:val="0"/>
          <w:color w:val="000000"/>
          <w:sz w:val="21"/>
        </w:rPr>
        <w:t>图 3-1 展示材料示例：系统视频分析页面截图</w:t>
      </w:r>
    </w:p>
    <w:p>
      <w:pPr>
        <w:pStyle w:val="Heading1"/>
      </w:pPr>
      <w:r>
        <w:rPr>
          <w:rFonts w:ascii="SimHei" w:hAnsi="SimHei" w:eastAsia="SimHei"/>
          <w:b/>
          <w:color w:val="000000"/>
          <w:sz w:val="32"/>
        </w:rPr>
        <w:t>第四章 个人总结</w:t>
      </w:r>
    </w:p>
    <w:p>
      <w:pPr>
        <w:spacing w:line="372" w:lineRule="auto"/>
        <w:ind w:firstLine="454"/>
      </w:pPr>
      <w:r>
        <w:rPr>
          <w:rFonts w:ascii="SimSun" w:hAnsi="SimSun" w:eastAsia="SimSun"/>
          <w:b w:val="0"/>
          <w:color w:val="000000"/>
          <w:sz w:val="22"/>
        </w:rPr>
        <w:t>总体来看，我在本项目中的职责比较明确，就是负责查资料、整理资料和辅助准备展示内容。这部分内容不涉及系统核心实现，因此本报告也保持简要，主要作为个人任务说明。</w:t>
      </w:r>
    </w:p>
    <w:p>
      <w:pPr>
        <w:spacing w:line="372" w:lineRule="auto"/>
        <w:ind w:firstLine="454"/>
      </w:pPr>
      <w:r>
        <w:rPr>
          <w:rFonts w:ascii="SimSun" w:hAnsi="SimSun" w:eastAsia="SimSun"/>
          <w:b w:val="0"/>
          <w:color w:val="000000"/>
          <w:sz w:val="22"/>
        </w:rPr>
        <w:t>通过这次分工，我也认识到自己在工程实现方面参与较少。后续如果继续做类似项目，需要进一步补上代码实现和调试能力，避免工作内容过于集中在资料整理层面。</w:t>
      </w:r>
    </w:p>
    <w:p>
      <w:pPr>
        <w:pStyle w:val="Heading1"/>
      </w:pPr>
      <w:r>
        <w:rPr>
          <w:rFonts w:ascii="SimHei" w:hAnsi="SimHei" w:eastAsia="SimHei"/>
          <w:b/>
          <w:color w:val="000000"/>
          <w:sz w:val="32"/>
        </w:rPr>
        <w:t>参考文献</w:t>
      </w:r>
    </w:p>
    <w:p>
      <w:pPr>
        <w:spacing w:line="336" w:lineRule="auto"/>
      </w:pPr>
      <w:r>
        <w:rPr>
          <w:rFonts w:ascii="SimSun" w:hAnsi="SimSun" w:eastAsia="SimSun"/>
          <w:b w:val="0"/>
          <w:color w:val="000000"/>
          <w:sz w:val="21"/>
        </w:rPr>
        <w:t>[1] Yan S, Xiong Y, Lin D. Spatial temporal graph convolutional networks for skeleton-based action recognition[C]//Proceedings of the AAAI Conference on Artificial Intelligence, 2018, 32(1).</w:t>
      </w:r>
    </w:p>
    <w:p>
      <w:pPr>
        <w:spacing w:line="336" w:lineRule="auto"/>
      </w:pPr>
      <w:r>
        <w:rPr>
          <w:rFonts w:ascii="SimSun" w:hAnsi="SimSun" w:eastAsia="SimSun"/>
          <w:b w:val="0"/>
          <w:color w:val="000000"/>
          <w:sz w:val="21"/>
        </w:rPr>
        <w:t>[2] Vakanski A, Jun H, Paul D, Baker R. A data set of human body movements for physical rehabilitation exercises[J]. Data, 2018, 3(1): 2.</w:t>
      </w:r>
    </w:p>
    <w:p>
      <w:pPr>
        <w:spacing w:line="336" w:lineRule="auto"/>
      </w:pPr>
      <w:r>
        <w:rPr>
          <w:rFonts w:ascii="SimSun" w:hAnsi="SimSun" w:eastAsia="SimSun"/>
          <w:b w:val="0"/>
          <w:color w:val="000000"/>
          <w:sz w:val="21"/>
        </w:rPr>
        <w:t>[3] Karlov M, Abedi A, Khan S S. Rehabilitation exercise quality assessment through supervised contrastive learning with hard and soft negatives[J]. Medical &amp; Biological Engineering &amp; Computing, 2025, 63(1): 15-28.</w:t>
      </w:r>
    </w:p>
    <w:p>
      <w:pPr>
        <w:spacing w:line="336" w:lineRule="auto"/>
      </w:pPr>
      <w:r>
        <w:rPr>
          <w:rFonts w:ascii="SimSun" w:hAnsi="SimSun" w:eastAsia="SimSun"/>
          <w:b w:val="0"/>
          <w:color w:val="000000"/>
          <w:sz w:val="21"/>
        </w:rPr>
        <w:t>[4] Khosla P, Teterwak P, Wang C, et al. Supervised contrastive learning[C]//Advances in Neural Information Processing Systems, 2020, 33: 18661-18673.</w:t>
      </w:r>
    </w:p>
    <w:p>
      <w:pPr>
        <w:spacing w:line="336" w:lineRule="auto"/>
      </w:pPr>
      <w:r>
        <w:rPr>
          <w:rFonts w:ascii="SimSun" w:hAnsi="SimSun" w:eastAsia="SimSun"/>
          <w:b w:val="0"/>
          <w:color w:val="000000"/>
          <w:sz w:val="21"/>
        </w:rPr>
        <w:t>[5] Ultralytics. YOLO11 Pose Estimation Documentation[EB/OL].</w:t>
      </w:r>
    </w:p>
    <w:p>
      <w:pPr>
        <w:spacing w:line="336" w:lineRule="auto"/>
      </w:pPr>
      <w:r>
        <w:rPr>
          <w:rFonts w:ascii="SimSun" w:hAnsi="SimSun" w:eastAsia="SimSun"/>
          <w:b w:val="0"/>
          <w:color w:val="000000"/>
          <w:sz w:val="21"/>
        </w:rPr>
        <w:t>[6] Qwen Team. Qwen-VL: A Versatile Vision-Language Model[EB/OL].</w:t>
      </w:r>
    </w:p>
    <w:sectPr w:rsidR="00FC693F" w:rsidRPr="0006063C" w:rsidSect="00034616">
      <w:pgSz w:w="12240" w:h="15840"/>
      <w:pgMar w:top="1361" w:right="136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