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5.png" ContentType="image/png"/>
  <Override PartName="/word/media/rId42.png" ContentType="image/png"/>
  <Override PartName="/word/media/rId44.png" ContentType="image/png"/>
  <Override PartName="/word/media/rId4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17ba59067926df6919fd986abf0c86ddc8f34e"/>
      <w:r>
        <w:t xml:space="preserve">Validate the Target Before Aligning Representations: A Measurement-Aware Framework for Cross-Corpus Depression Detection</w:t>
      </w:r>
      <w:bookmarkEnd w:id="20"/>
    </w:p>
    <w:p>
      <w:pPr>
        <w:pStyle w:val="Heading2"/>
      </w:pPr>
      <w:bookmarkStart w:id="21" w:name="abstract"/>
      <w:r>
        <w:t xml:space="preserve">Abstract</w:t>
      </w:r>
      <w:bookmarkEnd w:id="21"/>
    </w:p>
    <w:p>
      <w:pPr>
        <w:pStyle w:val="FirstParagraph"/>
      </w:pPr>
      <w:r>
        <w:t xml:space="preserve">Cross-corpus depression detection is often treated as a representation-transfer</w:t>
      </w:r>
      <w:r>
        <w:t xml:space="preserve"> </w:t>
      </w:r>
      <w:r>
        <w:t xml:space="preserve">problem: if linguistic, acoustic, visual, or multimodal features become</w:t>
      </w:r>
      <w:r>
        <w:t xml:space="preserve"> </w:t>
      </w:r>
      <w:r>
        <w:t xml:space="preserve">stronger, depression predictions should transfer across datasets. We argue</w:t>
      </w:r>
      <w:r>
        <w:t xml:space="preserve"> </w:t>
      </w:r>
      <w:r>
        <w:t xml:space="preserve">that this view leaves the clinical target unchecked. Depression scores are</w:t>
      </w:r>
      <w:r>
        <w:t xml:space="preserve"> </w:t>
      </w:r>
      <w:r>
        <w:t xml:space="preserve">structured measurements, and nominally aligned PHQ or HAMD labels may not</w:t>
      </w:r>
      <w:r>
        <w:t xml:space="preserve"> </w:t>
      </w:r>
      <w:r>
        <w:t xml:space="preserve">preserve the same response mechanism across corpora. We therefore study</w:t>
      </w:r>
      <w:r>
        <w:t xml:space="preserve"> </w:t>
      </w:r>
      <w:r>
        <w:t xml:space="preserve">cross-corpus depression detection as a benchmark-validity problem: before</w:t>
      </w:r>
      <w:r>
        <w:t xml:space="preserve"> </w:t>
      </w:r>
      <w:r>
        <w:t xml:space="preserve">aligning representations, validate the target.</w:t>
      </w:r>
    </w:p>
    <w:p>
      <w:pPr>
        <w:pStyle w:val="BodyText"/>
      </w:pPr>
      <w:r>
        <w:t xml:space="preserve">Across our corpus suite, the audit is organized around three target-contract</w:t>
      </w:r>
      <w:r>
        <w:t xml:space="preserve"> </w:t>
      </w:r>
      <w:r>
        <w:t xml:space="preserve">contrasts. The same-lineage DAIC-WOZ/E-DAIC PHQ-8 control is nearly identical;</w:t>
      </w:r>
      <w:r>
        <w:t xml:space="preserve"> </w:t>
      </w:r>
      <w:r>
        <w:t xml:space="preserve">the cross-language E-DAIC/CMDC PHQ shared-item comparison shows substantial</w:t>
      </w:r>
      <w:r>
        <w:t xml:space="preserve"> </w:t>
      </w:r>
      <w:r>
        <w:t xml:space="preserve">common structure but imperfect item behavior; and the CMDC/PDCH same-HAMD</w:t>
      </w:r>
      <w:r>
        <w:t xml:space="preserve"> </w:t>
      </w:r>
      <w:r>
        <w:t xml:space="preserve">contrast provides exploratory support that measurement differences are not</w:t>
      </w:r>
      <w:r>
        <w:t xml:space="preserve"> </w:t>
      </w:r>
      <w:r>
        <w:t xml:space="preserve">only a PHQ-form issue. We then instantiate a measurement-aware model on frozen</w:t>
      </w:r>
      <w:r>
        <w:t xml:space="preserve"> </w:t>
      </w:r>
      <w:r>
        <w:t xml:space="preserve">multimodal foundation representations and audit it against calibrated baselines</w:t>
      </w:r>
      <w:r>
        <w:t xml:space="preserve"> </w:t>
      </w:r>
      <w:r>
        <w:t xml:space="preserve">that match the target-label budget and allow target labels to update the same</w:t>
      </w:r>
      <w:r>
        <w:t xml:space="preserve"> </w:t>
      </w:r>
      <w:r>
        <w:t xml:space="preserve">shared layers. This fair ablation changes the interpretation of the original</w:t>
      </w:r>
      <w:r>
        <w:t xml:space="preserve"> </w:t>
      </w:r>
      <w:r>
        <w:t xml:space="preserve">large gain over a frozen corpus-specific-head comparator: target-supervised</w:t>
      </w:r>
      <w:r>
        <w:t xml:space="preserve"> </w:t>
      </w:r>
      <w:r>
        <w:t xml:space="preserve">representation adaptation explains much of that improvement. Under matched</w:t>
      </w:r>
      <w:r>
        <w:t xml:space="preserve"> </w:t>
      </w:r>
      <w:r>
        <w:t xml:space="preserve">target-label exposure, target-calibrated shared-layer adaptation consistently</w:t>
      </w:r>
      <w:r>
        <w:t xml:space="preserve"> </w:t>
      </w:r>
      <w:r>
        <w:t xml:space="preserve">improves over frozen source representations. The ordinal measurement-aware</w:t>
      </w:r>
      <w:r>
        <w:t xml:space="preserve"> </w:t>
      </w:r>
      <w:r>
        <w:t xml:space="preserve">pathway is competitive, with benefits over generic or direct calibrated heads</w:t>
      </w:r>
      <w:r>
        <w:t xml:space="preserve"> </w:t>
      </w:r>
      <w:r>
        <w:t xml:space="preserve">in one transfer direction, but corpus-specific ordinal parameterization is not</w:t>
      </w:r>
      <w:r>
        <w:t xml:space="preserve"> </w:t>
      </w:r>
      <w:r>
        <w:t xml:space="preserve">uniformly superior to a shared ordinal head or direct multitask adaptation.</w:t>
      </w:r>
      <w:r>
        <w:t xml:space="preserve"> </w:t>
      </w:r>
      <w:r>
        <w:t xml:space="preserve">Item-targeted and fixed-latent simulation analyses further show that</w:t>
      </w:r>
      <w:r>
        <w:t xml:space="preserve"> </w:t>
      </w:r>
      <w:r>
        <w:t xml:space="preserve">corpus-specific heads are at most a bounded, item-local mechanism under the</w:t>
      </w:r>
      <w:r>
        <w:t xml:space="preserve"> </w:t>
      </w:r>
      <w:r>
        <w:t xml:space="preserve">current calibration budgets. Stronger encoders remain useful, but</w:t>
      </w:r>
      <w:r>
        <w:t xml:space="preserve"> </w:t>
      </w:r>
      <w:r>
        <w:t xml:space="preserve">cross-corpus depression models should not treat representation alignment,</w:t>
      </w:r>
      <w:r>
        <w:t xml:space="preserve"> </w:t>
      </w:r>
      <w:r>
        <w:t xml:space="preserve">target calibration, or measurement modeling as interchangeable evidence.</w:t>
      </w:r>
    </w:p>
    <w:p>
      <w:pPr>
        <w:pStyle w:val="Heading2"/>
      </w:pPr>
      <w:bookmarkStart w:id="22" w:name="introduction"/>
      <w:r>
        <w:t xml:space="preserve">1 Introduction</w:t>
      </w:r>
      <w:bookmarkEnd w:id="22"/>
    </w:p>
    <w:p>
      <w:pPr>
        <w:pStyle w:val="FirstParagraph"/>
      </w:pPr>
      <w:r>
        <w:t xml:space="preserve">Automatic depression detection has moved quickly from single-dataset</w:t>
      </w:r>
      <w:r>
        <w:t xml:space="preserve"> </w:t>
      </w:r>
      <w:r>
        <w:t xml:space="preserve">classification toward cross-corpus and multimodal learning. Public interview</w:t>
      </w:r>
      <w:r>
        <w:t xml:space="preserve"> </w:t>
      </w:r>
      <w:r>
        <w:t xml:space="preserve">benchmarks such as DAIC-WOZ and E-DAIC have made it possible to train models on</w:t>
      </w:r>
      <w:r>
        <w:t xml:space="preserve"> </w:t>
      </w:r>
      <w:r>
        <w:t xml:space="preserve">language, speech, facial behavior, and interaction cues collected during</w:t>
      </w:r>
      <w:r>
        <w:t xml:space="preserve"> </w:t>
      </w:r>
      <w:r>
        <w:t xml:space="preserve">semi-structured clinical interviews</w:t>
      </w:r>
      <w:r>
        <w:t xml:space="preserve"> </w:t>
      </w:r>
      <w:r>
        <w:t xml:space="preserve">(Gratch et al. 2014; USC Institute for Creative Technologies 2026)</w:t>
      </w:r>
      <w:r>
        <w:t xml:space="preserve">.</w:t>
      </w:r>
      <w:r>
        <w:t xml:space="preserve"> </w:t>
      </w:r>
      <w:r>
        <w:t xml:space="preserve">At the same time, newer datasets bring different languages, hospital settings,</w:t>
      </w:r>
      <w:r>
        <w:t xml:space="preserve"> </w:t>
      </w:r>
      <w:r>
        <w:t xml:space="preserve">controlled speech tasks, emotional contexts, and population characteristics</w:t>
      </w:r>
      <w:r>
        <w:t xml:space="preserve"> </w:t>
      </w:r>
      <w:r>
        <w:t xml:space="preserve">into the same research conversation. This broader data landscape is exactly</w:t>
      </w:r>
      <w:r>
        <w:t xml:space="preserve"> </w:t>
      </w:r>
      <w:r>
        <w:t xml:space="preserve">what the field needs. It is also what makes a simple question hard: when a</w:t>
      </w:r>
      <w:r>
        <w:t xml:space="preserve"> </w:t>
      </w:r>
      <w:r>
        <w:t xml:space="preserve">model trained on one depression corpus is evaluated on another, what is</w:t>
      </w:r>
      <w:r>
        <w:t xml:space="preserve"> </w:t>
      </w:r>
      <w:r>
        <w:t xml:space="preserve">actually being transferred?</w:t>
      </w:r>
    </w:p>
    <w:p>
      <w:pPr>
        <w:pStyle w:val="BodyText"/>
      </w:pPr>
      <w:r>
        <w:t xml:space="preserve">The dominant answer has been representation transfer. If the main difficulty is</w:t>
      </w:r>
      <w:r>
        <w:t xml:space="preserve"> </w:t>
      </w:r>
      <w:r>
        <w:t xml:space="preserve">that corpora differ in language, acoustic conditions, interview protocol,</w:t>
      </w:r>
      <w:r>
        <w:t xml:space="preserve"> </w:t>
      </w:r>
      <w:r>
        <w:t xml:space="preserve">camera setup, or population, then the natural solution is to learn better</w:t>
      </w:r>
      <w:r>
        <w:t xml:space="preserve"> </w:t>
      </w:r>
      <w:r>
        <w:t xml:space="preserve">features. This has led to a rich line of work on multimodal fusion, domain</w:t>
      </w:r>
      <w:r>
        <w:t xml:space="preserve"> </w:t>
      </w:r>
      <w:r>
        <w:t xml:space="preserve">adaptation, interviewer-bias mitigation, evidence grounding, and clinically</w:t>
      </w:r>
      <w:r>
        <w:t xml:space="preserve"> </w:t>
      </w:r>
      <w:r>
        <w:t xml:space="preserve">motivated symptom representations. For example, questionnaire-grounded models</w:t>
      </w:r>
      <w:r>
        <w:t xml:space="preserve"> </w:t>
      </w:r>
      <w:r>
        <w:t xml:space="preserve">use PHQ-style symptom structure to improve out-of-domain depression detection</w:t>
      </w:r>
      <w:r>
        <w:t xml:space="preserve"> </w:t>
      </w:r>
      <w:r>
        <w:t xml:space="preserve">(Nguyen et al. 2022)</w:t>
      </w:r>
      <w:r>
        <w:t xml:space="preserve">, item-level multimodal models improve interpretability</w:t>
      </w:r>
      <w:r>
        <w:t xml:space="preserve"> </w:t>
      </w:r>
      <w:r>
        <w:t xml:space="preserve">within E-DAIC</w:t>
      </w:r>
      <w:r>
        <w:t xml:space="preserve"> </w:t>
      </w:r>
      <w:r>
        <w:t xml:space="preserve">(Mandal et al. 2025)</w:t>
      </w:r>
      <w:r>
        <w:t xml:space="preserve">, and retrieval-based approaches ground</w:t>
      </w:r>
      <w:r>
        <w:t xml:space="preserve"> </w:t>
      </w:r>
      <w:r>
        <w:t xml:space="preserve">predictions in clinically relevant interview evidence</w:t>
      </w:r>
      <w:r>
        <w:t xml:space="preserve"> </w:t>
      </w:r>
      <w:r>
        <w:t xml:space="preserve">(L. Zhang et al. 2025)</w:t>
      </w:r>
      <w:r>
        <w:t xml:space="preserve">. Other</w:t>
      </w:r>
      <w:r>
        <w:t xml:space="preserve"> </w:t>
      </w:r>
      <w:r>
        <w:t xml:space="preserve">work has shown that depression benchmarks can contain protocol shortcuts, such</w:t>
      </w:r>
      <w:r>
        <w:t xml:space="preserve"> </w:t>
      </w:r>
      <w:r>
        <w:t xml:space="preserve">as therapist prompts or interviewer-question structure, that models may exploit</w:t>
      </w:r>
      <w:r>
        <w:t xml:space="preserve"> </w:t>
      </w:r>
      <w:r>
        <w:t xml:space="preserve">instead of participant-derived clinical evidence</w:t>
      </w:r>
      <w:r>
        <w:t xml:space="preserve"> </w:t>
      </w:r>
      <w:r>
        <w:t xml:space="preserve">(Burdisso et al. 2024; E. Zhang and Poellabauer 2025)</w:t>
      </w:r>
      <w:r>
        <w:t xml:space="preserve">.</w:t>
      </w:r>
    </w:p>
    <w:p>
      <w:pPr>
        <w:pStyle w:val="BodyText"/>
      </w:pPr>
      <w:r>
        <w:t xml:space="preserve">Foundation models have made this representation-centered view even more</w:t>
      </w:r>
      <w:r>
        <w:t xml:space="preserve"> </w:t>
      </w:r>
      <w:r>
        <w:t xml:space="preserve">appealing. Recent depression systems increasingly use large language, speech,</w:t>
      </w:r>
      <w:r>
        <w:t xml:space="preserve"> </w:t>
      </w:r>
      <w:r>
        <w:t xml:space="preserve">and multimodal backbones to model heterogeneous behavioral evidence.</w:t>
      </w:r>
      <w:r>
        <w:t xml:space="preserve"> </w:t>
      </w:r>
      <w:r>
        <w:t xml:space="preserve">DepressionLLM, for instance, uses foundation-model prompting and multimodal</w:t>
      </w:r>
      <w:r>
        <w:t xml:space="preserve"> </w:t>
      </w:r>
      <w:r>
        <w:t xml:space="preserve">fusion for interpretable depression detection across E-DAIC, CMDC, and EATD</w:t>
      </w:r>
      <w:r>
        <w:t xml:space="preserve"> </w:t>
      </w:r>
      <w:r>
        <w:t xml:space="preserve">(Teng et al. 2026)</w:t>
      </w:r>
      <w:r>
        <w:t xml:space="preserve">. SCD-MLLM proposes multimodal LLM adapters and</w:t>
      </w:r>
      <w:r>
        <w:t xml:space="preserve"> </w:t>
      </w:r>
      <w:r>
        <w:t xml:space="preserve">adaptive fusion for stable cross-domain depression recognition under missing</w:t>
      </w:r>
      <w:r>
        <w:t xml:space="preserve"> </w:t>
      </w:r>
      <w:r>
        <w:t xml:space="preserve">modalities</w:t>
      </w:r>
      <w:r>
        <w:t xml:space="preserve"> </w:t>
      </w:r>
      <w:r>
        <w:t xml:space="preserve">(Chen et al. 2026)</w:t>
      </w:r>
      <w:r>
        <w:t xml:space="preserve">. These studies are important because they represent</w:t>
      </w:r>
      <w:r>
        <w:t xml:space="preserve"> </w:t>
      </w:r>
      <w:r>
        <w:t xml:space="preserve">where the field is going: stronger backbones, more modalities, and</w:t>
      </w:r>
      <w:r>
        <w:t xml:space="preserve"> </w:t>
      </w:r>
      <w:r>
        <w:t xml:space="preserve">multi-dataset evaluation. They also make the remaining assumption sharper. Even</w:t>
      </w:r>
      <w:r>
        <w:t xml:space="preserve"> </w:t>
      </w:r>
      <w:r>
        <w:t xml:space="preserve">if the representation side improves, cross-corpus depression detection still</w:t>
      </w:r>
      <w:r>
        <w:t xml:space="preserve"> </w:t>
      </w:r>
      <w:r>
        <w:t xml:space="preserve">assumes that the clinical targets being predicted are comparable enough to</w:t>
      </w:r>
      <w:r>
        <w:t xml:space="preserve"> </w:t>
      </w:r>
      <w:r>
        <w:t xml:space="preserve">support the transfer claim.</w:t>
      </w:r>
    </w:p>
    <w:p>
      <w:pPr>
        <w:pStyle w:val="BodyText"/>
      </w:pPr>
      <w:r>
        <w:t xml:space="preserve">This paper focuses on that assumption. Depression severity scores are not</w:t>
      </w:r>
      <w:r>
        <w:t xml:space="preserve"> </w:t>
      </w:r>
      <w:r>
        <w:t xml:space="preserve">ordinary labels. They are structured clinical measurements produced by</w:t>
      </w:r>
      <w:r>
        <w:t xml:space="preserve"> </w:t>
      </w:r>
      <w:r>
        <w:t xml:space="preserve">assessment instruments, item definitions, response categories, scoring rules,</w:t>
      </w:r>
      <w:r>
        <w:t xml:space="preserve"> </w:t>
      </w:r>
      <w:r>
        <w:t xml:space="preserve">rater or self-report context, language, and protocol. PHQ-8, PHQ-9, HAMD-17,</w:t>
      </w:r>
      <w:r>
        <w:t xml:space="preserve"> </w:t>
      </w:r>
      <w:r>
        <w:t xml:space="preserve">and SDS are all depression-related targets, but they are not interchangeable</w:t>
      </w:r>
      <w:r>
        <w:t xml:space="preserve"> </w:t>
      </w:r>
      <w:r>
        <w:t xml:space="preserve">objects by name alone. Even within the PHQ family, two corpora may share item</w:t>
      </w:r>
      <w:r>
        <w:t xml:space="preserve"> </w:t>
      </w:r>
      <w:r>
        <w:t xml:space="preserve">names while differing in how participants at similar severity levels respond to</w:t>
      </w:r>
      <w:r>
        <w:t xml:space="preserve"> </w:t>
      </w:r>
      <w:r>
        <w:t xml:space="preserve">particular symptoms. In cross-corpus learning terms, representation alignment</w:t>
      </w:r>
      <w:r>
        <w:t xml:space="preserve"> </w:t>
      </w:r>
      <w:r>
        <w:t xml:space="preserve">mostly addresses the acquisition or manifestation mechanism,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t>(</m:t>
          </m:r>
          <m:r>
            <m:t>X</m:t>
          </m:r>
          <m:r>
            <m:t>∣</m:t>
          </m:r>
          <m:r>
            <m:t>θ</m:t>
          </m:r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where latent depression severity or symptom state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expressed in</w:t>
      </w:r>
      <w:r>
        <w:t xml:space="preserve"> </w:t>
      </w:r>
      <w:r>
        <w:t xml:space="preserve">observable behavior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under corpus</w:t>
      </w:r>
      <w:r>
        <w:t xml:space="preserve"> </w:t>
      </w:r>
      <m:oMath>
        <m:r>
          <m:t>D</m:t>
        </m:r>
      </m:oMath>
      <w:r>
        <w:t xml:space="preserve">. It does not automatically validate</w:t>
      </w:r>
      <w:r>
        <w:t xml:space="preserve"> </w:t>
      </w:r>
      <w:r>
        <w:t xml:space="preserve">the measurement mechanism,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t>(</m:t>
          </m:r>
          <m:r>
            <m:t>Y</m:t>
          </m:r>
          <m:r>
            <m:t>∣</m:t>
          </m:r>
          <m:r>
            <m:t>θ</m:t>
          </m:r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where symptom evidence is converted into an observed label</w:t>
      </w:r>
      <w:r>
        <w:t xml:space="preserve"> </w:t>
      </w:r>
      <m:oMath>
        <m:r>
          <m:t>Y</m:t>
        </m:r>
      </m:oMath>
      <w:r>
        <w:t xml:space="preserve">. A model can</w:t>
      </w:r>
      <w:r>
        <w:t xml:space="preserve"> </w:t>
      </w:r>
      <w:r>
        <w:t xml:space="preserve">learn a useful behavioral representation and still fail to transfer clinically</w:t>
      </w:r>
      <w:r>
        <w:t xml:space="preserve"> </w:t>
      </w:r>
      <w:r>
        <w:t xml:space="preserve">if the target score means something slightly different across corpora.</w:t>
      </w:r>
    </w:p>
    <w:p>
      <w:pPr>
        <w:pStyle w:val="BodyText"/>
      </w:pPr>
      <w:r>
        <w:t xml:space="preserve">We therefore study cross-corpus depression detection as a benchmark-validity</w:t>
      </w:r>
      <w:r>
        <w:t xml:space="preserve"> </w:t>
      </w:r>
      <w:r>
        <w:t xml:space="preserve">problem for mental health AI. The claim is not that existing depression</w:t>
      </w:r>
      <w:r>
        <w:t xml:space="preserve"> </w:t>
      </w:r>
      <w:r>
        <w:t xml:space="preserve">benchmarks are invalid, nor that all corpora measure different constructs. The</w:t>
      </w:r>
      <w:r>
        <w:t xml:space="preserve"> </w:t>
      </w:r>
      <w:r>
        <w:t xml:space="preserve">claim is more useful: cross-corpus depression detection involves both</w:t>
      </w:r>
      <w:r>
        <w:t xml:space="preserve"> </w:t>
      </w:r>
      <w:r>
        <w:t xml:space="preserve">representation discrepancies and potential measurement heterogeneity, and a</w:t>
      </w:r>
      <w:r>
        <w:t xml:space="preserve"> </w:t>
      </w:r>
      <w:r>
        <w:t xml:space="preserve">paper that aligns only representations leaves the target-validity assumption</w:t>
      </w:r>
      <w:r>
        <w:t xml:space="preserve"> </w:t>
      </w:r>
      <w:r>
        <w:t xml:space="preserve">unchecked. This distinction matters especially in the foundation-model era.</w:t>
      </w:r>
      <w:r>
        <w:t xml:space="preserve"> </w:t>
      </w:r>
      <w:r>
        <w:t xml:space="preserve">Large backbones can improve the modeling of speech, language, and visual</w:t>
      </w:r>
      <w:r>
        <w:t xml:space="preserve"> </w:t>
      </w:r>
      <w:r>
        <w:t xml:space="preserve">behavior, but they do not decide whether PHQ or HAMD scores from different</w:t>
      </w:r>
      <w:r>
        <w:t xml:space="preserve"> </w:t>
      </w:r>
      <w:r>
        <w:t xml:space="preserve">corpora obey comparable response mechanisms.</w:t>
      </w:r>
    </w:p>
    <w:p>
      <w:pPr>
        <w:pStyle w:val="BodyText"/>
      </w:pPr>
      <w:r>
        <w:t xml:space="preserve">Our proposed framework separates these two layers. Instead of directly mapping</w:t>
      </w:r>
      <w:r>
        <w:t xml:space="preserve"> </w:t>
      </w:r>
      <w:r>
        <w:t xml:space="preserve">multimodal observations to an observed corpus label,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→</m:t>
          </m:r>
          <m:sSub>
            <m:e>
              <m:r>
                <m:t>Y</m:t>
              </m:r>
            </m:e>
            <m:sub>
              <m:r>
                <m:t>D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we model depression prediction as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→</m:t>
          </m:r>
          <m:r>
            <m:t>Z</m:t>
          </m:r>
          <m:r>
            <m:t>→</m:t>
          </m:r>
          <m:sSub>
            <m:e>
              <m:r>
                <m:t>Y</m:t>
              </m:r>
            </m:e>
            <m:sub>
              <m:r>
                <m:t>D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represents shared symptom evidence or latent severity, and</w:t>
      </w:r>
      <w:r>
        <w:t xml:space="preserve"> </w:t>
      </w:r>
      <m:oMath>
        <m:sSub>
          <m:e>
            <m:r>
              <m:t>Y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produced through an explicit measurement head whose sharing structure is itself</w:t>
      </w:r>
      <w:r>
        <w:t xml:space="preserve"> </w:t>
      </w:r>
      <w:r>
        <w:t xml:space="preserve">audited. In a foundation-backbone implementation, the encoder may be a large</w:t>
      </w:r>
      <w:r>
        <w:t xml:space="preserve"> </w:t>
      </w:r>
      <w:r>
        <w:t xml:space="preserve">text, speech, video, or multimodal model; the target pathway remains</w:t>
      </w:r>
      <w:r>
        <w:t xml:space="preserve"> </w:t>
      </w:r>
      <w:r>
        <w:t xml:space="preserve">measurement-aware: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encoder</m:t>
          </m:r>
          <m:r>
            <m:t>→</m:t>
          </m:r>
          <m:r>
            <m:rPr>
              <m:nor/>
              <m:sty m:val="p"/>
            </m:rPr>
            <m:t>shared depression representation</m:t>
          </m:r>
          <m:r>
            <m:t>→</m:t>
          </m:r>
          <m:r>
            <m:rPr>
              <m:nor/>
              <m:sty m:val="p"/>
            </m:rPr>
            <m:t>latent symptom layer</m:t>
          </m:r>
          <m:r>
            <m:t>→</m:t>
          </m:r>
          <m:r>
            <m:rPr>
              <m:nor/>
              <m:sty m:val="p"/>
            </m:rPr>
            <m:t>audited measurement head</m:t>
          </m:r>
          <m:r>
            <m:t>.</m:t>
          </m:r>
        </m:oMath>
      </m:oMathPara>
    </w:p>
    <w:p>
      <w:pPr>
        <w:pStyle w:val="FirstParagraph"/>
      </w:pPr>
      <w:r>
        <w:t xml:space="preserve">The framework does not require all corpora to share an identical measurement</w:t>
      </w:r>
      <w:r>
        <w:t xml:space="preserve"> </w:t>
      </w:r>
      <w:r>
        <w:t xml:space="preserve">process. Instead, it asks what can be shared, what must remain corpus-specific,</w:t>
      </w:r>
      <w:r>
        <w:t xml:space="preserve"> </w:t>
      </w:r>
      <w:r>
        <w:t xml:space="preserve">and what kind of evidence is needed before observed labels are pooled or</w:t>
      </w:r>
      <w:r>
        <w:t xml:space="preserve"> </w:t>
      </w:r>
      <w:r>
        <w:t xml:space="preserve">compared directly.</w:t>
      </w:r>
    </w:p>
    <w:p>
      <w:pPr>
        <w:pStyle w:val="BodyText"/>
      </w:pPr>
      <w:r>
        <w:t xml:space="preserve">We evaluate this idea across six depression corpus families plus a DAIC-WOZ</w:t>
      </w:r>
      <w:r>
        <w:t xml:space="preserve"> </w:t>
      </w:r>
      <w:r>
        <w:t xml:space="preserve">benchmark view. The key design is a set of pre-specified</w:t>
      </w:r>
      <w:r>
        <w:t xml:space="preserve"> </w:t>
      </w:r>
      <w:r>
        <w:t xml:space="preserve">measurement-discrepancy contrasts rather than a flat dataset list. DAIC-WOZ</w:t>
      </w:r>
      <w:r>
        <w:t xml:space="preserve"> </w:t>
      </w:r>
      <w:r>
        <w:t xml:space="preserve">and E-DAIC form the low-discrepancy control:</w:t>
      </w:r>
      <w:r>
        <w:t xml:space="preserve"> </w:t>
      </w:r>
      <w:r>
        <w:t xml:space="preserve">both come from the DAIC lineage and use PHQ-8, so DAIC-WOZ is treated as a</w:t>
      </w:r>
      <w:r>
        <w:t xml:space="preserve"> </w:t>
      </w:r>
      <w:r>
        <w:t xml:space="preserve">same-lineage benchmark view rather than as a fully independent corpus. E-DAIC</w:t>
      </w:r>
      <w:r>
        <w:t xml:space="preserve"> </w:t>
      </w:r>
      <w:r>
        <w:t xml:space="preserve">and CMDC form the main cross-language PHQ comparison: they share PHQ symptom</w:t>
      </w:r>
      <w:r>
        <w:t xml:space="preserve"> </w:t>
      </w:r>
      <w:r>
        <w:t xml:space="preserve">content but differ in language, population, and interview setting. CMDC and</w:t>
      </w:r>
      <w:r>
        <w:t xml:space="preserve"> </w:t>
      </w:r>
      <w:r>
        <w:t xml:space="preserve">PDCH provide an exploratory same-HAMD comparison, useful for testing whether</w:t>
      </w:r>
      <w:r>
        <w:t xml:space="preserve"> </w:t>
      </w:r>
      <w:r>
        <w:t xml:space="preserve">measurement differences are only a PHQ-8/PHQ-9 form issue. Additional corpora,</w:t>
      </w:r>
      <w:r>
        <w:t xml:space="preserve"> </w:t>
      </w:r>
      <w:r>
        <w:t xml:space="preserve">including MODMA, EATD, and MPDD-AVG, act as acquisition, task, emotional</w:t>
      </w:r>
      <w:r>
        <w:t xml:space="preserve"> </w:t>
      </w:r>
      <w:r>
        <w:t xml:space="preserve">context, and population stress views.</w:t>
      </w:r>
    </w:p>
    <w:p>
      <w:pPr>
        <w:pStyle w:val="BodyText"/>
      </w:pPr>
      <w:r>
        <w:t xml:space="preserve">The empirical story follows three questions:</w:t>
      </w:r>
    </w:p>
    <w:p>
      <w:pPr>
        <w:pStyle w:val="BodyText"/>
      </w:pPr>
      <w:r>
        <w:rPr>
          <w:b/>
        </w:rPr>
        <w:t xml:space="preserve">RQ1: Representation heterogeneity and corpus identity.</w:t>
      </w:r>
      <w:r>
        <w:t xml:space="preserve"> </w:t>
      </w:r>
      <w:r>
        <w:t xml:space="preserve">How much corpus</w:t>
      </w:r>
      <w:r>
        <w:t xml:space="preserve"> </w:t>
      </w:r>
      <w:r>
        <w:t xml:space="preserve">identity remains before and after length and severity controls?</w:t>
      </w:r>
    </w:p>
    <w:p>
      <w:pPr>
        <w:pStyle w:val="BodyText"/>
      </w:pPr>
      <w:r>
        <w:rPr>
          <w:b/>
        </w:rPr>
        <w:t xml:space="preserve">RQ2: Measurement heterogeneity.</w:t>
      </w:r>
      <w:r>
        <w:t xml:space="preserve"> </w:t>
      </w:r>
      <w:r>
        <w:t xml:space="preserve">Do nominally aligned clinical targets</w:t>
      </w:r>
      <w:r>
        <w:t xml:space="preserve"> </w:t>
      </w:r>
      <w:r>
        <w:t xml:space="preserve">maintain comparable response mechanisms across corpora?</w:t>
      </w:r>
    </w:p>
    <w:p>
      <w:pPr>
        <w:pStyle w:val="BodyText"/>
      </w:pPr>
      <w:r>
        <w:rPr>
          <w:b/>
        </w:rPr>
        <w:t xml:space="preserve">RQ3: Prediction consequences.</w:t>
      </w:r>
      <w:r>
        <w:t xml:space="preserve"> </w:t>
      </w:r>
      <w:r>
        <w:t xml:space="preserve">Under direct prediction, domain-alignment</w:t>
      </w:r>
      <w:r>
        <w:t xml:space="preserve"> </w:t>
      </w:r>
      <w:r>
        <w:t xml:space="preserve">baselines, latent-target modeling, and explicit measurement heads, which parts</w:t>
      </w:r>
      <w:r>
        <w:t xml:space="preserve"> </w:t>
      </w:r>
      <w:r>
        <w:t xml:space="preserve">of cross-corpus generalization improve, and which validity conditions remain</w:t>
      </w:r>
      <w:r>
        <w:t xml:space="preserve"> </w:t>
      </w:r>
      <w:r>
        <w:t xml:space="preserve">unresolved?</w:t>
      </w:r>
    </w:p>
    <w:p>
      <w:pPr>
        <w:pStyle w:val="BodyText"/>
      </w:pPr>
      <w:r>
        <w:t xml:space="preserve">This organization turns bounded transfer behavior into diagnostic evidence: it</w:t>
      </w:r>
      <w:r>
        <w:t xml:space="preserve"> </w:t>
      </w:r>
      <w:r>
        <w:t xml:space="preserve">separates representation-side improvements from target-side validity</w:t>
      </w:r>
      <w:r>
        <w:t xml:space="preserve"> </w:t>
      </w:r>
      <w:r>
        <w:t xml:space="preserve">conditions. Feature alignment, stronger backbones, and measurement-aware heads</w:t>
      </w:r>
      <w:r>
        <w:t xml:space="preserve"> </w:t>
      </w:r>
      <w:r>
        <w:t xml:space="preserve">are therefore evaluated as different interventions rather than as one</w:t>
      </w:r>
      <w:r>
        <w:t xml:space="preserve"> </w:t>
      </w:r>
      <w:r>
        <w:t xml:space="preserve">undifferentiated transfer score.</w:t>
      </w:r>
    </w:p>
    <w:p>
      <w:pPr>
        <w:pStyle w:val="BodyText"/>
      </w:pPr>
      <w:r>
        <w:t xml:space="preserve">The contributions of this paper are:</w:t>
      </w:r>
    </w:p>
    <w:p>
      <w:pPr>
        <w:numPr>
          <w:ilvl w:val="0"/>
          <w:numId w:val="1001"/>
        </w:numPr>
        <w:pStyle w:val="Compact"/>
      </w:pPr>
      <w:r>
        <w:t xml:space="preserve">We formulate cross-corpus depression detection as a benchmark-validity</w:t>
      </w:r>
      <w:r>
        <w:t xml:space="preserve"> </w:t>
      </w:r>
      <w:r>
        <w:t xml:space="preserve">problem that separates representation heterogeneity, target measurement</w:t>
      </w:r>
      <w:r>
        <w:t xml:space="preserve"> </w:t>
      </w:r>
      <w:r>
        <w:t xml:space="preserve">heterogeneity, and downstream prediction consequences.</w:t>
      </w:r>
    </w:p>
    <w:p>
      <w:pPr>
        <w:numPr>
          <w:ilvl w:val="0"/>
          <w:numId w:val="1001"/>
        </w:numPr>
        <w:pStyle w:val="Compact"/>
      </w:pPr>
      <w:r>
        <w:t xml:space="preserve">We provide a structured audit centered on three pre-specified</w:t>
      </w:r>
      <w:r>
        <w:t xml:space="preserve"> </w:t>
      </w:r>
      <w:r>
        <w:t xml:space="preserve">target-contract contrasts, with additional corpus families serving as</w:t>
      </w:r>
      <w:r>
        <w:t xml:space="preserve"> </w:t>
      </w:r>
      <w:r>
        <w:t xml:space="preserve">acquisition and population stress views.</w:t>
      </w:r>
    </w:p>
    <w:p>
      <w:pPr>
        <w:numPr>
          <w:ilvl w:val="0"/>
          <w:numId w:val="1001"/>
        </w:numPr>
        <w:pStyle w:val="Compact"/>
      </w:pPr>
      <w:r>
        <w:t xml:space="preserve">We instantiate a fixed measurement-aware ordinal model with strong frozen</w:t>
      </w:r>
      <w:r>
        <w:t xml:space="preserve"> </w:t>
      </w:r>
      <w:r>
        <w:t xml:space="preserve">foundation representations, a shared symptom layer, and corpus-specific</w:t>
      </w:r>
      <w:r>
        <w:t xml:space="preserve"> </w:t>
      </w:r>
      <w:r>
        <w:t xml:space="preserve">cumulative-logit item heads, then use matched calibrated ablations to show</w:t>
      </w:r>
      <w:r>
        <w:t xml:space="preserve"> </w:t>
      </w:r>
      <w:r>
        <w:t xml:space="preserve">that the robust empirical gain is target calibration with shared-layer</w:t>
      </w:r>
      <w:r>
        <w:t xml:space="preserve"> </w:t>
      </w:r>
      <w:r>
        <w:t xml:space="preserve">adaptation, while corpus-specific ordinal parameterization remains bounded</w:t>
      </w:r>
      <w:r>
        <w:t xml:space="preserve"> </w:t>
      </w:r>
      <w:r>
        <w:t xml:space="preserve">and direction-dependent.</w:t>
      </w:r>
    </w:p>
    <w:p>
      <w:pPr>
        <w:pStyle w:val="CaptionedFigure"/>
      </w:pPr>
      <w:r>
        <w:drawing>
          <wp:inline>
            <wp:extent cx="5334000" cy="2314175"/>
            <wp:effectExtent b="0" l="0" r="0" t="0"/>
            <wp:docPr descr="Figure 1. Measurement-aware benchmark-validity framework for cross-corpus depression detection. The visual center is the target contract: scale, shared item content, response categories, rater or self-report source, language, and protocol. The proposed model routes frozen multimodal representations into shared symptom evidence and then through audited ordinal measurement heads whose sharing structure is tested empirically." title="" id="1" name="Picture"/>
            <a:graphic>
              <a:graphicData uri="http://schemas.openxmlformats.org/drawingml/2006/picture">
                <pic:pic>
                  <pic:nvPicPr>
                    <pic:cNvPr descr="analysis/diagnostic_measurement_audit_paper/figures_core7/fig1_framework_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Measurement-aware benchmark-validity framework for cross-corpus depression detection. The visual center is the target contract: scale, shared item content, response categories, rater or self-report source, language, and protocol. The proposed model routes frozen multimodal representations into shared symptom evidence and then through audited ordinal measurement heads whose sharing structure is tested empirically.</w:t>
      </w:r>
    </w:p>
    <w:p>
      <w:pPr>
        <w:pStyle w:val="Heading2"/>
      </w:pPr>
      <w:bookmarkStart w:id="24" w:name="related-work"/>
      <w:r>
        <w:t xml:space="preserve">2 Related Work</w:t>
      </w:r>
      <w:bookmarkEnd w:id="24"/>
    </w:p>
    <w:p>
      <w:pPr>
        <w:pStyle w:val="Heading3"/>
      </w:pPr>
      <w:bookmarkStart w:id="25" w:name="Xfeebed5ebe68a962024340e85bd3fc333ca3498"/>
      <w:r>
        <w:t xml:space="preserve">2.1 Cross-Domain and Foundation-Model Depression Detection</w:t>
      </w:r>
      <w:bookmarkEnd w:id="25"/>
    </w:p>
    <w:p>
      <w:pPr>
        <w:pStyle w:val="FirstParagraph"/>
      </w:pPr>
      <w:r>
        <w:t xml:space="preserve">Automatic depression detection has long been shaped by multimodal benchmark</w:t>
      </w:r>
      <w:r>
        <w:t xml:space="preserve"> </w:t>
      </w:r>
      <w:r>
        <w:t xml:space="preserve">practice. DAIC introduced clinical interview data for distress analysis</w:t>
      </w:r>
      <w:r>
        <w:t xml:space="preserve"> </w:t>
      </w:r>
      <w:r>
        <w:t xml:space="preserve">(Gratch et al. 2014)</w:t>
      </w:r>
      <w:r>
        <w:t xml:space="preserve">, and the DAIC-WOZ/E-DAIC lineage became a standard</w:t>
      </w:r>
      <w:r>
        <w:t xml:space="preserve"> </w:t>
      </w:r>
      <w:r>
        <w:t xml:space="preserve">testbed for estimating depression severity from text, audio, and visual</w:t>
      </w:r>
      <w:r>
        <w:t xml:space="preserve"> </w:t>
      </w:r>
      <w:r>
        <w:t xml:space="preserve">behavior</w:t>
      </w:r>
      <w:r>
        <w:t xml:space="preserve"> </w:t>
      </w:r>
      <w:r>
        <w:t xml:space="preserve">(USC Institute for Creative Technologies 2026)</w:t>
      </w:r>
      <w:r>
        <w:t xml:space="preserve">. Later corpora expanded the setting across</w:t>
      </w:r>
      <w:r>
        <w:t xml:space="preserve"> </w:t>
      </w:r>
      <w:r>
        <w:t xml:space="preserve">languages, clinical sites, controlled speech tasks, emotional contexts, and</w:t>
      </w:r>
      <w:r>
        <w:t xml:space="preserve"> </w:t>
      </w:r>
      <w:r>
        <w:t xml:space="preserve">population characteristics, including CMDC</w:t>
      </w:r>
      <w:r>
        <w:t xml:space="preserve"> </w:t>
      </w:r>
      <w:r>
        <w:t xml:space="preserve">(Zou et al. 2023)</w:t>
      </w:r>
      <w:r>
        <w:t xml:space="preserve">, MODMA</w:t>
      </w:r>
      <w:r>
        <w:t xml:space="preserve"> </w:t>
      </w:r>
      <w:r>
        <w:t xml:space="preserve">(Cai et al. 2022)</w:t>
      </w:r>
      <w:r>
        <w:t xml:space="preserve">, PDCH consultation data</w:t>
      </w:r>
      <w:r>
        <w:t xml:space="preserve"> </w:t>
      </w:r>
      <w:r>
        <w:t xml:space="preserve">(PDCH Dataset Authors 2026)</w:t>
      </w:r>
      <w:r>
        <w:t xml:space="preserve">, EATD audio-text</w:t>
      </w:r>
      <w:r>
        <w:t xml:space="preserve"> </w:t>
      </w:r>
      <w:r>
        <w:t xml:space="preserve">data</w:t>
      </w:r>
      <w:r>
        <w:t xml:space="preserve"> </w:t>
      </w:r>
      <w:r>
        <w:t xml:space="preserve">(Shen, Yang, and Lin 2022)</w:t>
      </w:r>
      <w:r>
        <w:t xml:space="preserve">, and personality-aware multimodal challenge data</w:t>
      </w:r>
      <w:r>
        <w:t xml:space="preserve"> </w:t>
      </w:r>
      <w:r>
        <w:t xml:space="preserve">(Fu et al. 2025)</w:t>
      </w:r>
      <w:r>
        <w:t xml:space="preserve">.</w:t>
      </w:r>
    </w:p>
    <w:p>
      <w:pPr>
        <w:pStyle w:val="BodyText"/>
      </w:pPr>
      <w:r>
        <w:t xml:space="preserve">Most cross-corpus work responds to this heterogeneity by improving</w:t>
      </w:r>
      <w:r>
        <w:t xml:space="preserve"> </w:t>
      </w:r>
      <w:r>
        <w:t xml:space="preserve">representations or aligning domains. Classical tools include adversarial</w:t>
      </w:r>
      <w:r>
        <w:t xml:space="preserve"> </w:t>
      </w:r>
      <w:r>
        <w:t xml:space="preserve">domain learning</w:t>
      </w:r>
      <w:r>
        <w:t xml:space="preserve"> </w:t>
      </w:r>
      <w:r>
        <w:t xml:space="preserve">(Ganin et al. 2016)</w:t>
      </w:r>
      <w:r>
        <w:t xml:space="preserve">, CORAL and MMD-style distribution alignment</w:t>
      </w:r>
      <w:r>
        <w:t xml:space="preserve"> </w:t>
      </w:r>
      <w:r>
        <w:t xml:space="preserve">(Sun, Feng, and Saenko 2016; Long et al. 2015)</w:t>
      </w:r>
      <w:r>
        <w:t xml:space="preserve">, and robustness objectives such as IRM and</w:t>
      </w:r>
      <w:r>
        <w:t xml:space="preserve"> </w:t>
      </w:r>
      <w:r>
        <w:t xml:space="preserve">GroupDRO</w:t>
      </w:r>
      <w:r>
        <w:t xml:space="preserve"> </w:t>
      </w:r>
      <w:r>
        <w:t xml:space="preserve">(Arjovsky et al. 2019; Sagawa et al. 2019)</w:t>
      </w:r>
      <w:r>
        <w:t xml:space="preserve">, as well as label-shift</w:t>
      </w:r>
      <w:r>
        <w:t xml:space="preserve"> </w:t>
      </w:r>
      <w:r>
        <w:t xml:space="preserve">correction when class priors change</w:t>
      </w:r>
      <w:r>
        <w:t xml:space="preserve"> </w:t>
      </w:r>
      <w:r>
        <w:t xml:space="preserve">(Lipton, Wang, and Smola 2018)</w:t>
      </w:r>
      <w:r>
        <w:t xml:space="preserve">. Recent depression</w:t>
      </w:r>
      <w:r>
        <w:t xml:space="preserve"> </w:t>
      </w:r>
      <w:r>
        <w:t xml:space="preserve">systems extend the same idea with foundation text, speech, and multimodal backbones:</w:t>
      </w:r>
      <w:r>
        <w:t xml:space="preserve"> </w:t>
      </w:r>
      <w:r>
        <w:t xml:space="preserve">DepressionLLM uses foundation-model prompting and multimodal fusion across</w:t>
      </w:r>
      <w:r>
        <w:t xml:space="preserve"> </w:t>
      </w:r>
      <w:r>
        <w:t xml:space="preserve">E-DAIC, CMDC, and EATD</w:t>
      </w:r>
      <w:r>
        <w:t xml:space="preserve"> </w:t>
      </w:r>
      <w:r>
        <w:t xml:space="preserve">(Teng et al. 2026)</w:t>
      </w:r>
      <w:r>
        <w:t xml:space="preserve">, SCD-MLLM uses multimodal LLM</w:t>
      </w:r>
      <w:r>
        <w:t xml:space="preserve"> </w:t>
      </w:r>
      <w:r>
        <w:t xml:space="preserve">adapters for heterogeneous cross-domain recognition</w:t>
      </w:r>
      <w:r>
        <w:t xml:space="preserve"> </w:t>
      </w:r>
      <w:r>
        <w:t xml:space="preserve">(Chen et al. 2026)</w:t>
      </w:r>
      <w:r>
        <w:t xml:space="preserve">, and</w:t>
      </w:r>
      <w:r>
        <w:t xml:space="preserve"> </w:t>
      </w:r>
      <w:r>
        <w:t xml:space="preserve">DIL-MDD studies domain-incremental MDD detection across datasets such as</w:t>
      </w:r>
      <w:r>
        <w:t xml:space="preserve"> </w:t>
      </w:r>
      <w:r>
        <w:t xml:space="preserve">DAIC-WOZ, MODMA, and CMDC</w:t>
      </w:r>
      <w:r>
        <w:t xml:space="preserve"> </w:t>
      </w:r>
      <w:r>
        <w:t xml:space="preserve">(Chen et al. 2025)</w:t>
      </w:r>
      <w:r>
        <w:t xml:space="preserve">. Close depression-specific</w:t>
      </w:r>
      <w:r>
        <w:t xml:space="preserve"> </w:t>
      </w:r>
      <w:r>
        <w:t xml:space="preserve">baselines also include semi-supervised graph adaptation and personality-guided</w:t>
      </w:r>
      <w:r>
        <w:t xml:space="preserve"> </w:t>
      </w:r>
      <w:r>
        <w:t xml:space="preserve">hypergraph fusion</w:t>
      </w:r>
      <w:r>
        <w:t xml:space="preserve"> </w:t>
      </w:r>
      <w:r>
        <w:t xml:space="preserve">(Chen et al. 2024; Fu et al. 2026)</w:t>
      </w:r>
      <w:r>
        <w:t xml:space="preserve">.</w:t>
      </w:r>
    </w:p>
    <w:p>
      <w:pPr>
        <w:pStyle w:val="BodyText"/>
      </w:pPr>
      <w:r>
        <w:t xml:space="preserve">These studies define the representation side of the problem. They improve or</w:t>
      </w:r>
      <w:r>
        <w:t xml:space="preserve"> </w:t>
      </w:r>
      <w:r>
        <w:t xml:space="preserve">stress-test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t>(</m:t>
        </m:r>
        <m:r>
          <m:t>X</m:t>
        </m:r>
        <m:r>
          <m:t>∣</m:t>
        </m:r>
        <m:r>
          <m:t>θ</m:t>
        </m:r>
        <m:r>
          <m:t>)</m:t>
        </m:r>
      </m:oMath>
      <w:r>
        <w:t xml:space="preserve">: how depression-related behavior is observed</w:t>
      </w:r>
      <w:r>
        <w:t xml:space="preserve"> </w:t>
      </w:r>
      <w:r>
        <w:t xml:space="preserve">under a corpus. Our paper asks the target-side question that remains after this</w:t>
      </w:r>
      <w:r>
        <w:t xml:space="preserve"> </w:t>
      </w:r>
      <w:r>
        <w:t xml:space="preserve">progress: whether the observed labels used to supervise these representations</w:t>
      </w:r>
      <w:r>
        <w:t xml:space="preserve"> </w:t>
      </w:r>
      <w:r>
        <w:t xml:space="preserve">are comparable enough across corpora to support the transfer claim.</w:t>
      </w:r>
    </w:p>
    <w:p>
      <w:pPr>
        <w:pStyle w:val="Heading3"/>
      </w:pPr>
      <w:bookmarkStart w:id="26" w:name="X8ba38704b1a23d1ed62e082a07601d19b9e49dd"/>
      <w:r>
        <w:t xml:space="preserve">2.2 Symptom-Grounded and Interpretable Depression Modeling</w:t>
      </w:r>
      <w:bookmarkEnd w:id="26"/>
    </w:p>
    <w:p>
      <w:pPr>
        <w:pStyle w:val="FirstParagraph"/>
      </w:pPr>
      <w:r>
        <w:t xml:space="preserve">A second nearby line of work moves beyond direct black-box prediction by</w:t>
      </w:r>
      <w:r>
        <w:t xml:space="preserve"> </w:t>
      </w:r>
      <w:r>
        <w:t xml:space="preserve">grounding depression models in clinically meaningful symptoms. Nguyen et al.</w:t>
      </w:r>
      <w:r>
        <w:t xml:space="preserve"> </w:t>
      </w:r>
      <w:r>
        <w:t xml:space="preserve">show that constraining depression detection with PHQ-9 symptoms improves</w:t>
      </w:r>
      <w:r>
        <w:t xml:space="preserve"> </w:t>
      </w:r>
      <w:r>
        <w:t xml:space="preserve">out-of-domain generalization on social-media datasets while making model</w:t>
      </w:r>
      <w:r>
        <w:t xml:space="preserve"> </w:t>
      </w:r>
      <w:r>
        <w:t xml:space="preserve">behavior easier to inspect</w:t>
      </w:r>
      <w:r>
        <w:t xml:space="preserve"> </w:t>
      </w:r>
      <w:r>
        <w:t xml:space="preserve">(Nguyen et al. 2022)</w:t>
      </w:r>
      <w:r>
        <w:t xml:space="preserve">. This is a crucial precedent</w:t>
      </w:r>
      <w:r>
        <w:t xml:space="preserve"> </w:t>
      </w:r>
      <w:r>
        <w:t xml:space="preserve">for our paper: the clinically meaningful abstraction is not a raw benchmark</w:t>
      </w:r>
      <w:r>
        <w:t xml:space="preserve"> </w:t>
      </w:r>
      <w:r>
        <w:t xml:space="preserve">label alone, but symptom evidence that can support transfer.</w:t>
      </w:r>
    </w:p>
    <w:p>
      <w:pPr>
        <w:pStyle w:val="BodyText"/>
      </w:pPr>
      <w:r>
        <w:t xml:space="preserve">Interview-based multimodal work has made the same instinct more fine-grained.</w:t>
      </w:r>
      <w:r>
        <w:t xml:space="preserve"> </w:t>
      </w:r>
      <w:r>
        <w:t xml:space="preserve">QuestMF predicts item/question-level scores in E-DAIC with question-wise</w:t>
      </w:r>
      <w:r>
        <w:t xml:space="preserve"> </w:t>
      </w:r>
      <w:r>
        <w:t xml:space="preserve">modality fusion and ordinal learning, improving interpretability inside the</w:t>
      </w:r>
      <w:r>
        <w:t xml:space="preserve"> </w:t>
      </w:r>
      <w:r>
        <w:t xml:space="preserve">benchmark</w:t>
      </w:r>
      <w:r>
        <w:t xml:space="preserve"> </w:t>
      </w:r>
      <w:r>
        <w:t xml:space="preserve">(Mandal et al. 2025)</w:t>
      </w:r>
      <w:r>
        <w:t xml:space="preserve">. Retrieval-augmented explanation models ground</w:t>
      </w:r>
      <w:r>
        <w:t xml:space="preserve"> </w:t>
      </w:r>
      <w:r>
        <w:t xml:space="preserve">clinical-interview predictions in participant-specific evidence and reduce the</w:t>
      </w:r>
      <w:r>
        <w:t xml:space="preserve"> </w:t>
      </w:r>
      <w:r>
        <w:t xml:space="preserve">risk of purely post-hoc rationalization</w:t>
      </w:r>
      <w:r>
        <w:t xml:space="preserve"> </w:t>
      </w:r>
      <w:r>
        <w:t xml:space="preserve">(L. Zhang et al. 2025)</w:t>
      </w:r>
      <w:r>
        <w:t xml:space="preserve">. These papers show that</w:t>
      </w:r>
      <w:r>
        <w:t xml:space="preserve"> </w:t>
      </w:r>
      <w:r>
        <w:t xml:space="preserve">depression modeling benefits when symptoms, items, and evidence are explicit.</w:t>
      </w:r>
    </w:p>
    <w:p>
      <w:pPr>
        <w:pStyle w:val="BodyText"/>
      </w:pPr>
      <w:r>
        <w:t xml:space="preserve">Our work keeps that advantage and asks the next question. Symptom grounding</w:t>
      </w:r>
      <w:r>
        <w:t xml:space="preserve"> </w:t>
      </w:r>
      <w:r>
        <w:t xml:space="preserve">makes a model more clinically legible, but it still assumes that a symptom item</w:t>
      </w:r>
      <w:r>
        <w:t xml:space="preserve"> </w:t>
      </w:r>
      <w:r>
        <w:t xml:space="preserve">has a sufficiently stable measurement role across corpora. That assumption is</w:t>
      </w:r>
      <w:r>
        <w:t xml:space="preserve"> </w:t>
      </w:r>
      <w:r>
        <w:t xml:space="preserve">not automatic in cross-language, cross-protocol, or cross-scale settings. We</w:t>
      </w:r>
      <w:r>
        <w:t xml:space="preserve"> </w:t>
      </w:r>
      <w:r>
        <w:t xml:space="preserve">therefore shift item-level modeling from within-corpus interpretability to</w:t>
      </w:r>
      <w:r>
        <w:t xml:space="preserve"> </w:t>
      </w:r>
      <w:r>
        <w:t xml:space="preserve">cross-corpus target comparability. The key distinction is small but important:</w:t>
      </w:r>
      <w:r>
        <w:t xml:space="preserve"> </w:t>
      </w:r>
      <w:r>
        <w:t xml:space="preserve">we do not only ask whether a model can predict PHQ or HAMD items; we ask</w:t>
      </w:r>
      <w:r>
        <w:t xml:space="preserve"> </w:t>
      </w:r>
      <w:r>
        <w:t xml:space="preserve">whether shared symptom items preserve comparable response mechanisms before</w:t>
      </w:r>
      <w:r>
        <w:t xml:space="preserve"> </w:t>
      </w:r>
      <w:r>
        <w:t xml:space="preserve">they are used as anchors for transfer.</w:t>
      </w:r>
    </w:p>
    <w:p>
      <w:pPr>
        <w:pStyle w:val="Heading3"/>
      </w:pPr>
      <w:bookmarkStart w:id="27" w:name="Xe9d85798d5395ee3a8919f704e7c9fd317e180e"/>
      <w:r>
        <w:t xml:space="preserve">2.3 Benchmark Validity and Protocol Shortcuts</w:t>
      </w:r>
      <w:bookmarkEnd w:id="27"/>
    </w:p>
    <w:p>
      <w:pPr>
        <w:pStyle w:val="FirstParagraph"/>
      </w:pPr>
      <w:r>
        <w:t xml:space="preserve">Benchmark-validity work in depression detection has shown that high scores can</w:t>
      </w:r>
      <w:r>
        <w:t xml:space="preserve"> </w:t>
      </w:r>
      <w:r>
        <w:t xml:space="preserve">come from unintended cues. Burdisso et al. analyze DAIC-WOZ therapist prompts</w:t>
      </w:r>
      <w:r>
        <w:t xml:space="preserve"> </w:t>
      </w:r>
      <w:r>
        <w:t xml:space="preserve">and show that interviewer-side prompts can provide discriminative shortcuts</w:t>
      </w:r>
      <w:r>
        <w:t xml:space="preserve"> </w:t>
      </w:r>
      <w:r>
        <w:t xml:space="preserve">rather than participant-derived evidence</w:t>
      </w:r>
      <w:r>
        <w:t xml:space="preserve"> </w:t>
      </w:r>
      <w:r>
        <w:t xml:space="preserve">(Burdisso et al. 2024)</w:t>
      </w:r>
      <w:r>
        <w:t xml:space="preserve">. Zhang and</w:t>
      </w:r>
      <w:r>
        <w:t xml:space="preserve"> </w:t>
      </w:r>
      <w:r>
        <w:t xml:space="preserve">Poellabauer further model interviewer-question context and use adversarial</w:t>
      </w:r>
      <w:r>
        <w:t xml:space="preserve"> </w:t>
      </w:r>
      <w:r>
        <w:t xml:space="preserve">learning to reduce question-type bias in multimodal depression detection</w:t>
      </w:r>
      <w:r>
        <w:t xml:space="preserve"> </w:t>
      </w:r>
      <w:r>
        <w:t xml:space="preserve">(E. Zhang and Poellabauer 2025)</w:t>
      </w:r>
      <w:r>
        <w:t xml:space="preserve">. Multi-probe audit work broadens this concern by</w:t>
      </w:r>
      <w:r>
        <w:t xml:space="preserve"> </w:t>
      </w:r>
      <w:r>
        <w:t xml:space="preserve">examining split stability, external validation, and symptom-dense versus</w:t>
      </w:r>
      <w:r>
        <w:t xml:space="preserve"> </w:t>
      </w:r>
      <w:r>
        <w:t xml:space="preserve">symptom-light regions in clinical-interview benchmarks</w:t>
      </w:r>
      <w:r>
        <w:t xml:space="preserve"> </w:t>
      </w:r>
      <w:r>
        <w:t xml:space="preserve">(Ishikawa and Duke 2026)</w:t>
      </w:r>
      <w:r>
        <w:t xml:space="preserve">.</w:t>
      </w:r>
      <w:r>
        <w:t xml:space="preserve"> </w:t>
      </w:r>
      <w:r>
        <w:t xml:space="preserve">Related criterion-contamination audits make the same warning sharper: models</w:t>
      </w:r>
      <w:r>
        <w:t xml:space="preserve"> </w:t>
      </w:r>
      <w:r>
        <w:t xml:space="preserve">can appear clinically meaningful when the target criterion is mirrored in the</w:t>
      </w:r>
      <w:r>
        <w:t xml:space="preserve"> </w:t>
      </w:r>
      <w:r>
        <w:t xml:space="preserve">input evidence</w:t>
      </w:r>
      <w:r>
        <w:t xml:space="preserve"> </w:t>
      </w:r>
      <w:r>
        <w:t xml:space="preserve">(Li et al. 2025)</w:t>
      </w:r>
      <w:r>
        <w:t xml:space="preserve">.</w:t>
      </w:r>
    </w:p>
    <w:p>
      <w:pPr>
        <w:pStyle w:val="BodyText"/>
      </w:pPr>
      <w:r>
        <w:t xml:space="preserve">This work changes the burden of evidence: a depression benchmark is an</w:t>
      </w:r>
      <w:r>
        <w:t xml:space="preserve"> </w:t>
      </w:r>
      <w:r>
        <w:t xml:space="preserve">interaction protocol, not just a table of samples and labels. Our paper follows</w:t>
      </w:r>
      <w:r>
        <w:t xml:space="preserve"> </w:t>
      </w:r>
      <w:r>
        <w:t xml:space="preserve">that audit logic but moves it to the target side. Prior shortcut audits mainly</w:t>
      </w:r>
      <w:r>
        <w:t xml:space="preserve"> </w:t>
      </w:r>
      <w:r>
        <w:t xml:space="preserve">ask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contains nonclinical or protocol-specific signals that models</w:t>
      </w:r>
      <w:r>
        <w:t xml:space="preserve"> </w:t>
      </w:r>
      <w:r>
        <w:t xml:space="preserve">can exploit. We ask whether the observed clinical target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remains comparable</w:t>
      </w:r>
      <w:r>
        <w:t xml:space="preserve"> </w:t>
      </w:r>
      <w:r>
        <w:t xml:space="preserve">enough across corpora after a representation has been learned.</w:t>
      </w:r>
    </w:p>
    <w:p>
      <w:pPr>
        <w:pStyle w:val="Heading3"/>
      </w:pPr>
      <w:bookmarkStart w:id="28" w:name="Xa711ee7627b417f4ab28eeb62308015df439965"/>
      <w:r>
        <w:t xml:space="preserve">2.4 Clinical Measurement and Scale Comparability</w:t>
      </w:r>
      <w:bookmarkEnd w:id="28"/>
    </w:p>
    <w:p>
      <w:pPr>
        <w:pStyle w:val="FirstParagraph"/>
      </w:pPr>
      <w:r>
        <w:t xml:space="preserve">Clinical scores are designed measurements of latent symptom constructs, not</w:t>
      </w:r>
      <w:r>
        <w:t xml:space="preserve"> </w:t>
      </w:r>
      <w:r>
        <w:t xml:space="preserve">ordinary machine-learning labels. Measurement-invariance theory asks when</w:t>
      </w:r>
      <w:r>
        <w:t xml:space="preserve"> </w:t>
      </w:r>
      <w:r>
        <w:t xml:space="preserve">scores can be compared across groups</w:t>
      </w:r>
      <w:r>
        <w:t xml:space="preserve"> </w:t>
      </w:r>
      <w:r>
        <w:t xml:space="preserve">(Meredith 1993; Vandenberg and Lance 2000)</w:t>
      </w:r>
      <w:r>
        <w:t xml:space="preserve">, while ordinal item-response and DIF methods provide a</w:t>
      </w:r>
      <w:r>
        <w:t xml:space="preserve"> </w:t>
      </w:r>
      <w:r>
        <w:t xml:space="preserve">language for item thresholds, discrimination, and group-conditioned response</w:t>
      </w:r>
      <w:r>
        <w:t xml:space="preserve"> </w:t>
      </w:r>
      <w:r>
        <w:t xml:space="preserve">behavior</w:t>
      </w:r>
      <w:r>
        <w:t xml:space="preserve"> </w:t>
      </w:r>
      <w:r>
        <w:t xml:space="preserve">(Samejima 1969; Chalmers 2012; Bulut and Suh 2017)</w:t>
      </w:r>
      <w:r>
        <w:t xml:space="preserve">.</w:t>
      </w:r>
      <w:r>
        <w:t xml:space="preserve"> </w:t>
      </w:r>
      <w:r>
        <w:t xml:space="preserve">Approximate alignment further recognizes that exact invariance is often too</w:t>
      </w:r>
      <w:r>
        <w:t xml:space="preserve"> </w:t>
      </w:r>
      <w:r>
        <w:t xml:space="preserve">strict for applied multi-group settings</w:t>
      </w:r>
      <w:r>
        <w:t xml:space="preserve"> </w:t>
      </w:r>
      <w:r>
        <w:t xml:space="preserve">(Muth</w:t>
      </w:r>
      <w:r>
        <w:br/>
      </w:r>
      <w:r>
        <w:t xml:space="preserve">’en and Asparouhov 2014)</w:t>
      </w:r>
      <w:r>
        <w:t xml:space="preserve">.</w:t>
      </w:r>
    </w:p>
    <w:p>
      <w:pPr>
        <w:pStyle w:val="BodyText"/>
      </w:pPr>
      <w:r>
        <w:t xml:space="preserve">This vocabulary maps directly onto cross-corpus depression detection.</w:t>
      </w:r>
      <w:r>
        <w:t xml:space="preserve"> </w:t>
      </w:r>
      <w:r>
        <w:t xml:space="preserve">Configural evidence asks whether the same broad symptom structure is plausible</w:t>
      </w:r>
      <w:r>
        <w:t xml:space="preserve"> </w:t>
      </w:r>
      <w:r>
        <w:t xml:space="preserve">in each corpus. Metric evidence asks whether items relate similarly to the</w:t>
      </w:r>
      <w:r>
        <w:t xml:space="preserve"> </w:t>
      </w:r>
      <w:r>
        <w:t xml:space="preserve">underlying symptom factor. Threshold or scalar evidence asks whether subjects</w:t>
      </w:r>
      <w:r>
        <w:t xml:space="preserve"> </w:t>
      </w:r>
      <w:r>
        <w:t xml:space="preserve">at comparable severity levels are placed into comparable response categories.</w:t>
      </w:r>
      <w:r>
        <w:t xml:space="preserve"> </w:t>
      </w:r>
      <w:r>
        <w:t xml:space="preserve">DIF localizes the failure mode: an item can remain clinically meaningful while</w:t>
      </w:r>
      <w:r>
        <w:t xml:space="preserve"> </w:t>
      </w:r>
      <w:r>
        <w:t xml:space="preserve">its response thresholds differ by corpus. Anchor items then become the bridge</w:t>
      </w:r>
      <w:r>
        <w:t xml:space="preserve"> </w:t>
      </w:r>
      <w:r>
        <w:t xml:space="preserve">between clinical measurement and machine learning, because they identify which</w:t>
      </w:r>
      <w:r>
        <w:t xml:space="preserve"> </w:t>
      </w:r>
      <w:r>
        <w:t xml:space="preserve">parts of the target can be shared and which parts should remain</w:t>
      </w:r>
      <w:r>
        <w:t xml:space="preserve"> </w:t>
      </w:r>
      <w:r>
        <w:t xml:space="preserve">corpus-specific.</w:t>
      </w:r>
    </w:p>
    <w:p>
      <w:pPr>
        <w:pStyle w:val="BodyText"/>
      </w:pPr>
      <w:r>
        <w:t xml:space="preserve">Psychiatric measurement studies give useful context. PHQ-9 can show acceptable</w:t>
      </w:r>
      <w:r>
        <w:t xml:space="preserve"> </w:t>
      </w:r>
      <w:r>
        <w:t xml:space="preserve">invariance in large population or survey settings</w:t>
      </w:r>
      <w:r>
        <w:t xml:space="preserve"> </w:t>
      </w:r>
      <w:r>
        <w:t xml:space="preserve">(Galenkamp et al. 2017; Patel et al. 2019)</w:t>
      </w:r>
      <w:r>
        <w:t xml:space="preserve">, which is important because it prevents an overbroad</w:t>
      </w:r>
      <w:r>
        <w:t xml:space="preserve"> </w:t>
      </w:r>
      <w:r>
        <w:t xml:space="preserve">claim that PHQ is generally unstable. PHQ/GAD invariance and DIF remain active</w:t>
      </w:r>
      <w:r>
        <w:t xml:space="preserve"> </w:t>
      </w:r>
      <w:r>
        <w:t xml:space="preserve">clinical-measurement questions in primary-care settings</w:t>
      </w:r>
      <w:r>
        <w:t xml:space="preserve"> </w:t>
      </w:r>
      <w:r>
        <w:t xml:space="preserve">(Delamain et al. 2024)</w:t>
      </w:r>
      <w:r>
        <w:t xml:space="preserve">. At the same time, clinical scale</w:t>
      </w:r>
      <w:r>
        <w:t xml:space="preserve"> </w:t>
      </w:r>
      <w:r>
        <w:t xml:space="preserve">comparison work shows that PHQ and HAMD capture related but not identical</w:t>
      </w:r>
      <w:r>
        <w:t xml:space="preserve"> </w:t>
      </w:r>
      <w:r>
        <w:t xml:space="preserve">severity information</w:t>
      </w:r>
      <w:r>
        <w:t xml:space="preserve"> </w:t>
      </w:r>
      <w:r>
        <w:t xml:space="preserve">(Ma et al. 2021)</w:t>
      </w:r>
      <w:r>
        <w:t xml:space="preserve">, and score-linking work finds systematic</w:t>
      </w:r>
      <w:r>
        <w:t xml:space="preserve"> </w:t>
      </w:r>
      <w:r>
        <w:t xml:space="preserve">differences even among correlated depression scales</w:t>
      </w:r>
      <w:r>
        <w:t xml:space="preserve"> </w:t>
      </w:r>
      <w:r>
        <w:t xml:space="preserve">(Zhou et al. 2026)</w:t>
      </w:r>
      <w:r>
        <w:t xml:space="preserve">. De</w:t>
      </w:r>
      <w:r>
        <w:t xml:space="preserve"> </w:t>
      </w:r>
      <w:r>
        <w:t xml:space="preserve">Duro et al. </w:t>
      </w:r>
      <w:r>
        <w:t xml:space="preserve">(2026)</w:t>
      </w:r>
      <w:r>
        <w:t xml:space="preserve"> </w:t>
      </w:r>
      <w:r>
        <w:t xml:space="preserve">make a parallel point for language</w:t>
      </w:r>
      <w:r>
        <w:t xml:space="preserve"> </w:t>
      </w:r>
      <w:r>
        <w:t xml:space="preserve">technologies: mental-health models should specify what construct their outputs</w:t>
      </w:r>
      <w:r>
        <w:t xml:space="preserve"> </w:t>
      </w:r>
      <w:r>
        <w:t xml:space="preserve">are intended to measure.</w:t>
      </w:r>
    </w:p>
    <w:p>
      <w:pPr>
        <w:pStyle w:val="BodyText"/>
      </w:pPr>
      <w:r>
        <w:t xml:space="preserve">The machine-learning literature has only partly absorbed this target-side</w:t>
      </w:r>
      <w:r>
        <w:t xml:space="preserve"> </w:t>
      </w:r>
      <w:r>
        <w:t xml:space="preserve">distinction. Symptom-grounded models make labels more interpretable, and</w:t>
      </w:r>
      <w:r>
        <w:t xml:space="preserve"> </w:t>
      </w:r>
      <w:r>
        <w:t xml:space="preserve">domain-adaptation models make features more transferable, but both usually</w:t>
      </w:r>
      <w:r>
        <w:t xml:space="preserve"> </w:t>
      </w:r>
      <w:r>
        <w:t xml:space="preserve">take the observed clinical target as already comparable once item names or</w:t>
      </w:r>
      <w:r>
        <w:t xml:space="preserve"> </w:t>
      </w:r>
      <w:r>
        <w:t xml:space="preserve">total-score thresholds align. Our audit makes that assumption explicit. We</w:t>
      </w:r>
      <w:r>
        <w:t xml:space="preserve"> </w:t>
      </w:r>
      <w:r>
        <w:t xml:space="preserve">first identify same-lineage, shared-PHQ, and same-HAMD target contracts; then</w:t>
      </w:r>
      <w:r>
        <w:t xml:space="preserve"> </w:t>
      </w:r>
      <w:r>
        <w:t xml:space="preserve">we test common structure, item-level response behavior, severity-conditioned</w:t>
      </w:r>
      <w:r>
        <w:t xml:space="preserve"> </w:t>
      </w:r>
      <w:r>
        <w:t xml:space="preserve">differences, anchors, and finite-sample uncertainty before using the target for</w:t>
      </w:r>
      <w:r>
        <w:t xml:space="preserve"> </w:t>
      </w:r>
      <w:r>
        <w:t xml:space="preserve">prediction. This is the missing layer between symptom-grounded representation</w:t>
      </w:r>
      <w:r>
        <w:t xml:space="preserve"> </w:t>
      </w:r>
      <w:r>
        <w:t xml:space="preserve">learning and clinical target transfer. Existing work asks how to learn more</w:t>
      </w:r>
      <w:r>
        <w:t xml:space="preserve"> </w:t>
      </w:r>
      <w:r>
        <w:t xml:space="preserve">transferable depression representations. We ask whether the targets used to</w:t>
      </w:r>
      <w:r>
        <w:t xml:space="preserve"> </w:t>
      </w:r>
      <w:r>
        <w:t xml:space="preserve">supervise those representations are themselves comparable across corpora.</w:t>
      </w:r>
    </w:p>
    <w:p>
      <w:pPr>
        <w:pStyle w:val="Heading2"/>
      </w:pPr>
      <w:bookmarkStart w:id="29" w:name="X1566ac2cf004a35910e49f9fdba2245d03fd7a4"/>
      <w:r>
        <w:t xml:space="preserve">3 Measurement-Aware Benchmark-Validity Framework</w:t>
      </w:r>
      <w:bookmarkEnd w:id="29"/>
    </w:p>
    <w:p>
      <w:pPr>
        <w:pStyle w:val="FirstParagraph"/>
      </w:pPr>
      <w:r>
        <w:t xml:space="preserve">The central object in this paper is not a pooled depression dataset, but a</w:t>
      </w:r>
      <w:r>
        <w:t xml:space="preserve"> </w:t>
      </w:r>
      <w:r>
        <w:t xml:space="preserve">corpus-specific target contract. A target contract specifies what clinical</w:t>
      </w:r>
      <w:r>
        <w:t xml:space="preserve"> </w:t>
      </w:r>
      <w:r>
        <w:t xml:space="preserve">quantity a corpus makes available for learning: the instrument, item set,</w:t>
      </w:r>
      <w:r>
        <w:t xml:space="preserve"> </w:t>
      </w:r>
      <w:r>
        <w:t xml:space="preserve">scoring rule, rater or self-report context, language, protocol lineage,</w:t>
      </w:r>
      <w:r>
        <w:t xml:space="preserve"> </w:t>
      </w:r>
      <w:r>
        <w:t xml:space="preserve">available anchor items, and the comparison level that the data can support.</w:t>
      </w:r>
      <w:r>
        <w:t xml:space="preserve"> </w:t>
      </w:r>
      <w:r>
        <w:t xml:space="preserve">Cross-corpus depression detection becomes meaningful only after this contract</w:t>
      </w:r>
      <w:r>
        <w:t xml:space="preserve"> </w:t>
      </w:r>
      <w:r>
        <w:t xml:space="preserve">is made explicit.</w:t>
      </w:r>
    </w:p>
    <w:p>
      <w:pPr>
        <w:pStyle w:val="Heading3"/>
      </w:pPr>
      <w:bookmarkStart w:id="30" w:name="Xa7353806ac76dc8012e34ed56fb23edc12c8b08"/>
      <w:r>
        <w:t xml:space="preserve">3.1 Direct Transfer and Its Hidden Assumption</w:t>
      </w:r>
      <w:bookmarkEnd w:id="30"/>
    </w:p>
    <w:p>
      <w:pPr>
        <w:pStyle w:val="FirstParagraph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denote a corpus,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the observed multimodal data,</w:t>
      </w:r>
      <w:r>
        <w:t xml:space="preserve"> </w:t>
      </w:r>
      <m:oMath>
        <m:sSub>
          <m:e>
            <m:r>
              <m:t>Y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the observed</w:t>
      </w:r>
      <w:r>
        <w:t xml:space="preserve"> </w:t>
      </w:r>
      <w:r>
        <w:t xml:space="preserve">clinical label,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the latent depression severity or symptom state.</w:t>
      </w:r>
      <w:r>
        <w:t xml:space="preserve"> </w:t>
      </w:r>
      <w:r>
        <w:t xml:space="preserve">The usual cross-corpus predictor learns a direct map: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: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t>→</m:t>
          </m:r>
          <m:sSub>
            <m:e>
              <m:r>
                <m:t>Y</m:t>
              </m:r>
            </m:e>
            <m:sub>
              <m:r>
                <m:t>D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When this predictor is moved from one corpus to another, poor transfer is</w:t>
      </w:r>
      <w:r>
        <w:t xml:space="preserve"> </w:t>
      </w:r>
      <w:r>
        <w:t xml:space="preserve">usually attributed to differences in the input mechanism: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t>(</m:t>
          </m:r>
          <m:r>
            <m:t>X</m:t>
          </m:r>
          <m:r>
            <m:t>∣</m:t>
          </m:r>
          <m:r>
            <m:t>θ</m:t>
          </m:r>
          <m:r>
            <m:t>)</m:t>
          </m:r>
          <m:r>
            <m:t>≠</m:t>
          </m:r>
          <m:sSub>
            <m:e>
              <m:r>
                <m:t>P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t>(</m:t>
          </m:r>
          <m:r>
            <m:t>X</m:t>
          </m:r>
          <m:r>
            <m:t>∣</m:t>
          </m:r>
          <m:r>
            <m:t>θ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For depression benchmarks, this is a real problem. Interview scripts,</w:t>
      </w:r>
      <w:r>
        <w:t xml:space="preserve"> </w:t>
      </w:r>
      <w:r>
        <w:t xml:space="preserve">language, recording environment, clinical setting, task design, modality</w:t>
      </w:r>
      <w:r>
        <w:t xml:space="preserve"> </w:t>
      </w:r>
      <w:r>
        <w:t xml:space="preserve">availability, and population all affect how depression-related behavior is</w:t>
      </w:r>
      <w:r>
        <w:t xml:space="preserve"> </w:t>
      </w:r>
      <w:r>
        <w:t xml:space="preserve">observed. But the direct predictor also assumes that the observed target</w:t>
      </w:r>
      <w:r>
        <w:t xml:space="preserve"> </w:t>
      </w:r>
      <w:r>
        <w:t xml:space="preserve">mechanism is sufficiently stable: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t>(</m:t>
          </m:r>
          <m:r>
            <m:t>Y</m:t>
          </m:r>
          <m:r>
            <m:t>∣</m:t>
          </m:r>
          <m:r>
            <m:t>θ</m:t>
          </m:r>
          <m:r>
            <m:t>)</m:t>
          </m:r>
          <m:r>
            <m:t>≈</m:t>
          </m:r>
          <m:sSub>
            <m:e>
              <m:r>
                <m:t>P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t>(</m:t>
          </m:r>
          <m:r>
            <m:t>Y</m:t>
          </m:r>
          <m:r>
            <m:t>∣</m:t>
          </m:r>
          <m:r>
            <m:t>θ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This assumption is rarely tested in machine-learning papers. PHQ-8, PHQ-9,</w:t>
      </w:r>
      <w:r>
        <w:t xml:space="preserve"> </w:t>
      </w:r>
      <w:r>
        <w:t xml:space="preserve">HAMD-17, and SDS are all depression-related measurements, but they differ in</w:t>
      </w:r>
      <w:r>
        <w:t xml:space="preserve"> </w:t>
      </w:r>
      <w:r>
        <w:t xml:space="preserve">item coverage, response categories, scoring conventions, rater involvement, and</w:t>
      </w:r>
      <w:r>
        <w:t xml:space="preserve"> </w:t>
      </w:r>
      <w:r>
        <w:t xml:space="preserve">clinical emphasis. Even within a nominally shared item family, the mapping from</w:t>
      </w:r>
      <w:r>
        <w:t xml:space="preserve"> </w:t>
      </w:r>
      <w:r>
        <w:t xml:space="preserve">severity to response category can vary across language, protocol, population,</w:t>
      </w:r>
      <w:r>
        <w:t xml:space="preserve"> </w:t>
      </w:r>
      <w:r>
        <w:t xml:space="preserve">or corpus lineage. A model can therefore learn useful depression evidence while</w:t>
      </w:r>
      <w:r>
        <w:t xml:space="preserve"> </w:t>
      </w:r>
      <w:r>
        <w:t xml:space="preserve">still producing an unsupported observed-scale transfer claim if</w:t>
      </w:r>
      <w:r>
        <w:t xml:space="preserve"> </w:t>
      </w:r>
      <m:oMath>
        <m:sSub>
          <m:e>
            <m:r>
              <m:t>Y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treated as an ordinary interchangeable label.</w:t>
      </w:r>
    </w:p>
    <w:p>
      <w:pPr>
        <w:pStyle w:val="Heading3"/>
      </w:pPr>
      <w:bookmarkStart w:id="31" w:name="measurement-aware-transfer"/>
      <w:r>
        <w:t xml:space="preserve">3.2 Measurement-Aware Transfer</w:t>
      </w:r>
      <w:bookmarkEnd w:id="31"/>
    </w:p>
    <w:p>
      <w:pPr>
        <w:pStyle w:val="FirstParagraph"/>
      </w:pPr>
      <w:r>
        <w:t xml:space="preserve">We separate the input and target mechanisms: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t>(</m:t>
          </m:r>
          <m:r>
            <m:t>X</m:t>
          </m:r>
          <m:r>
            <m:t>,</m:t>
          </m:r>
          <m:r>
            <m:t>Y</m:t>
          </m:r>
          <m:r>
            <m:t>∣</m:t>
          </m:r>
          <m:r>
            <m:t>θ</m:t>
          </m:r>
          <m:r>
            <m:t>)</m:t>
          </m:r>
          <m:r>
            <m:t>=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t>(</m:t>
          </m:r>
          <m:r>
            <m:t>X</m:t>
          </m:r>
          <m:r>
            <m:t>∣</m:t>
          </m:r>
          <m:r>
            <m:t>θ</m:t>
          </m:r>
          <m:r>
            <m:t>)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t>(</m:t>
          </m:r>
          <m:r>
            <m:t>Y</m:t>
          </m:r>
          <m:r>
            <m:t>∣</m:t>
          </m:r>
          <m:r>
            <m:t>θ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The representation component addresses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t>(</m:t>
        </m:r>
        <m:r>
          <m:t>X</m:t>
        </m:r>
        <m:r>
          <m:t>∣</m:t>
        </m:r>
        <m:r>
          <m:t>θ</m:t>
        </m:r>
        <m:r>
          <m:t>)</m:t>
        </m:r>
      </m:oMath>
      <w:r>
        <w:t xml:space="preserve">: how latent</w:t>
      </w:r>
      <w:r>
        <w:t xml:space="preserve"> </w:t>
      </w:r>
      <w:r>
        <w:t xml:space="preserve">symptom state is expressed in language, speech, facial behavior, gait, or other</w:t>
      </w:r>
      <w:r>
        <w:t xml:space="preserve"> </w:t>
      </w:r>
      <w:r>
        <w:t xml:space="preserve">observable signals. The measurement component addresses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t>(</m:t>
        </m:r>
        <m:r>
          <m:t>Y</m:t>
        </m:r>
        <m:r>
          <m:t>∣</m:t>
        </m:r>
        <m:r>
          <m:t>θ</m:t>
        </m:r>
        <m:r>
          <m:t>)</m:t>
        </m:r>
      </m:oMath>
      <w:r>
        <w:t xml:space="preserve">:</w:t>
      </w:r>
      <w:r>
        <w:t xml:space="preserve"> </w:t>
      </w:r>
      <w:r>
        <w:t xml:space="preserve">how symptom evidence is converted into item responses, total scores, or</w:t>
      </w:r>
      <w:r>
        <w:t xml:space="preserve"> </w:t>
      </w:r>
      <w:r>
        <w:t xml:space="preserve">severity labels under a corpus-specific assessment contract.</w:t>
      </w:r>
    </w:p>
    <w:p>
      <w:pPr>
        <w:pStyle w:val="BodyText"/>
      </w:pPr>
      <w:r>
        <w:t xml:space="preserve">This leads to a measurement-aware prediction path: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t>→</m:t>
          </m:r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t>→</m:t>
          </m:r>
          <m:r>
            <m:t>S</m:t>
          </m:r>
          <m:r>
            <m:t>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D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r>
          <m:t>=</m:t>
        </m:r>
        <m:r>
          <m:t>E</m:t>
        </m:r>
        <m:r>
          <m:t>(</m:t>
        </m:r>
        <m:sSub>
          <m:e>
            <m:r>
              <m:t>X</m:t>
            </m:r>
          </m:e>
          <m:sub>
            <m:r>
              <m:t>D</m:t>
            </m:r>
          </m:sub>
        </m:sSub>
        <m:r>
          <m:t>)</m:t>
        </m:r>
      </m:oMath>
      <w:r>
        <w:t xml:space="preserve"> </w:t>
      </w:r>
      <w:r>
        <w:t xml:space="preserve">is a learned behavioral representation,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shared</w:t>
      </w:r>
      <w:r>
        <w:t xml:space="preserve"> </w:t>
      </w:r>
      <w:r>
        <w:t xml:space="preserve">symptom evidence or latent severity,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D</m:t>
            </m:r>
          </m:sub>
        </m:sSub>
        <m:r>
          <m:t>=</m:t>
        </m:r>
        <m:r>
          <m:t>M</m:t>
        </m:r>
        <m:r>
          <m:t>(</m:t>
        </m:r>
        <m:r>
          <m:t>S</m:t>
        </m:r>
        <m:r>
          <m:t>,</m:t>
        </m:r>
        <m:r>
          <m:t>D</m:t>
        </m:r>
        <m:r>
          <m:t>)</m:t>
        </m:r>
      </m:oMath>
      <w:r>
        <w:t xml:space="preserve"> </w:t>
      </w:r>
      <w:r>
        <w:t xml:space="preserve">is produced by an</w:t>
      </w:r>
      <w:r>
        <w:t xml:space="preserve"> </w:t>
      </w:r>
      <w:r>
        <w:t xml:space="preserve">explicit measurement head. The head may be shared or corpus-specific, but that</w:t>
      </w:r>
      <w:r>
        <w:t xml:space="preserve"> </w:t>
      </w:r>
      <w:r>
        <w:t xml:space="preserve">choice is a target-contract question rather than a default architectural</w:t>
      </w:r>
      <w:r>
        <w:t xml:space="preserve"> </w:t>
      </w:r>
      <w:r>
        <w:t xml:space="preserve">truth. The shared layer is also not assumed to be universal by default. It is</w:t>
      </w:r>
      <w:r>
        <w:t xml:space="preserve"> </w:t>
      </w:r>
      <w:r>
        <w:t xml:space="preserve">shared only where the item map, scale family, and empirical measurement audit</w:t>
      </w:r>
      <w:r>
        <w:t xml:space="preserve"> </w:t>
      </w:r>
      <w:r>
        <w:t xml:space="preserve">support that claim.</w:t>
      </w:r>
    </w:p>
    <w:p>
      <w:pPr>
        <w:pStyle w:val="BodyText"/>
      </w:pPr>
      <w:r>
        <w:t xml:space="preserve">This formulation gives the paper a constructive modeling implication. Strong</w:t>
      </w:r>
      <w:r>
        <w:t xml:space="preserve"> </w:t>
      </w:r>
      <w:r>
        <w:t xml:space="preserve">encoders are welcome, but they are not the whole system: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Foundation encoder</m:t>
          </m:r>
          <m:r>
            <m:t>→</m:t>
          </m:r>
          <m:r>
            <m:rPr>
              <m:nor/>
              <m:sty m:val="p"/>
            </m:rPr>
            <m:t>shared depression representation</m:t>
          </m:r>
          <m:r>
            <m:t>→</m:t>
          </m:r>
          <m:r>
            <m:rPr>
              <m:nor/>
              <m:sty m:val="p"/>
            </m:rPr>
            <m:t>latent symptom layer</m:t>
          </m:r>
          <m:r>
            <m:t>→</m:t>
          </m:r>
          <m:r>
            <m:rPr>
              <m:nor/>
              <m:sty m:val="p"/>
            </m:rPr>
            <m:t>audited measurement head</m:t>
          </m:r>
          <m:r>
            <m:t>.</m:t>
          </m:r>
        </m:oMath>
      </m:oMathPara>
    </w:p>
    <w:p>
      <w:pPr>
        <w:pStyle w:val="FirstParagraph"/>
      </w:pPr>
      <w:r>
        <w:t xml:space="preserve">The framework therefore does not compete with foundation or multimodal fusion</w:t>
      </w:r>
      <w:r>
        <w:t xml:space="preserve"> </w:t>
      </w:r>
      <w:r>
        <w:t xml:space="preserve">work as a generic performance architecture. It adds the target-validity layer</w:t>
      </w:r>
      <w:r>
        <w:t xml:space="preserve"> </w:t>
      </w:r>
      <w:r>
        <w:t xml:space="preserve">that such systems need before cross-corpus clinical labels can be interpreted</w:t>
      </w:r>
      <w:r>
        <w:t xml:space="preserve"> </w:t>
      </w:r>
      <w:r>
        <w:t xml:space="preserve">as comparable.</w:t>
      </w:r>
    </w:p>
    <w:p>
      <w:pPr>
        <w:pStyle w:val="BodyText"/>
      </w:pPr>
      <w:r>
        <w:t xml:space="preserve">For the executable method in this paper, we test one concrete instantiation</w:t>
      </w:r>
      <w:r>
        <w:t xml:space="preserve"> </w:t>
      </w:r>
      <w:r>
        <w:t xml:space="preserve">rather than leaving the layer as a family of possible heads. The frozen</w:t>
      </w:r>
      <w:r>
        <w:t xml:space="preserve"> </w:t>
      </w:r>
      <w:r>
        <w:t xml:space="preserve">foundation representation is projected to an eight-dimensional shared symptom</w:t>
      </w:r>
      <w:r>
        <w:t xml:space="preserve"> </w:t>
      </w:r>
      <w:r>
        <w:t xml:space="preserve">layer, aligned with the eight PHQ symptoms common to PHQ-8 and PHQ-9. The</w:t>
      </w:r>
      <w:r>
        <w:t xml:space="preserve"> </w:t>
      </w:r>
      <w:r>
        <w:t xml:space="preserve">primary instantiation gives each corpus its own cumulative-logit ordinal head,</w:t>
      </w:r>
      <w:r>
        <w:t xml:space="preserve"> </w:t>
      </w:r>
      <w:r>
        <w:t xml:space="preserve">and the ablation suite tests whether that corpus-specific parameterization is</w:t>
      </w:r>
      <w:r>
        <w:t xml:space="preserve"> </w:t>
      </w:r>
      <w:r>
        <w:t xml:space="preserve">needed beyond calibrated shared-layer adaptation. For item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corpus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head learns a positive slope and three ordered thresholds, producing</w:t>
      </w:r>
      <w:r>
        <w:t xml:space="preserve"> </w:t>
      </w:r>
      <m:oMath>
        <m:r>
          <m:t>P</m:t>
        </m:r>
        <m:r>
          <m:t>(</m:t>
        </m:r>
        <m:sSub>
          <m:e>
            <m:r>
              <m:t>Y</m:t>
            </m:r>
          </m:e>
          <m:sub>
            <m:r>
              <m:t>D</m:t>
            </m:r>
            <m:r>
              <m:t>k</m:t>
            </m:r>
          </m:sub>
        </m:sSub>
        <m:r>
          <m:t>=</m:t>
        </m:r>
        <m:r>
          <m:t>0</m:t>
        </m:r>
        <m:r>
          <m:t>)</m:t>
        </m:r>
        <m:r>
          <m:t>,</m:t>
        </m:r>
        <m:r>
          <m:t>…</m:t>
        </m:r>
        <m:r>
          <m:t>,</m:t>
        </m:r>
        <m:r>
          <m:t>P</m:t>
        </m:r>
        <m:r>
          <m:t>(</m:t>
        </m:r>
        <m:sSub>
          <m:e>
            <m:r>
              <m:t>Y</m:t>
            </m:r>
          </m:e>
          <m:sub>
            <m:r>
              <m:t>D</m:t>
            </m:r>
            <m:r>
              <m:t>k</m:t>
            </m:r>
          </m:sub>
        </m:sSub>
        <m:r>
          <m:t>=</m:t>
        </m:r>
        <m:r>
          <m:t>3</m:t>
        </m:r>
        <m:r>
          <m:t>)</m:t>
        </m:r>
      </m:oMath>
      <w:r>
        <w:t xml:space="preserve"> </w:t>
      </w:r>
      <w:r>
        <w:t xml:space="preserve">and an expected item score. The core training</w:t>
      </w:r>
      <w:r>
        <w:t xml:space="preserve"> </w:t>
      </w:r>
      <w:r>
        <w:t xml:space="preserve">signal is source ordinal reconstruction plus target calibration ordinal</w:t>
      </w:r>
      <w:r>
        <w:t xml:space="preserve"> </w:t>
      </w:r>
      <w:r>
        <w:t xml:space="preserve">reconstruction: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</m:sub>
          </m:sSub>
          <m:r>
            <m:t>=</m:t>
          </m:r>
          <m:sSubSup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</m:sup>
          </m:sSubSup>
          <m:r>
            <m:t>+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sSubSup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</m:sup>
          </m:sSubSup>
          <m: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t>∥</m:t>
          </m:r>
          <m:r>
            <m:t>S</m:t>
          </m:r>
          <m:sSubSup>
            <m:e>
              <m: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.</m:t>
          </m:r>
        </m:oMath>
      </m:oMathPara>
    </w:p>
    <w:p>
      <w:pPr>
        <w:pStyle w:val="FirstParagraph"/>
      </w:pPr>
      <w:r>
        <w:t xml:space="preserve">An auxiliary variant adds distribution matching in the shared symptom layer: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D</m:t>
              </m:r>
            </m:sub>
          </m:sSub>
          <m: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</m:sub>
          </m:sSub>
          <m:r>
            <m:t>+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D</m:t>
          </m:r>
          <m:r>
            <m:t>(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</m:sub>
          </m:sSub>
          <m:r>
            <m:t>,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t</m:t>
              </m:r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Training follows the target-contract logic: warm-start the projector,</w:t>
      </w:r>
      <w:r>
        <w:t xml:space="preserve"> </w:t>
      </w:r>
      <w:r>
        <w:t xml:space="preserve">symptom layer, and source ordinal head on the source corpus; initialize the</w:t>
      </w:r>
      <w:r>
        <w:t xml:space="preserve"> </w:t>
      </w:r>
      <w:r>
        <w:t xml:space="preserve">target ordinal head from the source head; then adapt the target measurement</w:t>
      </w:r>
      <w:r>
        <w:t xml:space="preserve"> </w:t>
      </w:r>
      <w:r>
        <w:t xml:space="preserve">path using a labeled calibration subset. The ablations remove exactly one</w:t>
      </w:r>
      <w:r>
        <w:t xml:space="preserve"> </w:t>
      </w:r>
      <w:r>
        <w:t xml:space="preserve">piece of this design: latent-only uses the source head in the target corpus,</w:t>
      </w:r>
      <w:r>
        <w:t xml:space="preserve"> </w:t>
      </w:r>
      <w:r>
        <w:t xml:space="preserve">and corpus-specific-head fits only the target ordinal head while freezing the</w:t>
      </w:r>
      <w:r>
        <w:t xml:space="preserve"> </w:t>
      </w:r>
      <w:r>
        <w:t xml:space="preserve">shared symptom layer. Additional calibrated ablations keep the shared layers</w:t>
      </w:r>
      <w:r>
        <w:t xml:space="preserve"> </w:t>
      </w:r>
      <w:r>
        <w:t xml:space="preserve">trainable while replacing the corpus-specific ordinal head with a shared</w:t>
      </w:r>
      <w:r>
        <w:t xml:space="preserve"> </w:t>
      </w:r>
      <w:r>
        <w:t xml:space="preserve">ordinal head or a generic target MLP head. The auxiliary MMD variant is</w:t>
      </w:r>
      <w:r>
        <w:t xml:space="preserve"> </w:t>
      </w:r>
      <w:r>
        <w:t xml:space="preserve">evaluated separately and is not part of the definition of measurement-aware</w:t>
      </w:r>
      <w:r>
        <w:t xml:space="preserve"> </w:t>
      </w:r>
      <w:r>
        <w:t xml:space="preserve">transfer. The substantive design is the shared symptom representation plus an</w:t>
      </w:r>
      <w:r>
        <w:t xml:space="preserve"> </w:t>
      </w:r>
      <w:r>
        <w:t xml:space="preserve">explicit target-calibrated ordinal measurement pathway; whether the ordinal</w:t>
      </w:r>
      <w:r>
        <w:t xml:space="preserve"> </w:t>
      </w:r>
      <w:r>
        <w:t xml:space="preserve">head must be corpus-specific is evaluated empirically.</w:t>
      </w:r>
    </w:p>
    <w:p>
      <w:pPr>
        <w:pStyle w:val="Heading3"/>
      </w:pPr>
      <w:bookmarkStart w:id="32" w:name="target-contract-decisions"/>
      <w:r>
        <w:t xml:space="preserve">3.3 Target-Contract Decisions</w:t>
      </w:r>
      <w:bookmarkEnd w:id="32"/>
    </w:p>
    <w:p>
      <w:pPr>
        <w:pStyle w:val="FirstParagraph"/>
      </w:pPr>
      <w:r>
        <w:t xml:space="preserve">The audit assigns each corpus pair to one of three practical comparison</w:t>
      </w:r>
      <w:r>
        <w:t xml:space="preserve"> </w:t>
      </w:r>
      <w:r>
        <w:t xml:space="preserve">levels.</w:t>
      </w:r>
    </w:p>
    <w:p>
      <w:pPr>
        <w:pStyle w:val="BodyText"/>
      </w:pPr>
      <w:r>
        <w:t xml:space="preserve">First, if language, scale, protocol lineage, and item behavior are closely</w:t>
      </w:r>
      <w:r>
        <w:t xml:space="preserve"> </w:t>
      </w:r>
      <w:r>
        <w:t xml:space="preserve">aligned, observed-scale comparison is reasonable. DAIC-WOZ and E-DAIC are used</w:t>
      </w:r>
      <w:r>
        <w:t xml:space="preserve"> </w:t>
      </w:r>
      <w:r>
        <w:t xml:space="preserve">in this way: not as independent pooled corpora, but as a same-lineage PHQ-8</w:t>
      </w:r>
      <w:r>
        <w:t xml:space="preserve"> </w:t>
      </w:r>
      <w:r>
        <w:t xml:space="preserve">control that anchors the low-discrepancy end of the measurement gradient.</w:t>
      </w:r>
    </w:p>
    <w:p>
      <w:pPr>
        <w:pStyle w:val="BodyText"/>
      </w:pPr>
      <w:r>
        <w:t xml:space="preserve">Second, if clinical constructs are shared but item thresholds or response</w:t>
      </w:r>
      <w:r>
        <w:t xml:space="preserve"> </w:t>
      </w:r>
      <w:r>
        <w:t xml:space="preserve">tendencies differ, the corpora can share a symptom layer while the measurement</w:t>
      </w:r>
      <w:r>
        <w:t xml:space="preserve"> </w:t>
      </w:r>
      <w:r>
        <w:t xml:space="preserve">head remains an empirical sharing decision. This is the main role of the</w:t>
      </w:r>
      <w:r>
        <w:t xml:space="preserve"> </w:t>
      </w:r>
      <w:r>
        <w:t xml:space="preserve">E-DAIC/CMDC PHQ shared-item analysis: the eight shared symptoms provide a</w:t>
      </w:r>
      <w:r>
        <w:t xml:space="preserve"> </w:t>
      </w:r>
      <w:r>
        <w:t xml:space="preserve">useful bridge, but the observed item responses still require validation before</w:t>
      </w:r>
      <w:r>
        <w:t xml:space="preserve"> </w:t>
      </w:r>
      <w:r>
        <w:t xml:space="preserve">direct score interchangeability or corpus-specific parameterization is claimed.</w:t>
      </w:r>
    </w:p>
    <w:p>
      <w:pPr>
        <w:pStyle w:val="BodyText"/>
      </w:pPr>
      <w:r>
        <w:t xml:space="preserve">Third, if the available evidence is small or only partially aligned, the corpus</w:t>
      </w:r>
      <w:r>
        <w:t xml:space="preserve"> </w:t>
      </w:r>
      <w:r>
        <w:t xml:space="preserve">pair is treated as exploratory or as a stress view. CMDC/PDCH HAMD is in this</w:t>
      </w:r>
      <w:r>
        <w:t xml:space="preserve"> </w:t>
      </w:r>
      <w:r>
        <w:t xml:space="preserve">category. It is valuable because it tests whether the story extends beyond a</w:t>
      </w:r>
      <w:r>
        <w:t xml:space="preserve"> </w:t>
      </w:r>
      <w:r>
        <w:t xml:space="preserve">PHQ-8/PHQ-9 form comparison, but it is not used to claim formal HAMD</w:t>
      </w:r>
      <w:r>
        <w:t xml:space="preserve"> </w:t>
      </w:r>
      <w:r>
        <w:t xml:space="preserve">measurement invariance.</w:t>
      </w:r>
    </w:p>
    <w:p>
      <w:pPr>
        <w:pStyle w:val="BodyText"/>
      </w:pPr>
      <w:r>
        <w:t xml:space="preserve">These decisions are part of the framework. They specify which claims the data</w:t>
      </w:r>
      <w:r>
        <w:t xml:space="preserve"> </w:t>
      </w:r>
      <w:r>
        <w:t xml:space="preserve">support and which model component should carry the corpus-specific part of the</w:t>
      </w:r>
      <w:r>
        <w:t xml:space="preserve"> </w:t>
      </w:r>
      <w:r>
        <w:t xml:space="preserve">clinical target.</w:t>
      </w:r>
    </w:p>
    <w:p>
      <w:pPr>
        <w:pStyle w:val="Heading3"/>
      </w:pPr>
      <w:bookmarkStart w:id="33" w:name="validity-gates"/>
      <w:r>
        <w:t xml:space="preserve">3.4 Validity Gates</w:t>
      </w:r>
      <w:bookmarkEnd w:id="33"/>
    </w:p>
    <w:p>
      <w:pPr>
        <w:pStyle w:val="FirstParagraph"/>
      </w:pPr>
      <w:r>
        <w:t xml:space="preserve">The empirical audit is organized into three gates that correspond to the paper</w:t>
      </w:r>
      <w:r>
        <w:t xml:space="preserve"> </w:t>
      </w:r>
      <w:r>
        <w:t xml:space="preserve">experiments.</w:t>
      </w:r>
    </w:p>
    <w:p>
      <w:pPr>
        <w:pStyle w:val="BodyText"/>
      </w:pPr>
      <w:r>
        <w:rPr>
          <w:b/>
        </w:rPr>
        <w:t xml:space="preserve">Representation gate.</w:t>
      </w:r>
      <w:r>
        <w:t xml:space="preserve"> </w:t>
      </w:r>
      <w:r>
        <w:t xml:space="preserve">We first ask whether learned features retain corpus,</w:t>
      </w:r>
      <w:r>
        <w:t xml:space="preserve"> </w:t>
      </w:r>
      <w:r>
        <w:t xml:space="preserve">task, protocol, or population identity. High identity recovery does not make a</w:t>
      </w:r>
      <w:r>
        <w:t xml:space="preserve"> </w:t>
      </w:r>
      <w:r>
        <w:t xml:space="preserve">feature useless; it shows that corpus-specific acquisition signatures remain</w:t>
      </w:r>
      <w:r>
        <w:t xml:space="preserve"> </w:t>
      </w:r>
      <w:r>
        <w:t xml:space="preserve">available to downstream predictors.</w:t>
      </w:r>
    </w:p>
    <w:p>
      <w:pPr>
        <w:pStyle w:val="BodyText"/>
      </w:pPr>
      <w:r>
        <w:rPr>
          <w:b/>
        </w:rPr>
        <w:t xml:space="preserve">Measurement gate.</w:t>
      </w:r>
      <w:r>
        <w:t xml:space="preserve"> </w:t>
      </w:r>
      <w:r>
        <w:t xml:space="preserve">We then ask whether nominally aligned targets preserve</w:t>
      </w:r>
      <w:r>
        <w:t xml:space="preserve"> </w:t>
      </w:r>
      <w:r>
        <w:t xml:space="preserve">comparable item or score behavior. Same-lineage controls, shared-item</w:t>
      </w:r>
      <w:r>
        <w:t xml:space="preserve"> </w:t>
      </w:r>
      <w:r>
        <w:t xml:space="preserve">distributions, item-excluded severity-conditioned responses, and bounded</w:t>
      </w:r>
      <w:r>
        <w:t xml:space="preserve"> </w:t>
      </w:r>
      <w:r>
        <w:t xml:space="preserve">psychometric checks determine whether an observed label can be treated as</w:t>
      </w:r>
      <w:r>
        <w:t xml:space="preserve"> </w:t>
      </w:r>
      <w:r>
        <w:t xml:space="preserve">shared, head-specific, or exploratory.</w:t>
      </w:r>
    </w:p>
    <w:p>
      <w:pPr>
        <w:pStyle w:val="BodyText"/>
      </w:pPr>
      <w:r>
        <w:rPr>
          <w:b/>
        </w:rPr>
        <w:t xml:space="preserve">Prediction gate.</w:t>
      </w:r>
      <w:r>
        <w:t xml:space="preserve"> </w:t>
      </w:r>
      <w:r>
        <w:t xml:space="preserve">Finally, we ask what happens when the target is modeled</w:t>
      </w:r>
      <w:r>
        <w:t xml:space="preserve"> </w:t>
      </w:r>
      <w:r>
        <w:t xml:space="preserve">explicitly. Direct prediction, feature-alignment baselines, latent-target</w:t>
      </w:r>
      <w:r>
        <w:t xml:space="preserve"> </w:t>
      </w:r>
      <w:r>
        <w:t xml:space="preserve">prediction, localized calibration, and measurement-aware heads are evaluated</w:t>
      </w:r>
      <w:r>
        <w:t xml:space="preserve"> </w:t>
      </w:r>
      <w:r>
        <w:t xml:space="preserve">not only by raw error, but also by output identity, feature identity,</w:t>
      </w:r>
      <w:r>
        <w:t xml:space="preserve"> </w:t>
      </w:r>
      <w:r>
        <w:t xml:space="preserve">observed-scale reconstruction, and transfer validity.</w:t>
      </w:r>
    </w:p>
    <w:p>
      <w:pPr>
        <w:pStyle w:val="BodyText"/>
      </w:pPr>
      <w:r>
        <w:t xml:space="preserve">These gates define the appropriate strength of a cross-corpus claim. A bounded</w:t>
      </w:r>
      <w:r>
        <w:t xml:space="preserve"> </w:t>
      </w:r>
      <w:r>
        <w:t xml:space="preserve">prediction result is diagnostically informative when it reveals where</w:t>
      </w:r>
      <w:r>
        <w:t xml:space="preserve"> </w:t>
      </w:r>
      <w:r>
        <w:t xml:space="preserve">representation learning, target harmonization, and measurement-head adaptation</w:t>
      </w:r>
      <w:r>
        <w:t xml:space="preserve"> </w:t>
      </w:r>
      <w:r>
        <w:t xml:space="preserve">solve different parts of the transfer problem.</w:t>
      </w:r>
    </w:p>
    <w:p>
      <w:pPr>
        <w:pStyle w:val="Heading2"/>
      </w:pPr>
      <w:bookmarkStart w:id="34" w:name="datasets-and-analytical-roles"/>
      <w:r>
        <w:t xml:space="preserve">4 Datasets and Analytical Roles</w:t>
      </w:r>
      <w:bookmarkEnd w:id="34"/>
    </w:p>
    <w:p>
      <w:pPr>
        <w:pStyle w:val="FirstParagraph"/>
      </w:pPr>
      <w:r>
        <w:t xml:space="preserve">We audit six depression corpus families and one DAIC-WOZ benchmark view. The</w:t>
      </w:r>
      <w:r>
        <w:t xml:space="preserve"> </w:t>
      </w:r>
      <w:r>
        <w:t xml:space="preserve">datasets are deliberately not presented as a larger pooled training set. Each</w:t>
      </w:r>
      <w:r>
        <w:t xml:space="preserve"> </w:t>
      </w:r>
      <w:r>
        <w:t xml:space="preserve">corpus has an analytical role defined by its acquisition protocol, modalities,</w:t>
      </w:r>
      <w:r>
        <w:t xml:space="preserve"> </w:t>
      </w:r>
      <w:r>
        <w:t xml:space="preserve">clinical target, and item-level supervision. This design lets the paper compare</w:t>
      </w:r>
      <w:r>
        <w:t xml:space="preserve"> </w:t>
      </w:r>
      <w:r>
        <w:t xml:space="preserve">pre-specified measurement contrasts while still using broader datasets as</w:t>
      </w:r>
      <w:r>
        <w:t xml:space="preserve"> </w:t>
      </w:r>
      <w:r>
        <w:t xml:space="preserve">stress views for representation, task, and population</w:t>
      </w:r>
      <w:r>
        <w:t xml:space="preserve"> </w:t>
      </w:r>
      <w:r>
        <w:t xml:space="preserve">heterogeneity.</w:t>
      </w:r>
    </w:p>
    <w:p>
      <w:pPr>
        <w:pStyle w:val="BodyText"/>
      </w:pPr>
      <w:r>
        <w:rPr>
          <w:b/>
        </w:rPr>
        <w:t xml:space="preserve">Table 1. Depression corpus families, benchmark views, and analytical roles.</w:t>
      </w:r>
    </w:p>
    <w:tbl>
      <w:tblPr>
        <w:tblStyle w:val="Table"/>
        <w:tblW w:type="pct" w:w="5000.0"/>
        <w:tblLook w:firstRow="1"/>
      </w:tblPr>
      <w:tblGrid>
        <w:gridCol w:w="1485"/>
        <w:gridCol w:w="1980"/>
        <w:gridCol w:w="1485"/>
        <w:gridCol w:w="1485"/>
        <w:gridCol w:w="14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 or view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Participants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Modalities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Main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 in this study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E-DAIC</w:t>
            </w:r>
          </w:p>
        </w:tc>
        <w:tc>
          <w:p>
            <w:pPr>
              <w:pStyle w:val="Compact"/>
              <w:jc w:val="right"/>
            </w:pPr>
            <w:r>
              <w:t xml:space="preserve">275</w:t>
            </w:r>
          </w:p>
        </w:tc>
        <w:tc>
          <w:p>
            <w:pPr>
              <w:pStyle w:val="Compact"/>
              <w:jc w:val="left"/>
            </w:pPr>
            <w:r>
              <w:t xml:space="preserve">Text, audio, video</w:t>
            </w:r>
          </w:p>
        </w:tc>
        <w:tc>
          <w:p>
            <w:pPr>
              <w:pStyle w:val="Compact"/>
              <w:jc w:val="left"/>
            </w:pPr>
            <w:r>
              <w:t xml:space="preserve">PHQ-8</w:t>
            </w:r>
          </w:p>
        </w:tc>
        <w:tc>
          <w:p>
            <w:pPr>
              <w:pStyle w:val="Compact"/>
              <w:jc w:val="left"/>
            </w:pPr>
            <w:r>
              <w:t xml:space="preserve">Primary development corpus; PHQ item analysis; interview-protocol diagnostics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DAIC-WOZ</w:t>
            </w:r>
          </w:p>
        </w:tc>
        <w:tc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p>
            <w:pPr>
              <w:pStyle w:val="Compact"/>
              <w:jc w:val="left"/>
            </w:pPr>
            <w:r>
              <w:t xml:space="preserve">Text, audio, video</w:t>
            </w:r>
          </w:p>
        </w:tc>
        <w:tc>
          <w:p>
            <w:pPr>
              <w:pStyle w:val="Compact"/>
              <w:jc w:val="left"/>
            </w:pPr>
            <w:r>
              <w:t xml:space="preserve">PHQ-8</w:t>
            </w:r>
          </w:p>
        </w:tc>
        <w:tc>
          <w:p>
            <w:pPr>
              <w:pStyle w:val="Compact"/>
              <w:jc w:val="left"/>
            </w:pPr>
            <w:r>
              <w:t xml:space="preserve">Same-lineage Wizard-of-Oz benchmark view and PHQ-8 control; not pooled as independent from E-DAIC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CMDC</w:t>
            </w:r>
          </w:p>
        </w:tc>
        <w:tc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p>
            <w:pPr>
              <w:pStyle w:val="Compact"/>
              <w:jc w:val="left"/>
            </w:pPr>
            <w:r>
              <w:t xml:space="preserve">Text, audio, video</w:t>
            </w:r>
          </w:p>
        </w:tc>
        <w:tc>
          <w:p>
            <w:pPr>
              <w:pStyle w:val="Compact"/>
              <w:jc w:val="left"/>
            </w:pPr>
            <w:r>
              <w:t xml:space="preserve">PHQ-9; partial HAMD-17</w:t>
            </w:r>
          </w:p>
        </w:tc>
        <w:tc>
          <w:p>
            <w:pPr>
              <w:pStyle w:val="Compact"/>
              <w:jc w:val="left"/>
            </w:pPr>
            <w:r>
              <w:t xml:space="preserve">Cross-language and cross-protocol PHQ comparison; small HAMD sanity subset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PDCH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Text, audio</w:t>
            </w:r>
          </w:p>
        </w:tc>
        <w:tc>
          <w:p>
            <w:pPr>
              <w:pStyle w:val="Compact"/>
              <w:jc w:val="left"/>
            </w:pPr>
            <w:r>
              <w:t xml:space="preserve">HAMD-17</w:t>
            </w:r>
          </w:p>
        </w:tc>
        <w:tc>
          <w:p>
            <w:pPr>
              <w:pStyle w:val="Compact"/>
              <w:jc w:val="left"/>
            </w:pPr>
            <w:r>
              <w:t xml:space="preserve">Clinical HAMD item and severity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MODMA</w:t>
            </w:r>
          </w:p>
        </w:tc>
        <w:tc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p>
            <w:pPr>
              <w:pStyle w:val="Compact"/>
              <w:jc w:val="left"/>
            </w:pPr>
            <w:r>
              <w:t xml:space="preserve">PHQ-9/diagnosis</w:t>
            </w:r>
          </w:p>
        </w:tc>
        <w:tc>
          <w:p>
            <w:pPr>
              <w:pStyle w:val="Compact"/>
              <w:jc w:val="left"/>
            </w:pPr>
            <w:r>
              <w:t xml:space="preserve">Controlled speech-task stress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EATD</w:t>
            </w:r>
          </w:p>
        </w:tc>
        <w:tc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p>
            <w:pPr>
              <w:pStyle w:val="Compact"/>
              <w:jc w:val="left"/>
            </w:pPr>
            <w:r>
              <w:t xml:space="preserve">Text, audio</w:t>
            </w:r>
          </w:p>
        </w:tc>
        <w:tc>
          <w:p>
            <w:pPr>
              <w:pStyle w:val="Compact"/>
              <w:jc w:val="left"/>
            </w:pPr>
            <w:r>
              <w:t xml:space="preserve">SDS</w:t>
            </w:r>
          </w:p>
        </w:tc>
        <w:tc>
          <w:p>
            <w:pPr>
              <w:pStyle w:val="Compact"/>
              <w:jc w:val="left"/>
            </w:pPr>
            <w:r>
              <w:t xml:space="preserve">Emotional-valence and SDS external stress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MPDD-AVG</w:t>
            </w:r>
          </w:p>
        </w:tc>
        <w:tc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p>
            <w:pPr>
              <w:pStyle w:val="Compact"/>
              <w:jc w:val="left"/>
            </w:pPr>
            <w:r>
              <w:t xml:space="preserve">Audio, video, gait, personality</w:t>
            </w:r>
          </w:p>
        </w:tc>
        <w:tc>
          <w:p>
            <w:pPr>
              <w:pStyle w:val="Compact"/>
              <w:jc w:val="left"/>
            </w:pPr>
            <w:r>
              <w:t xml:space="preserve">PHQ-9</w:t>
            </w:r>
          </w:p>
        </w:tc>
        <w:tc>
          <w:p>
            <w:pPr>
              <w:pStyle w:val="Compact"/>
              <w:jc w:val="left"/>
            </w:pPr>
            <w:r>
              <w:t xml:space="preserve">Population and individual-difference stress test</w:t>
            </w:r>
          </w:p>
        </w:tc>
      </w:tr>
    </w:tbl>
    <w:p>
      <w:pPr>
        <w:pStyle w:val="BodyText"/>
      </w:pPr>
      <w:r>
        <w:t xml:space="preserve">The formal item-level PHQ measurement layer uses E-DAIC and CMDC because both</w:t>
      </w:r>
      <w:r>
        <w:t xml:space="preserve"> </w:t>
      </w:r>
      <w:r>
        <w:t xml:space="preserve">provide responses for the eight items shared by PHQ-8 and PHQ-9. DAIC-WOZ is</w:t>
      </w:r>
      <w:r>
        <w:t xml:space="preserve"> </w:t>
      </w:r>
      <w:r>
        <w:t xml:space="preserve">added as a same-PHQ-8 benchmark-lineage control over official train/dev item</w:t>
      </w:r>
      <w:r>
        <w:t xml:space="preserve"> </w:t>
      </w:r>
      <w:r>
        <w:t xml:space="preserve">labels, giving the measurement audit a low-discrepancy reference. PDCH and the</w:t>
      </w:r>
      <w:r>
        <w:t xml:space="preserve"> </w:t>
      </w:r>
      <w:r>
        <w:t xml:space="preserve">small CMDC HAMD subset support an exploratory same-HAMD analysis. MODMA, EATD,</w:t>
      </w:r>
      <w:r>
        <w:t xml:space="preserve"> </w:t>
      </w:r>
      <w:r>
        <w:t xml:space="preserve">and MPDD-AVG are used as acquisition, task, emotional-context, and population</w:t>
      </w:r>
      <w:r>
        <w:t xml:space="preserve"> </w:t>
      </w:r>
      <w:r>
        <w:t xml:space="preserve">stress views rather than as formal item-level invariance datasets.</w:t>
      </w:r>
    </w:p>
    <w:p>
      <w:pPr>
        <w:pStyle w:val="BodyText"/>
      </w:pPr>
      <w:r>
        <w:t xml:space="preserve">All experiments use subject-level splits: segments, sessions, modalities, or</w:t>
      </w:r>
      <w:r>
        <w:t xml:space="preserve"> </w:t>
      </w:r>
      <w:r>
        <w:t xml:space="preserve">tasks from the same participant remain in the same partition. This keeps the</w:t>
      </w:r>
      <w:r>
        <w:t xml:space="preserve"> </w:t>
      </w:r>
      <w:r>
        <w:t xml:space="preserve">reported transfer behavior tied to corpus-level differences rather than</w:t>
      </w:r>
      <w:r>
        <w:t xml:space="preserve"> </w:t>
      </w:r>
      <w:r>
        <w:t xml:space="preserve">participant leakage.</w:t>
      </w:r>
    </w:p>
    <w:p>
      <w:pPr>
        <w:pStyle w:val="CaptionedFigure"/>
      </w:pPr>
      <w:r>
        <w:drawing>
          <wp:inline>
            <wp:extent cx="5334000" cy="2792395"/>
            <wp:effectExtent b="0" l="0" r="0" t="0"/>
            <wp:docPr descr="Figure 2. Target-contract contrasts and stress views. The figure only encodes analytical role: DAIC-WOZ/E-DAIC is a same-lineage PHQ-8 sanity control, E-DAIC/CMDC is the primary shared-PHQ measurement contrast, CMDC/PDCH is an exploratory same-HAMD stress view, and MODMA, EATD, and MPDD-AVG serve as acquisition, task, and population stress views. Dataset sizes, modalities, and label details are kept in Table 1." title="" id="1" name="Picture"/>
            <a:graphic>
              <a:graphicData uri="http://schemas.openxmlformats.org/drawingml/2006/picture">
                <pic:pic>
                  <pic:nvPicPr>
                    <pic:cNvPr descr="analysis/diagnostic_measurement_audit_paper/figures_core7/fig2_dataset_relationship_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2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Target-contract contrasts and stress views. The figure only encodes analytical role: DAIC-WOZ/E-DAIC is a same-lineage PHQ-8 sanity control, E-DAIC/CMDC is the primary shared-PHQ measurement contrast, CMDC/PDCH is an exploratory same-HAMD stress view, and MODMA, EATD, and MPDD-AVG serve as acquisition, task, and population stress views. Dataset sizes, modalities, and label details are kept in Table 1.</w:t>
      </w:r>
    </w:p>
    <w:p>
      <w:pPr>
        <w:pStyle w:val="Heading2"/>
      </w:pPr>
      <w:bookmarkStart w:id="36" w:name="methods"/>
      <w:r>
        <w:t xml:space="preserve">5 Methods</w:t>
      </w:r>
      <w:bookmarkEnd w:id="36"/>
    </w:p>
    <w:p>
      <w:pPr>
        <w:pStyle w:val="FirstParagraph"/>
      </w:pPr>
      <w:r>
        <w:t xml:space="preserve">The experiments instantiate the three gates from Section 3. They are not a</w:t>
      </w:r>
      <w:r>
        <w:t xml:space="preserve"> </w:t>
      </w:r>
      <w:r>
        <w:t xml:space="preserve">leaderboard sequence. Each experiment tests a different assumption that a</w:t>
      </w:r>
      <w:r>
        <w:t xml:space="preserve"> </w:t>
      </w:r>
      <w:r>
        <w:t xml:space="preserve">cross-corpus depression model needs before its predictions can be read as</w:t>
      </w:r>
      <w:r>
        <w:t xml:space="preserve"> </w:t>
      </w:r>
      <w:r>
        <w:t xml:space="preserve">clinically meaningful transfer.</w:t>
      </w:r>
    </w:p>
    <w:p>
      <w:pPr>
        <w:pStyle w:val="Heading3"/>
      </w:pPr>
      <w:bookmarkStart w:id="37" w:name="rq1-representation-heterogeneity-audit"/>
      <w:r>
        <w:t xml:space="preserve">5.1 RQ1: Representation Heterogeneity Audit</w:t>
      </w:r>
      <w:bookmarkEnd w:id="37"/>
    </w:p>
    <w:p>
      <w:pPr>
        <w:pStyle w:val="FirstParagraph"/>
      </w:pPr>
      <w:r>
        <w:t xml:space="preserve">We first extract subject-level representations and test whether corpus,</w:t>
      </w:r>
      <w:r>
        <w:t xml:space="preserve"> </w:t>
      </w:r>
      <w:r>
        <w:t xml:space="preserve">protocol, task, or question-position identity remains recoverable. BGE-M3 is</w:t>
      </w:r>
      <w:r>
        <w:t xml:space="preserve"> </w:t>
      </w:r>
      <w:r>
        <w:t xml:space="preserve">the primary multilingual text feature contract</w:t>
      </w:r>
      <w:r>
        <w:t xml:space="preserve"> </w:t>
      </w:r>
      <w:r>
        <w:t xml:space="preserve">(Beijing Academy of Artificial Intelligence 2026)</w:t>
      </w:r>
      <w:r>
        <w:t xml:space="preserve">, with</w:t>
      </w:r>
      <w:r>
        <w:t xml:space="preserve"> </w:t>
      </w:r>
      <w:r>
        <w:t xml:space="preserve">multilingual-E5-base as an independent sensitivity encoder</w:t>
      </w:r>
      <w:r>
        <w:t xml:space="preserve"> </w:t>
      </w:r>
      <w:r>
        <w:t xml:space="preserve">(Wang et al. 2024)</w:t>
      </w:r>
      <w:r>
        <w:t xml:space="preserve">. Both remain frozen. Audio and visual analyses</w:t>
      </w:r>
      <w:r>
        <w:t xml:space="preserve"> </w:t>
      </w:r>
      <w:r>
        <w:t xml:space="preserve">use frozen WavLM, eGeMAPS, OpenFace, or existing challenge features where</w:t>
      </w:r>
      <w:r>
        <w:t xml:space="preserve"> </w:t>
      </w:r>
      <w:r>
        <w:t xml:space="preserve">available.</w:t>
      </w:r>
    </w:p>
    <w:p>
      <w:pPr>
        <w:pStyle w:val="BodyText"/>
      </w:pPr>
      <w:r>
        <w:t xml:space="preserve">To stress the foundation-model objection, we add a stronger text slice with</w:t>
      </w:r>
      <w:r>
        <w:t xml:space="preserve"> </w:t>
      </w:r>
      <w:r>
        <w:t xml:space="preserve">frozen Qwen3-Embedding-0.6B transcript representations</w:t>
      </w:r>
      <w:r>
        <w:t xml:space="preserve"> </w:t>
      </w:r>
      <w:r>
        <w:t xml:space="preserve">(Y. Zhang et al. 2025)</w:t>
      </w:r>
      <w:r>
        <w:t xml:space="preserve">. We also include a lightweight multimodal completion</w:t>
      </w:r>
      <w:r>
        <w:t xml:space="preserve"> </w:t>
      </w:r>
      <w:r>
        <w:t xml:space="preserve">slice using WavLM and wav2vec2 subject features as audio foundation proxies</w:t>
      </w:r>
      <w:r>
        <w:t xml:space="preserve"> </w:t>
      </w:r>
      <w:r>
        <w:t xml:space="preserve">(Chen et al. 2022; Baevski et al. 2020)</w:t>
      </w:r>
      <w:r>
        <w:t xml:space="preserve">, OpenFace subject statistics as a video</w:t>
      </w:r>
      <w:r>
        <w:t xml:space="preserve"> </w:t>
      </w:r>
      <w:r>
        <w:t xml:space="preserve">proxy, and text-audio-video fusion views. These representations are kept</w:t>
      </w:r>
      <w:r>
        <w:t xml:space="preserve"> </w:t>
      </w:r>
      <w:r>
        <w:t xml:space="preserve">frozen to isolate whether target-side contracts matter after reasonably strong</w:t>
      </w:r>
      <w:r>
        <w:t xml:space="preserve"> </w:t>
      </w:r>
      <w:r>
        <w:t xml:space="preserve">and multimodal feature extraction.</w:t>
      </w:r>
    </w:p>
    <w:p>
      <w:pPr>
        <w:pStyle w:val="BodyText"/>
      </w:pPr>
      <w:r>
        <w:t xml:space="preserve">For each representation family, lightweight identity probes predict dataset or</w:t>
      </w:r>
      <w:r>
        <w:t xml:space="preserve"> </w:t>
      </w:r>
      <w:r>
        <w:t xml:space="preserve">protocol labels. Balanced accuracy is used because corpus sizes differ. High</w:t>
      </w:r>
      <w:r>
        <w:t xml:space="preserve"> </w:t>
      </w:r>
      <w:r>
        <w:t xml:space="preserve">identity recovery is interpreted as corpus imprinting, not as proof that a</w:t>
      </w:r>
      <w:r>
        <w:t xml:space="preserve"> </w:t>
      </w:r>
      <w:r>
        <w:t xml:space="preserve">feature is useless. The modeling implication is simply that pooled or aligned</w:t>
      </w:r>
      <w:r>
        <w:t xml:space="preserve"> </w:t>
      </w:r>
      <w:r>
        <w:t xml:space="preserve">representations need downstream target validation.</w:t>
      </w:r>
    </w:p>
    <w:p>
      <w:pPr>
        <w:pStyle w:val="Heading3"/>
      </w:pPr>
      <w:bookmarkStart w:id="38" w:name="rq2-measurement-discrepancy-design"/>
      <w:r>
        <w:t xml:space="preserve">5.2 RQ2: Measurement-Discrepancy Design</w:t>
      </w:r>
      <w:bookmarkEnd w:id="38"/>
    </w:p>
    <w:p>
      <w:pPr>
        <w:pStyle w:val="FirstParagraph"/>
      </w:pPr>
      <w:r>
        <w:t xml:space="preserve">The measurement audit asks whether nominally aligned clinical targets preserve</w:t>
      </w:r>
      <w:r>
        <w:t xml:space="preserve"> </w:t>
      </w:r>
      <w:r>
        <w:t xml:space="preserve">comparable response mechanisms. We organize the analysis as three</w:t>
      </w:r>
      <w:r>
        <w:t xml:space="preserve"> </w:t>
      </w:r>
      <w:r>
        <w:t xml:space="preserve">pre-specified discrepancy settings rather than a pass/fail invariance test.</w:t>
      </w:r>
      <w:r>
        <w:t xml:space="preserve"> </w:t>
      </w:r>
      <w:r>
        <w:t xml:space="preserve">The resulting pattern is descriptive: it summarizes how the audited pairs</w:t>
      </w:r>
      <w:r>
        <w:t xml:space="preserve"> </w:t>
      </w:r>
      <w:r>
        <w:t xml:space="preserve">behave, without assigning the differences to a single causal factor.</w:t>
      </w:r>
    </w:p>
    <w:p>
      <w:pPr>
        <w:pStyle w:val="BodyText"/>
      </w:pPr>
      <w:r>
        <w:rPr>
          <w:b/>
        </w:rPr>
        <w:t xml:space="preserve">DAIC-WOZ to E-DAIC</w:t>
      </w:r>
      <w:r>
        <w:t xml:space="preserve"> </w:t>
      </w:r>
      <w:r>
        <w:t xml:space="preserve">is the same-lineage PHQ-8 control. Both views come from</w:t>
      </w:r>
      <w:r>
        <w:t xml:space="preserve"> </w:t>
      </w:r>
      <w:r>
        <w:t xml:space="preserve">the DAIC interview family and use PHQ-8. This comparison calibrates the lower</w:t>
      </w:r>
      <w:r>
        <w:t xml:space="preserve"> </w:t>
      </w:r>
      <w:r>
        <w:t xml:space="preserve">end of the discrepancy scale: when the lineage, language, protocol, and scale</w:t>
      </w:r>
      <w:r>
        <w:t xml:space="preserve"> </w:t>
      </w:r>
      <w:r>
        <w:t xml:space="preserve">are closely aligned, the measurement audit should find only small differences.</w:t>
      </w:r>
    </w:p>
    <w:p>
      <w:pPr>
        <w:pStyle w:val="BodyText"/>
      </w:pPr>
      <w:r>
        <w:rPr>
          <w:b/>
        </w:rPr>
        <w:t xml:space="preserve">E-DAIC to CMDC</w:t>
      </w:r>
      <w:r>
        <w:t xml:space="preserve"> </w:t>
      </w:r>
      <w:r>
        <w:t xml:space="preserve">is the primary PHQ shared-item comparison. E-DAIC provides</w:t>
      </w:r>
      <w:r>
        <w:t xml:space="preserve"> </w:t>
      </w:r>
      <w:r>
        <w:t xml:space="preserve">PHQ-8 and CMDC provides PHQ-9, so the analysis is restricted to the eight</w:t>
      </w:r>
      <w:r>
        <w:t xml:space="preserve"> </w:t>
      </w:r>
      <w:r>
        <w:t xml:space="preserve">shared symptoms. We report item response distributions, means and variances,</w:t>
      </w:r>
      <w:r>
        <w:t xml:space="preserve"> </w:t>
      </w:r>
      <w:r>
        <w:t xml:space="preserve">category proportions, and item-excluded severity-conditioned response patterns.</w:t>
      </w:r>
      <w:r>
        <w:t xml:space="preserve"> </w:t>
      </w:r>
      <w:r>
        <w:t xml:space="preserve">For the severity-conditioned analysis, the conditioning score excludes the item</w:t>
      </w:r>
      <w:r>
        <w:t xml:space="preserve"> </w:t>
      </w:r>
      <w:r>
        <w:t xml:space="preserve">being tested, normalizes the remaining seven-item total, and bins subjects into</w:t>
      </w:r>
      <w:r>
        <w:t xml:space="preserve"> </w:t>
      </w:r>
      <w:r>
        <w:t xml:space="preserve">pooled low, middle, and high severity strata. We compare item means and category</w:t>
      </w:r>
      <w:r>
        <w:t xml:space="preserve"> </w:t>
      </w:r>
      <w:r>
        <w:t xml:space="preserve">probabilities only for non-sparse cells, so the result describes response</w:t>
      </w:r>
      <w:r>
        <w:t xml:space="preserve"> </w:t>
      </w:r>
      <w:r>
        <w:t xml:space="preserve">behavior at comparable observed severity rather than simply restating total</w:t>
      </w:r>
      <w:r>
        <w:t xml:space="preserve"> </w:t>
      </w:r>
      <w:r>
        <w:t xml:space="preserve">score differences.</w:t>
      </w:r>
    </w:p>
    <w:p>
      <w:pPr>
        <w:pStyle w:val="BodyText"/>
      </w:pPr>
      <w:r>
        <w:t xml:space="preserve">These descriptive analyses are paired with bounded psychometric evidence. The</w:t>
      </w:r>
      <w:r>
        <w:t xml:space="preserve"> </w:t>
      </w:r>
      <w:r>
        <w:t xml:space="preserve">approximate configural screen is passed only when both corpora show acceptable</w:t>
      </w:r>
      <w:r>
        <w:t xml:space="preserve"> </w:t>
      </w:r>
      <w:r>
        <w:t xml:space="preserve">internal consistency, a dominant first factor, positive item loadings, and</w:t>
      </w:r>
      <w:r>
        <w:t xml:space="preserve"> </w:t>
      </w:r>
      <w:r>
        <w:t xml:space="preserve">cross-corpus loading congruence at least 0.95. In implementation, this means</w:t>
      </w:r>
      <w:r>
        <w:t xml:space="preserve"> </w:t>
      </w:r>
      <w:r>
        <w:t xml:space="preserve">Cronbach’s alpha at least 0.70, first-to-second eigenvalue ratio at least 2.0,</w:t>
      </w:r>
      <w:r>
        <w:t xml:space="preserve"> </w:t>
      </w:r>
      <w:r>
        <w:t xml:space="preserve">and minimum first-factor loading at least 0.25 in each corpus. Item-level</w:t>
      </w:r>
      <w:r>
        <w:t xml:space="preserve"> </w:t>
      </w:r>
      <w:r>
        <w:t xml:space="preserve">metric support is defined by absolute loading difference at most 0.20.</w:t>
      </w:r>
      <w:r>
        <w:t xml:space="preserve"> </w:t>
      </w:r>
      <w:r>
        <w:t xml:space="preserve">Threshold support is tested by three ordinal-logit threshold screens per item,</w:t>
      </w:r>
      <w:r>
        <w:t xml:space="preserve"> </w:t>
      </w:r>
      <w:r>
        <w:t xml:space="preserve">using the leave-one-item-out severity score as the conditioning variable; an</w:t>
      </w:r>
      <w:r>
        <w:t xml:space="preserve"> </w:t>
      </w:r>
      <w:r>
        <w:t xml:space="preserve">item is a threshold anchor only when all available threshold-location</w:t>
      </w:r>
      <w:r>
        <w:t xml:space="preserve"> </w:t>
      </w:r>
      <w:r>
        <w:t xml:space="preserve">differences are at most 0.35. Candidate anchors must satisfy both metric and</w:t>
      </w:r>
      <w:r>
        <w:t xml:space="preserve"> </w:t>
      </w:r>
      <w:r>
        <w:t xml:space="preserve">threshold support, and the partial-invariance screen requires at least four</w:t>
      </w:r>
      <w:r>
        <w:t xml:space="preserve"> </w:t>
      </w:r>
      <w:r>
        <w:t xml:space="preserve">anchors.</w:t>
      </w:r>
    </w:p>
    <w:p>
      <w:pPr>
        <w:pStyle w:val="BodyText"/>
      </w:pPr>
      <w:r>
        <w:t xml:space="preserve">We then fit a label-only multi-group graded-response confirmation over the same</w:t>
      </w:r>
      <w:r>
        <w:t xml:space="preserve"> </w:t>
      </w:r>
      <w:r>
        <w:t xml:space="preserve">eight shared items. The model ladder compares configural, metric,</w:t>
      </w:r>
      <w:r>
        <w:t xml:space="preserve"> </w:t>
      </w:r>
      <w:r>
        <w:t xml:space="preserve">scalar/threshold, and partial-anchor specifications; item-level DIF is flagged</w:t>
      </w:r>
      <w:r>
        <w:t xml:space="preserve"> </w:t>
      </w:r>
      <w:r>
        <w:t xml:space="preserve">only when freeing an item’s loading or thresholds improves fit by both the</w:t>
      </w:r>
      <w:r>
        <w:t xml:space="preserve"> </w:t>
      </w:r>
      <w:r>
        <w:t xml:space="preserve">likelihood-ratio criterion (</w:t>
      </w:r>
      <m:oMath>
        <m:r>
          <m:t>p</m:t>
        </m:r>
        <m:r>
          <m:t>&lt;</m:t>
        </m:r>
        <m:r>
          <m:t>0.01</m:t>
        </m:r>
      </m:oMath>
      <w:r>
        <w:t xml:space="preserve">) and a BIC improvement greater than 2.0.</w:t>
      </w:r>
      <w:r>
        <w:t xml:space="preserve"> </w:t>
      </w:r>
      <w:r>
        <w:t xml:space="preserve">The implementation uses</w:t>
      </w:r>
      <w:r>
        <w:t xml:space="preserve"> </w:t>
      </w:r>
      <w:r>
        <w:rPr>
          <w:rStyle w:val="VerbatimChar"/>
        </w:rPr>
        <w:t xml:space="preserve">mirt</w:t>
      </w:r>
      <w:r>
        <w:t xml:space="preserve"> </w:t>
      </w:r>
      <w:r>
        <w:t xml:space="preserve">multiple-group estimation and anchor constraints</w:t>
      </w:r>
      <w:r>
        <w:t xml:space="preserve"> </w:t>
      </w:r>
      <w:r>
        <w:t xml:space="preserve">(Chalmers and contributors 2026)</w:t>
      </w:r>
      <w:r>
        <w:t xml:space="preserve">.</w:t>
      </w:r>
      <w:r>
        <w:t xml:space="preserve"> </w:t>
      </w:r>
      <w:r>
        <w:t xml:space="preserve">Because the observed E-DAIC/CMDC item-labeled sample sizes are modest and</w:t>
      </w:r>
      <w:r>
        <w:t xml:space="preserve"> </w:t>
      </w:r>
      <w:r>
        <w:t xml:space="preserve">imbalanced, we also run a finite-sample simulation that preserves each</w:t>
      </w:r>
      <w:r>
        <w:t xml:space="preserve"> </w:t>
      </w:r>
      <w:r>
        <w:t xml:space="preserve">corpus’s observed sample size and severity composition. The simulation</w:t>
      </w:r>
      <w:r>
        <w:t xml:space="preserve"> </w:t>
      </w:r>
      <w:r>
        <w:t xml:space="preserve">contrasts a scalar invariant world with an observed-like C02/C06 threshold-DIF</w:t>
      </w:r>
      <w:r>
        <w:t xml:space="preserve"> </w:t>
      </w:r>
      <w:r>
        <w:t xml:space="preserve">world and reports false-localization, recovery, and anchor-recovery rates. This</w:t>
      </w:r>
      <w:r>
        <w:t xml:space="preserve"> </w:t>
      </w:r>
      <w:r>
        <w:t xml:space="preserve">bounds the evidential weight of localized threshold shifts under the observed</w:t>
      </w:r>
      <w:r>
        <w:t xml:space="preserve"> </w:t>
      </w:r>
      <w:r>
        <w:t xml:space="preserve">sample sizes.</w:t>
      </w:r>
    </w:p>
    <w:p>
      <w:pPr>
        <w:pStyle w:val="BodyText"/>
      </w:pPr>
      <w:r>
        <w:rPr>
          <w:b/>
        </w:rPr>
        <w:t xml:space="preserve">CMDC to PDCH</w:t>
      </w:r>
      <w:r>
        <w:t xml:space="preserve"> </w:t>
      </w:r>
      <w:r>
        <w:t xml:space="preserve">is the exploratory same-HAMD comparison. Both corpora provide</w:t>
      </w:r>
      <w:r>
        <w:t xml:space="preserve"> </w:t>
      </w:r>
      <w:r>
        <w:t xml:space="preserve">HAMD-17 item supervision, but the CMDC HAMD sample is small. We therefore use</w:t>
      </w:r>
      <w:r>
        <w:t xml:space="preserve"> </w:t>
      </w:r>
      <w:r>
        <w:t xml:space="preserve">item distributions, item-excluded severity-conditioned responses, and</w:t>
      </w:r>
      <w:r>
        <w:t xml:space="preserve"> </w:t>
      </w:r>
      <w:r>
        <w:t xml:space="preserve">correlation-structure differences, rather than a formal HAMD MIM, IRT, or DIF</w:t>
      </w:r>
      <w:r>
        <w:t xml:space="preserve"> </w:t>
      </w:r>
      <w:r>
        <w:t xml:space="preserve">model. Its role is to strengthen the scale-form argument: the measurement</w:t>
      </w:r>
      <w:r>
        <w:t xml:space="preserve"> </w:t>
      </w:r>
      <w:r>
        <w:t xml:space="preserve">question is not only a PHQ-8 versus PHQ-9 artifact.</w:t>
      </w:r>
    </w:p>
    <w:p>
      <w:pPr>
        <w:pStyle w:val="Heading3"/>
      </w:pPr>
      <w:bookmarkStart w:id="39" w:name="rq3-prediction-consequence-audit"/>
      <w:r>
        <w:t xml:space="preserve">5.3 RQ3: Prediction Consequence Audit</w:t>
      </w:r>
      <w:bookmarkEnd w:id="39"/>
    </w:p>
    <w:p>
      <w:pPr>
        <w:pStyle w:val="FirstParagraph"/>
      </w:pPr>
      <w:r>
        <w:t xml:space="preserve">The final experiment asks what changes when prediction is forced to respect the</w:t>
      </w:r>
      <w:r>
        <w:t xml:space="preserve"> </w:t>
      </w:r>
      <w:r>
        <w:t xml:space="preserve">target contract. We compare direct observed-label prediction against latent</w:t>
      </w:r>
      <w:r>
        <w:t xml:space="preserve"> </w:t>
      </w:r>
      <w:r>
        <w:t xml:space="preserve">target prediction and corpus-specific reconstruction: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t>→</m:t>
          </m:r>
          <m:acc>
            <m:accPr>
              <m:chr m:val="̂"/>
            </m:accPr>
            <m:e>
              <m:r>
                <m:t>θ</m:t>
              </m:r>
            </m:e>
          </m:acc>
          <m:r>
            <m:t>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D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The direct baselines predict observed PHQ or HAMD labels from the same frozen</w:t>
      </w:r>
      <w:r>
        <w:t xml:space="preserve"> </w:t>
      </w:r>
      <w:r>
        <w:t xml:space="preserve">feature contracts. The main zero-target-label comparison includes ERM,</w:t>
      </w:r>
      <w:r>
        <w:t xml:space="preserve"> </w:t>
      </w:r>
      <w:r>
        <w:t xml:space="preserve">DANN-style adversarial learning</w:t>
      </w:r>
      <w:r>
        <w:t xml:space="preserve"> </w:t>
      </w:r>
      <w:r>
        <w:t xml:space="preserve">(Ganin et al. 2016)</w:t>
      </w:r>
      <w:r>
        <w:t xml:space="preserve">, CORAL</w:t>
      </w:r>
      <w:r>
        <w:t xml:space="preserve"> </w:t>
      </w:r>
      <w:r>
        <w:t xml:space="preserve">(Sun, Feng, and Saenko 2016)</w:t>
      </w:r>
      <w:r>
        <w:t xml:space="preserve">,</w:t>
      </w:r>
      <w:r>
        <w:t xml:space="preserve"> </w:t>
      </w:r>
      <w:r>
        <w:t xml:space="preserve">and MMD/DAN-style distribution matching</w:t>
      </w:r>
      <w:r>
        <w:t xml:space="preserve"> </w:t>
      </w:r>
      <w:r>
        <w:t xml:space="preserve">(Long et al. 2015)</w:t>
      </w:r>
      <w:r>
        <w:t xml:space="preserve">, together with the</w:t>
      </w:r>
      <w:r>
        <w:t xml:space="preserve"> </w:t>
      </w:r>
      <w:r>
        <w:t xml:space="preserve">strongest direct foundation baseline selected from the same representation</w:t>
      </w:r>
      <w:r>
        <w:t xml:space="preserve"> </w:t>
      </w:r>
      <w:r>
        <w:t xml:space="preserve">contract. IRM-style environment pressure</w:t>
      </w:r>
      <w:r>
        <w:t xml:space="preserve"> </w:t>
      </w:r>
      <w:r>
        <w:t xml:space="preserve">(Arjovsky et al. 2019)</w:t>
      </w:r>
      <w:r>
        <w:t xml:space="preserve"> </w:t>
      </w:r>
      <w:r>
        <w:t xml:space="preserve">and</w:t>
      </w:r>
      <w:r>
        <w:t xml:space="preserve"> </w:t>
      </w:r>
      <w:r>
        <w:t xml:space="preserve">GroupDRO-style robustness</w:t>
      </w:r>
      <w:r>
        <w:t xml:space="preserve"> </w:t>
      </w:r>
      <w:r>
        <w:t xml:space="preserve">(Sagawa et al. 2019)</w:t>
      </w:r>
      <w:r>
        <w:t xml:space="preserve"> </w:t>
      </w:r>
      <w:r>
        <w:t xml:space="preserve">are used as supplementary</w:t>
      </w:r>
      <w:r>
        <w:t xml:space="preserve"> </w:t>
      </w:r>
      <w:r>
        <w:t xml:space="preserve">stress baselines rather than main-table competitors. These baselines mainly</w:t>
      </w:r>
      <w:r>
        <w:t xml:space="preserve"> </w:t>
      </w:r>
      <w:r>
        <w:t xml:space="preserve">test whether feature alignment alone is enough.</w:t>
      </w:r>
    </w:p>
    <w:p>
      <w:pPr>
        <w:pStyle w:val="BodyText"/>
      </w:pPr>
      <w:r>
        <w:t xml:space="preserve">The formal measurement-aware variants use the fixed ordinal architecture from</w:t>
      </w:r>
      <w:r>
        <w:t xml:space="preserve"> </w:t>
      </w:r>
      <w:r>
        <w:t xml:space="preserve">Section 3.2.</w:t>
      </w:r>
      <w:r>
        <w:t xml:space="preserve"> </w:t>
      </w:r>
      <w:r>
        <w:rPr>
          <w:rStyle w:val="VerbatimChar"/>
        </w:rPr>
        <w:t xml:space="preserve">Latent-only</w:t>
      </w:r>
      <w:r>
        <w:t xml:space="preserve"> </w:t>
      </w:r>
      <w:r>
        <w:t xml:space="preserve">learns the shared symptom layer on the source corpus</w:t>
      </w:r>
      <w:r>
        <w:t xml:space="preserve"> </w:t>
      </w:r>
      <w:r>
        <w:t xml:space="preserve">and scores target subjects through the source ordinal head. In the</w:t>
      </w:r>
      <w:r>
        <w:t xml:space="preserve"> </w:t>
      </w:r>
      <w:r>
        <w:t xml:space="preserve">target-calibrated block,</w:t>
      </w:r>
      <w:r>
        <w:t xml:space="preserve"> </w:t>
      </w:r>
      <w:r>
        <w:rPr>
          <w:rStyle w:val="VerbatimChar"/>
        </w:rPr>
        <w:t xml:space="preserve">Corpus-specific head</w:t>
      </w:r>
      <w:r>
        <w:t xml:space="preserve"> </w:t>
      </w:r>
      <w:r>
        <w:t xml:space="preserve">freezes the source-trained</w:t>
      </w:r>
      <w:r>
        <w:t xml:space="preserve"> </w:t>
      </w:r>
      <w:r>
        <w:t xml:space="preserve">symptom layer and fits only the target ordinal head on a calibration subset;</w:t>
      </w:r>
      <w:r>
        <w:t xml:space="preserve"> </w:t>
      </w:r>
      <w:r>
        <w:t xml:space="preserve">this is retained as a weak legacy comparator, not as the identifying ablation</w:t>
      </w:r>
      <w:r>
        <w:t xml:space="preserve"> </w:t>
      </w:r>
      <w:r>
        <w:t xml:space="preserve">for the target measurement pathway. The fair calibrated baselines are designed</w:t>
      </w:r>
      <w:r>
        <w:t xml:space="preserve"> </w:t>
      </w:r>
      <w:r>
        <w:t xml:space="preserve">to separate representation adaptation from measurement parameterization.</w:t>
      </w:r>
      <w:r>
        <w:t xml:space="preserve"> </w:t>
      </w:r>
      <w:r>
        <w:rPr>
          <w:rStyle w:val="VerbatimChar"/>
        </w:rPr>
        <w:t xml:space="preserve">Direct target fine-tune</w:t>
      </w:r>
      <w:r>
        <w:t xml:space="preserve"> </w:t>
      </w:r>
      <w:r>
        <w:t xml:space="preserve">warm-starts a direct item regressor on the source</w:t>
      </w:r>
      <w:r>
        <w:t xml:space="preserve"> </w:t>
      </w:r>
      <w:r>
        <w:t xml:space="preserve">corpus and then updates the same trainable shared layers using target</w:t>
      </w:r>
      <w:r>
        <w:t xml:space="preserve"> </w:t>
      </w:r>
      <w:r>
        <w:t xml:space="preserve">calibration labels, without a corpus-specific ordinal formulation.</w:t>
      </w:r>
      <w:r>
        <w:t xml:space="preserve"> </w:t>
      </w:r>
      <w:r>
        <w:rPr>
          <w:rStyle w:val="VerbatimChar"/>
        </w:rPr>
        <w:t xml:space="preserve">Direct source+target multitask</w:t>
      </w:r>
      <w:r>
        <w:t xml:space="preserve"> </w:t>
      </w:r>
      <w:r>
        <w:t xml:space="preserve">uses the same direct item head while jointly optimizing</w:t>
      </w:r>
      <w:r>
        <w:t xml:space="preserve"> </w:t>
      </w:r>
      <w:r>
        <w:t xml:space="preserve">source reconstruction and target calibration reconstruction.</w:t>
      </w:r>
      <w:r>
        <w:t xml:space="preserve"> </w:t>
      </w:r>
      <w:r>
        <w:rPr>
          <w:rStyle w:val="VerbatimChar"/>
        </w:rPr>
        <w:t xml:space="preserve">Shared ordinal head</w:t>
      </w:r>
      <w:r>
        <w:t xml:space="preserve"> </w:t>
      </w:r>
      <w:r>
        <w:t xml:space="preserve">uses the same training schedule and trainable parameter classes as</w:t>
      </w:r>
      <w:r>
        <w:t xml:space="preserve"> </w:t>
      </w:r>
      <w:r>
        <w:rPr>
          <w:rStyle w:val="VerbatimChar"/>
        </w:rPr>
        <w:t xml:space="preserve">Measurement-aware</w:t>
      </w:r>
      <w:r>
        <w:t xml:space="preserve">, but forces source and target to share a single ordinal</w:t>
      </w:r>
      <w:r>
        <w:t xml:space="preserve"> </w:t>
      </w:r>
      <w:r>
        <w:t xml:space="preserve">head.</w:t>
      </w:r>
      <w:r>
        <w:t xml:space="preserve"> </w:t>
      </w:r>
      <w:r>
        <w:rPr>
          <w:rStyle w:val="VerbatimChar"/>
        </w:rPr>
        <w:t xml:space="preserve">Generic target MLP head</w:t>
      </w:r>
      <w:r>
        <w:t xml:space="preserve"> </w:t>
      </w:r>
      <w:r>
        <w:t xml:space="preserve">allows target labels to update the projector and</w:t>
      </w:r>
      <w:r>
        <w:t xml:space="preserve"> </w:t>
      </w:r>
      <w:r>
        <w:t xml:space="preserve">symptom layers with corpus-specific non-ordinal MLP item heads.</w:t>
      </w:r>
      <w:r>
        <w:t xml:space="preserve"> </w:t>
      </w:r>
      <w:r>
        <w:rPr>
          <w:rStyle w:val="VerbatimChar"/>
        </w:rPr>
        <w:t xml:space="preserve">Measurement-aware</w:t>
      </w:r>
      <w:r>
        <w:t xml:space="preserve"> </w:t>
      </w:r>
      <w:r>
        <w:t xml:space="preserve">jointly optimizes source ordinal reconstruction and target calibration ordinal</w:t>
      </w:r>
      <w:r>
        <w:t xml:space="preserve"> </w:t>
      </w:r>
      <w:r>
        <w:t xml:space="preserve">reconstruction with corpus-specific cumulative-logit ordinal heads after source</w:t>
      </w:r>
      <w:r>
        <w:t xml:space="preserve"> </w:t>
      </w:r>
      <w:r>
        <w:t xml:space="preserve">warm-start and target-head initialization.</w:t>
      </w:r>
      <w:r>
        <w:t xml:space="preserve"> </w:t>
      </w:r>
      <w:r>
        <w:rPr>
          <w:rStyle w:val="VerbatimChar"/>
        </w:rPr>
        <w:t xml:space="preserve">Measurement-aware + MMD</w:t>
      </w:r>
      <w:r>
        <w:t xml:space="preserve"> </w:t>
      </w:r>
      <w:r>
        <w:t xml:space="preserve">adds the</w:t>
      </w:r>
      <w:r>
        <w:t xml:space="preserve"> </w:t>
      </w:r>
      <w:r>
        <w:t xml:space="preserve">auxiliary shared-symptom MMD term. The co-primary metrics are</w:t>
      </w:r>
      <w:r>
        <w:t xml:space="preserve"> </w:t>
      </w:r>
      <w:r>
        <w:t xml:space="preserve">Macro Item MAE and Calibration MAE. Their sum is reported as a compact</w:t>
      </w:r>
      <w:r>
        <w:t xml:space="preserve"> </w:t>
      </w:r>
      <w:r>
        <w:t xml:space="preserve">reconstruction-plus-calibration summary, but the interpretation does not rely</w:t>
      </w:r>
      <w:r>
        <w:t xml:space="preserve"> </w:t>
      </w:r>
      <w:r>
        <w:t xml:space="preserve">on a new clinical scale or on a claimed 1:1 trade-off between item error and</w:t>
      </w:r>
      <w:r>
        <w:t xml:space="preserve"> </w:t>
      </w:r>
      <w:r>
        <w:t xml:space="preserve">calibration gap; this is separate from neural probability calibration in the</w:t>
      </w:r>
      <w:r>
        <w:t xml:space="preserve"> </w:t>
      </w:r>
      <w:r>
        <w:t xml:space="preserve">usual classification sense</w:t>
      </w:r>
      <w:r>
        <w:t xml:space="preserve"> </w:t>
      </w:r>
      <w:r>
        <w:t xml:space="preserve">(Guo et al. 2017)</w:t>
      </w:r>
      <w:r>
        <w:t xml:space="preserve">.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shared items and</w:t>
      </w:r>
      <w:r>
        <w:t xml:space="preserve"> </w:t>
      </w:r>
      <w:r>
        <w:t xml:space="preserve">target subjects</w:t>
      </w:r>
      <w:r>
        <w:t xml:space="preserve"> </w:t>
      </w:r>
      <m:oMath>
        <m:r>
          <m:t>i</m:t>
        </m:r>
        <m:r>
          <m:t>=</m:t>
        </m:r>
        <m:r>
          <m:t>1</m:t>
        </m:r>
        <m:r>
          <m:t>,</m:t>
        </m:r>
        <m:r>
          <m:t>…</m:t>
        </m:r>
        <m: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Macro Item MAE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nary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d>
            </m:e>
          </m:nary>
          <m:r>
            <m:t>.</m:t>
          </m:r>
        </m:oMath>
      </m:oMathPara>
    </w:p>
    <w:p>
      <w:pPr>
        <w:pStyle w:val="FirstParagraph"/>
      </w:pPr>
      <w:r>
        <w:t xml:space="preserve">Calibration MAE bins subjects into five equal-frequency predicted-severity</w:t>
      </w:r>
      <w:r>
        <w:t xml:space="preserve"> </w:t>
      </w:r>
      <w:r>
        <w:t xml:space="preserve">bins using predicted total score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, then</w:t>
      </w:r>
      <w:r>
        <w:t xml:space="preserve"> </w:t>
      </w:r>
      <w:r>
        <w:t xml:space="preserve">computes the weighted absolute gap between predicted and observed mean total</w:t>
      </w:r>
      <w:r>
        <w:t xml:space="preserve"> </w:t>
      </w:r>
      <w:r>
        <w:t xml:space="preserve">score: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E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b</m:t>
              </m:r>
              <m: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</m:nary>
          <m:d>
            <m:dPr>
              <m:begChr m:val="|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  <m:r>
                    <m:t>∈</m:t>
                  </m:r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t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  <m:r>
                    <m:t>∈</m:t>
                  </m:r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.</m:t>
          </m:r>
        </m:oMath>
      </m:oMathPara>
    </w:p>
    <w:p>
      <w:pPr>
        <w:pStyle w:val="FirstParagraph"/>
      </w:pPr>
      <w:r>
        <w:t xml:space="preserve">Target calibration is fixed before model comparison. For each transfer</w:t>
      </w:r>
      <w:r>
        <w:t xml:space="preserve"> </w:t>
      </w:r>
      <w:r>
        <w:t xml:space="preserve">direction and seed, target subjects are split once into calibration and</w:t>
      </w:r>
      <w:r>
        <w:t xml:space="preserve"> </w:t>
      </w:r>
      <w:r>
        <w:t xml:space="preserve">evaluation partitions using stratified sampling over shared-PHQ total severity</w:t>
      </w:r>
      <w:r>
        <w:t xml:space="preserve"> </w:t>
      </w:r>
      <w:r>
        <w:t xml:space="preserve">groups. The calibration size is 30 percent of the available target subjects</w:t>
      </w:r>
      <w:r>
        <w:t xml:space="preserve"> </w:t>
      </w:r>
      <w:r>
        <w:t xml:space="preserve">with a minimum of 24, capped so that at least 35 percent, and at least 12</w:t>
      </w:r>
      <w:r>
        <w:t xml:space="preserve"> </w:t>
      </w:r>
      <w:r>
        <w:t xml:space="preserve">subjects, remain for evaluation. Under the official multimodal feature view,</w:t>
      </w:r>
      <w:r>
        <w:t xml:space="preserve"> </w:t>
      </w:r>
      <w:r>
        <w:t xml:space="preserve">this yields 66 labeled E-DAIC calibration subjects and 153 held-out E-DAIC</w:t>
      </w:r>
      <w:r>
        <w:t xml:space="preserve"> </w:t>
      </w:r>
      <w:r>
        <w:t xml:space="preserve">evaluation subjects when transferring from CMDC to E-DAIC, and 24 labeled CMDC</w:t>
      </w:r>
      <w:r>
        <w:t xml:space="preserve"> </w:t>
      </w:r>
      <w:r>
        <w:t xml:space="preserve">calibration subjects with 20 held-out CMDC evaluation subjects when</w:t>
      </w:r>
      <w:r>
        <w:t xml:space="preserve"> </w:t>
      </w:r>
      <w:r>
        <w:t xml:space="preserve">transferring from E-DAIC to CMDC. The five seeds change both the stratified</w:t>
      </w:r>
      <w:r>
        <w:t xml:space="preserve"> </w:t>
      </w:r>
      <w:r>
        <w:t xml:space="preserve">target calibration/evaluation split and neural initialization. Hyperparameters,</w:t>
      </w:r>
      <w:r>
        <w:t xml:space="preserve"> </w:t>
      </w:r>
      <w:r>
        <w:t xml:space="preserve">feature contracts, source data, and the target-label budget are fixed across</w:t>
      </w:r>
      <w:r>
        <w:t xml:space="preserve"> </w:t>
      </w:r>
      <w:r>
        <w:t xml:space="preserve">methods within each supervision regime, and no target evaluation labels are</w:t>
      </w:r>
      <w:r>
        <w:t xml:space="preserve"> </w:t>
      </w:r>
      <w:r>
        <w:t xml:space="preserve">used for model selection.</w:t>
      </w:r>
    </w:p>
    <w:p>
      <w:pPr>
        <w:pStyle w:val="BodyText"/>
      </w:pPr>
      <w:r>
        <w:t xml:space="preserve">Secondary severity metrics report total-score MAE and concordance correlation</w:t>
      </w:r>
      <w:r>
        <w:t xml:space="preserve"> </w:t>
      </w:r>
      <w:r>
        <w:t xml:space="preserve">coefficient. To make the results legible to the depression-detection</w:t>
      </w:r>
      <w:r>
        <w:t xml:space="preserve"> </w:t>
      </w:r>
      <w:r>
        <w:t xml:space="preserve">literature, we also threshold the predicted shared PHQ total at 10 and report</w:t>
      </w:r>
      <w:r>
        <w:t xml:space="preserve"> </w:t>
      </w:r>
      <w:r>
        <w:t xml:space="preserve">Macro-F1, Balanced Accuracy, AUROC, AUPRC, Sensitivity, and Specificity as a</w:t>
      </w:r>
      <w:r>
        <w:t xml:space="preserve"> </w:t>
      </w:r>
      <w:r>
        <w:t xml:space="preserve">secondary clinical endpoint.</w:t>
      </w:r>
    </w:p>
    <w:p>
      <w:pPr>
        <w:pStyle w:val="BodyText"/>
      </w:pPr>
      <w:r>
        <w:t xml:space="preserve">This design makes bounded results interpretable. If a method reduces output</w:t>
      </w:r>
      <w:r>
        <w:t xml:space="preserve"> </w:t>
      </w:r>
      <w:r>
        <w:t xml:space="preserve">identity but leaves feature identity high, it has changed the target pathway</w:t>
      </w:r>
      <w:r>
        <w:t xml:space="preserve"> </w:t>
      </w:r>
      <w:r>
        <w:t xml:space="preserve">without making the representation invariant. If a feature-alignment baseline</w:t>
      </w:r>
      <w:r>
        <w:t xml:space="preserve"> </w:t>
      </w:r>
      <w:r>
        <w:t xml:space="preserve">improves domain confusion but not observed-scale reconstruction, it has solved</w:t>
      </w:r>
      <w:r>
        <w:t xml:space="preserve"> </w:t>
      </w:r>
      <w:r>
        <w:t xml:space="preserve">only part of the transfer problem. The calibrated ablations separate three</w:t>
      </w:r>
      <w:r>
        <w:t xml:space="preserve"> </w:t>
      </w:r>
      <w:r>
        <w:t xml:space="preserve">target-side effects: whether target labels should update the shared projector</w:t>
      </w:r>
      <w:r>
        <w:t xml:space="preserve"> </w:t>
      </w:r>
      <w:r>
        <w:t xml:space="preserve">and symptom layers, whether an ordinal item model helps beyond generic direct</w:t>
      </w:r>
      <w:r>
        <w:t xml:space="preserve"> </w:t>
      </w:r>
      <w:r>
        <w:t xml:space="preserve">heads, and whether corpus-specific ordinal parameters improve over a shared</w:t>
      </w:r>
      <w:r>
        <w:t xml:space="preserve"> </w:t>
      </w:r>
      <w:r>
        <w:t xml:space="preserve">ordinal head. If the measurement-aware ordinal model improves only over the</w:t>
      </w:r>
      <w:r>
        <w:t xml:space="preserve"> </w:t>
      </w:r>
      <w:r>
        <w:t xml:space="preserve">frozen</w:t>
      </w:r>
      <w:r>
        <w:t xml:space="preserve"> </w:t>
      </w:r>
      <w:r>
        <w:rPr>
          <w:rStyle w:val="VerbatimChar"/>
        </w:rPr>
        <w:t xml:space="preserve">Corpus-specific head</w:t>
      </w:r>
      <w:r>
        <w:t xml:space="preserve">, the gain may reflect target-supervised</w:t>
      </w:r>
      <w:r>
        <w:t xml:space="preserve"> </w:t>
      </w:r>
      <w:r>
        <w:t xml:space="preserve">representation adaptation rather than corpus-specific measurement modeling. We</w:t>
      </w:r>
      <w:r>
        <w:t xml:space="preserve"> </w:t>
      </w:r>
      <w:r>
        <w:t xml:space="preserve">therefore treat target-pathway claims as supported only where the</w:t>
      </w:r>
      <w:r>
        <w:t xml:space="preserve"> </w:t>
      </w:r>
      <w:r>
        <w:t xml:space="preserve">measurement-aware model also improves over calibrated baselines with matched</w:t>
      </w:r>
      <w:r>
        <w:t xml:space="preserve"> </w:t>
      </w:r>
      <w:r>
        <w:t xml:space="preserve">target labels, trainable shared layers, and optimization exposure. Seed-level</w:t>
      </w:r>
      <w:r>
        <w:t xml:space="preserve"> </w:t>
      </w:r>
      <w:r>
        <w:t xml:space="preserve">paired tests on the reconstruction-plus-calibration score are used as</w:t>
      </w:r>
      <w:r>
        <w:t xml:space="preserve"> </w:t>
      </w:r>
      <w:r>
        <w:t xml:space="preserve">descriptive stress checks; participant-level or repeated-split uncertainty</w:t>
      </w:r>
      <w:r>
        <w:t xml:space="preserve"> </w:t>
      </w:r>
      <w:r>
        <w:t xml:space="preserve">would be needed before turning small differences into primary superiority</w:t>
      </w:r>
      <w:r>
        <w:t xml:space="preserve"> </w:t>
      </w:r>
      <w:r>
        <w:t xml:space="preserve">evidence.</w:t>
      </w:r>
    </w:p>
    <w:p>
      <w:pPr>
        <w:pStyle w:val="Heading2"/>
      </w:pPr>
      <w:bookmarkStart w:id="40" w:name="results"/>
      <w:r>
        <w:t xml:space="preserve">6 Results</w:t>
      </w:r>
      <w:bookmarkEnd w:id="40"/>
    </w:p>
    <w:p>
      <w:pPr>
        <w:pStyle w:val="FirstParagraph"/>
      </w:pPr>
      <w:r>
        <w:t xml:space="preserve">We report the results as three validity gates. This keeps the paper’s evidence</w:t>
      </w:r>
      <w:r>
        <w:t xml:space="preserve"> </w:t>
      </w:r>
      <w:r>
        <w:t xml:space="preserve">chain compact: first, whether corpus identity remains visible in learned</w:t>
      </w:r>
      <w:r>
        <w:t xml:space="preserve"> </w:t>
      </w:r>
      <w:r>
        <w:t xml:space="preserve">representations; second, whether clinical targets retain comparable response</w:t>
      </w:r>
      <w:r>
        <w:t xml:space="preserve"> </w:t>
      </w:r>
      <w:r>
        <w:t xml:space="preserve">mechanisms; and third, whether measurement-aware prediction changes the</w:t>
      </w:r>
      <w:r>
        <w:t xml:space="preserve"> </w:t>
      </w:r>
      <w:r>
        <w:t xml:space="preserve">generalization story.</w:t>
      </w:r>
    </w:p>
    <w:p>
      <w:pPr>
        <w:pStyle w:val="BodyText"/>
      </w:pPr>
      <w:r>
        <w:rPr>
          <w:b/>
        </w:rPr>
        <w:t xml:space="preserve">Table 2. Main validity gates and the claim each gate supports.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Main 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Modeling implication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Representation gate</w:t>
            </w:r>
          </w:p>
        </w:tc>
        <w:tc>
          <w:p>
            <w:pPr>
              <w:pStyle w:val="Compact"/>
              <w:jc w:val="left"/>
            </w:pPr>
            <w:r>
              <w:t xml:space="preserve">Raw corpus-identity probes are strong screens, but residual identity is contrast-dependent. E-DAIC/CMDC drops near chance after length and severity controls, while DAIC-lineage identity remains high.</w:t>
            </w:r>
          </w:p>
        </w:tc>
        <w:tc>
          <w:p>
            <w:pPr>
              <w:pStyle w:val="Compact"/>
              <w:jc w:val="left"/>
            </w:pPr>
            <w:r>
              <w:t xml:space="preserve">Representation auditing is necessary, but raw corpus identity alone cannot decide target validity.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Measurement gate</w:t>
            </w:r>
          </w:p>
        </w:tc>
        <w:tc>
          <w:p>
            <w:pPr>
              <w:pStyle w:val="Compact"/>
              <w:jc w:val="left"/>
            </w:pPr>
            <w:r>
              <w:t xml:space="preserve">DAIC-WOZ/E-DAIC shows near-identical same-lineage PHQ-8 behavior, E-DAIC/CMDC shows shared but imperfect PHQ item behavior, and CMDC/PDCH shows exploratory same-HAMD differences.</w:t>
            </w:r>
          </w:p>
        </w:tc>
        <w:tc>
          <w:p>
            <w:pPr>
              <w:pStyle w:val="Compact"/>
              <w:jc w:val="left"/>
            </w:pPr>
            <w:r>
              <w:t xml:space="preserve">Shared symptom evidence can be useful, but observed labels require target contracts; whether the measurement head should be shared or corpus-specific must be tested rather than assumed.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Prediction gate</w:t>
            </w:r>
          </w:p>
        </w:tc>
        <w:tc>
          <w:p>
            <w:pPr>
              <w:pStyle w:val="Compact"/>
              <w:jc w:val="left"/>
            </w:pPr>
            <w:r>
              <w:t xml:space="preserve">Qwen3 and lightweight multimodal stress tests show that stronger features do not erase target-mapping needs; fair calibrated ablations show that the large gain over a frozen-head comparator is largely target-supervised adaptation, while the measurement-aware ordinal pathway is competitive but not uniformly best.</w:t>
            </w:r>
          </w:p>
        </w:tc>
        <w:tc>
          <w:p>
            <w:pPr>
              <w:pStyle w:val="Compact"/>
              <w:jc w:val="left"/>
            </w:pPr>
            <w:r>
              <w:t xml:space="preserve">Stronger encoders and feature-alignment baselines should be paired with explicit target contracts, calibrated adaptation baselines, and calibration-aware evaluation before assigning gains to measurement modeling.</w:t>
            </w:r>
          </w:p>
        </w:tc>
      </w:tr>
    </w:tbl>
    <w:p>
      <w:pPr>
        <w:pStyle w:val="Heading3"/>
      </w:pPr>
      <w:bookmarkStart w:id="41" w:name="Xc6d48015076fd502282123406d8dc9bcaa6c058"/>
      <w:r>
        <w:t xml:space="preserve">6.1 Representation Gate: Raw Identity Is Strong, Residual Identity Is Contrast-Dependent</w:t>
      </w:r>
      <w:bookmarkEnd w:id="41"/>
    </w:p>
    <w:p>
      <w:pPr>
        <w:pStyle w:val="FirstParagraph"/>
      </w:pPr>
      <w:r>
        <w:t xml:space="preserve">The representation gate asks whether corpus or acquisition identity is visible</w:t>
      </w:r>
      <w:r>
        <w:t xml:space="preserve"> </w:t>
      </w:r>
      <w:r>
        <w:t xml:space="preserve">in the features used for depression prediction. Raw probes are useful as a</w:t>
      </w:r>
      <w:r>
        <w:t xml:space="preserve"> </w:t>
      </w:r>
      <w:r>
        <w:t xml:space="preserve">high-sensitivity screen: across the main E-DAIC/CMDC/PDCH feature contract,</w:t>
      </w:r>
      <w:r>
        <w:t xml:space="preserve"> </w:t>
      </w:r>
      <w:r>
        <w:t xml:space="preserve">dataset identity is perfectly recoverable from BGE-M3, multilingual-E5, and</w:t>
      </w:r>
      <w:r>
        <w:t xml:space="preserve"> </w:t>
      </w:r>
      <w:r>
        <w:t xml:space="preserve">Qwen3-Embedding-0.6B transcript features, each with feature-identity balanced</w:t>
      </w:r>
      <w:r>
        <w:t xml:space="preserve"> </w:t>
      </w:r>
      <w:r>
        <w:t xml:space="preserve">accuracy of 1.000. Prediction-level identity also remains high in direct</w:t>
      </w:r>
      <w:r>
        <w:t xml:space="preserve"> </w:t>
      </w:r>
      <w:r>
        <w:t xml:space="preserve">shared-item models, reaching 0.932 for BGE-M3, 0.993 for multilingual-E5, and</w:t>
      </w:r>
      <w:r>
        <w:t xml:space="preserve"> </w:t>
      </w:r>
      <w:r>
        <w:t xml:space="preserve">0.978 for Qwen3-Embedding. We report the full raw identity matrix in</w:t>
      </w:r>
      <w:r>
        <w:t xml:space="preserve"> </w:t>
      </w:r>
      <w:r>
        <w:t xml:space="preserve">Supplementary Figure S2, but the main text relies on the more informative</w:t>
      </w:r>
      <w:r>
        <w:t xml:space="preserve"> </w:t>
      </w:r>
      <w:r>
        <w:t xml:space="preserve">controlled probes.</w:t>
      </w:r>
    </w:p>
    <w:p>
      <w:pPr>
        <w:pStyle w:val="BodyText"/>
      </w:pPr>
      <w:r>
        <w:t xml:space="preserve">Figure 3 shows what happens after fold-internal length and severity</w:t>
      </w:r>
      <w:r>
        <w:t xml:space="preserve"> </w:t>
      </w:r>
      <w:r>
        <w:t xml:space="preserve">residualization. The cross-language E-DAIC/CMDC contrast drops from raw</w:t>
      </w:r>
      <w:r>
        <w:t xml:space="preserve"> </w:t>
      </w:r>
      <w:r>
        <w:t xml:space="preserve">near-perfect identity to chance-level balanced accuracy in Qwen3 text (0.497),</w:t>
      </w:r>
      <w:r>
        <w:t xml:space="preserve"> </w:t>
      </w:r>
      <w:r>
        <w:t xml:space="preserve">WavLM audio (0.484), and OpenFace video (0.522). After controlling for length</w:t>
      </w:r>
      <w:r>
        <w:t xml:space="preserve"> </w:t>
      </w:r>
      <w:r>
        <w:t xml:space="preserve">and severity, the E-DAIC/CMDC identity signal approaches chance, indicating</w:t>
      </w:r>
      <w:r>
        <w:t xml:space="preserve"> </w:t>
      </w:r>
      <w:r>
        <w:t xml:space="preserve">that the raw near-perfect probe was strongly coupled to these corpus-linked</w:t>
      </w:r>
      <w:r>
        <w:t xml:space="preserve"> </w:t>
      </w:r>
      <w:r>
        <w:t xml:space="preserve">factors rather than reflecting a stable residual corpus signature.</w:t>
      </w:r>
    </w:p>
    <w:p>
      <w:pPr>
        <w:pStyle w:val="CaptionedFigure"/>
      </w:pPr>
      <w:r>
        <w:drawing>
          <wp:inline>
            <wp:extent cx="5334000" cy="2439294"/>
            <wp:effectExtent b="0" l="0" r="0" t="0"/>
            <wp:docPr descr="Figure 3. Control-dependent corpus identity. Points report balanced accuracy before and after fold-internal length plus severity residualization. E-DAIC/CMDC drops near chance after controls, while DAIC-lineage identity remains high, showing why raw corpus identity is a useful screen but not the final RQ1 evidence." title="" id="1" name="Picture"/>
            <a:graphic>
              <a:graphicData uri="http://schemas.openxmlformats.org/drawingml/2006/picture">
                <pic:pic>
                  <pic:nvPicPr>
                    <pic:cNvPr descr="analysis/diagnostic_measurement_audit_paper/figures_core7/fig3_controlled_identity_prob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9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Control-dependent corpus identity. Points report balanced accuracy before and after fold-internal length plus severity residualization. E-DAIC/CMDC drops near chance after controls, while DAIC-lineage identity remains high, showing why raw corpus identity is a useful screen but not the final RQ1 evidence.</w:t>
      </w:r>
    </w:p>
    <w:p>
      <w:pPr>
        <w:pStyle w:val="BodyText"/>
      </w:pPr>
      <w:r>
        <w:t xml:space="preserve">The same controlled audit also shows that corpus identity is not merely an</w:t>
      </w:r>
      <w:r>
        <w:t xml:space="preserve"> </w:t>
      </w:r>
      <w:r>
        <w:t xml:space="preserve">English-versus-Chinese classifier. Within E-DAIC itself, DAIC-WOZ-lineage</w:t>
      </w:r>
      <w:r>
        <w:t xml:space="preserve"> </w:t>
      </w:r>
      <w:r>
        <w:t xml:space="preserve">sessions and extended-lineage sessions remain identifiable after the same</w:t>
      </w:r>
      <w:r>
        <w:t xml:space="preserve"> </w:t>
      </w:r>
      <w:r>
        <w:t xml:space="preserve">controls, with balanced accuracy 0.839 for Qwen3 text and 0.897 for WavLM</w:t>
      </w:r>
      <w:r>
        <w:t xml:space="preserve"> </w:t>
      </w:r>
      <w:r>
        <w:t xml:space="preserve">audio. A Chinese same-scale control, CMDC versus PDCH HAMD, is more modest but</w:t>
      </w:r>
      <w:r>
        <w:t xml:space="preserve"> </w:t>
      </w:r>
      <w:r>
        <w:t xml:space="preserve">still above chance in the Qwen3 text view (0.572). Thus, residual corpus</w:t>
      </w:r>
      <w:r>
        <w:t xml:space="preserve"> </w:t>
      </w:r>
      <w:r>
        <w:t xml:space="preserve">identity is not uniform: it weakens sharply for the main E-DAIC/CMDC contrast,</w:t>
      </w:r>
      <w:r>
        <w:t xml:space="preserve"> </w:t>
      </w:r>
      <w:r>
        <w:t xml:space="preserve">but persists in some lineage and clinical-setting contrasts after length and</w:t>
      </w:r>
      <w:r>
        <w:t xml:space="preserve"> </w:t>
      </w:r>
      <w:r>
        <w:t xml:space="preserve">severity shortcuts are removed.</w:t>
      </w:r>
    </w:p>
    <w:p>
      <w:pPr>
        <w:pStyle w:val="BodyText"/>
      </w:pPr>
      <w:r>
        <w:t xml:space="preserve">The pattern also persists under stronger feature views. The Qwen3 text slice is</w:t>
      </w:r>
      <w:r>
        <w:t xml:space="preserve"> </w:t>
      </w:r>
      <w:r>
        <w:t xml:space="preserve">a foundation-style backbone, WavLM-derived speech features retain lineage</w:t>
      </w:r>
      <w:r>
        <w:t xml:space="preserve"> </w:t>
      </w:r>
      <w:r>
        <w:t xml:space="preserve">structure, and protocol diagnostics expose interview-position and</w:t>
      </w:r>
      <w:r>
        <w:t xml:space="preserve"> </w:t>
      </w:r>
      <w:r>
        <w:t xml:space="preserve">question-position signatures. The modeling implication is direct:</w:t>
      </w:r>
      <w:r>
        <w:t xml:space="preserve"> </w:t>
      </w:r>
      <w:r>
        <w:t xml:space="preserve">representation alignment is a necessary audit target, but it cannot by itself</w:t>
      </w:r>
      <w:r>
        <w:t xml:space="preserve"> </w:t>
      </w:r>
      <w:r>
        <w:t xml:space="preserve">certify clinical target transfer.</w:t>
      </w:r>
    </w:p>
    <w:p>
      <w:pPr>
        <w:pStyle w:val="Heading3"/>
      </w:pPr>
      <w:bookmarkStart w:id="43" w:name="X7593afe2853e246039b99007d54672b6bea51e6"/>
      <w:r>
        <w:t xml:space="preserve">6.2 Measurement Gate: A Graded Empirical Pattern Across Target Contracts</w:t>
      </w:r>
      <w:bookmarkEnd w:id="43"/>
    </w:p>
    <w:p>
      <w:pPr>
        <w:pStyle w:val="FirstParagraph"/>
      </w:pPr>
      <w:r>
        <w:t xml:space="preserve">The measurement gate asks whether nominally aligned clinical targets behave as</w:t>
      </w:r>
      <w:r>
        <w:t xml:space="preserve"> </w:t>
      </w:r>
      <w:r>
        <w:t xml:space="preserve">the same measurement mechanism across corpora. The answer is not a simple</w:t>
      </w:r>
      <w:r>
        <w:t xml:space="preserve"> </w:t>
      </w:r>
      <w:r>
        <w:t xml:space="preserve">“</w:t>
      </w:r>
      <w:r>
        <w:t xml:space="preserve">invariant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non-invariant.</w:t>
      </w:r>
      <w:r>
        <w:t xml:space="preserve">”</w:t>
      </w:r>
      <w:r>
        <w:t xml:space="preserve"> </w:t>
      </w:r>
      <w:r>
        <w:t xml:space="preserve">Across the three pre-specified pairings, we</w:t>
      </w:r>
      <w:r>
        <w:t xml:space="preserve"> </w:t>
      </w:r>
      <w:r>
        <w:t xml:space="preserve">observe a graded empirical pattern. Because language, protocol, population,</w:t>
      </w:r>
      <w:r>
        <w:t xml:space="preserve"> </w:t>
      </w:r>
      <w:r>
        <w:t xml:space="preserve">scale form, and corpus lineage vary together, this pattern should be read as a</w:t>
      </w:r>
      <w:r>
        <w:t xml:space="preserve"> </w:t>
      </w:r>
      <w:r>
        <w:t xml:space="preserve">structured benchmark audit rather than a causal or strictly monotonic law.</w:t>
      </w:r>
    </w:p>
    <w:p>
      <w:pPr>
        <w:pStyle w:val="BodyText"/>
      </w:pPr>
      <w:r>
        <w:rPr>
          <w:b/>
        </w:rPr>
        <w:t xml:space="preserve">Same-lineage PHQ-8 control.</w:t>
      </w:r>
      <w:r>
        <w:t xml:space="preserve"> </w:t>
      </w:r>
      <w:r>
        <w:t xml:space="preserve">DAIC-WOZ and E-DAIC anchor the low-difference</w:t>
      </w:r>
      <w:r>
        <w:t xml:space="preserve"> </w:t>
      </w:r>
      <w:r>
        <w:t xml:space="preserve">end of the audit, but only as a provenance sanity control rather than</w:t>
      </w:r>
      <w:r>
        <w:t xml:space="preserve"> </w:t>
      </w:r>
      <w:r>
        <w:t xml:space="preserve">independent-corpus evidence. In 141 complete item-labeled overlapping</w:t>
      </w:r>
      <w:r>
        <w:t xml:space="preserve"> </w:t>
      </w:r>
      <w:r>
        <w:t xml:space="preserve">train/dev subjects, the all-item exact-match rate is 0.993 and the mean</w:t>
      </w:r>
      <w:r>
        <w:t xml:space="preserve"> </w:t>
      </w:r>
      <w:r>
        <w:t xml:space="preserve">absolute paired item difference is 0.007. This is the expected reference</w:t>
      </w:r>
      <w:r>
        <w:t xml:space="preserve"> </w:t>
      </w:r>
      <w:r>
        <w:t xml:space="preserve">point: when scale, language, protocol lineage, and interview format are closely</w:t>
      </w:r>
      <w:r>
        <w:t xml:space="preserve"> </w:t>
      </w:r>
      <w:r>
        <w:t xml:space="preserve">matched, the measurement contract is nearly identical.</w:t>
      </w:r>
    </w:p>
    <w:p>
      <w:pPr>
        <w:pStyle w:val="BodyText"/>
      </w:pPr>
      <w:r>
        <w:rPr>
          <w:b/>
        </w:rPr>
        <w:t xml:space="preserve">Cross-language PHQ shared symptoms.</w:t>
      </w:r>
      <w:r>
        <w:t xml:space="preserve"> </w:t>
      </w:r>
      <w:r>
        <w:t xml:space="preserve">The main PHQ analysis compares 219</w:t>
      </w:r>
      <w:r>
        <w:t xml:space="preserve"> </w:t>
      </w:r>
      <w:r>
        <w:t xml:space="preserve">E-DAIC participants with 77 CMDC participants over the eight PHQ symptoms shared</w:t>
      </w:r>
      <w:r>
        <w:t xml:space="preserve"> </w:t>
      </w:r>
      <w:r>
        <w:t xml:space="preserve">by PHQ-8 and PHQ-9. The result is a strong but imperfect bridge. A common PHQ</w:t>
      </w:r>
      <w:r>
        <w:t xml:space="preserve"> </w:t>
      </w:r>
      <w:r>
        <w:t xml:space="preserve">structure is clearly present: the configural screen passes, loading congruence</w:t>
      </w:r>
      <w:r>
        <w:t xml:space="preserve"> </w:t>
      </w:r>
      <w:r>
        <w:t xml:space="preserve">is 0.998, and 7 of 8 items pass the approximate metric-loading screen. At the</w:t>
      </w:r>
      <w:r>
        <w:t xml:space="preserve"> </w:t>
      </w:r>
      <w:r>
        <w:t xml:space="preserve">same time, scalar and threshold behavior is not fully interchangeable. C01,</w:t>
      </w:r>
      <w:r>
        <w:t xml:space="preserve"> </w:t>
      </w:r>
      <w:r>
        <w:t xml:space="preserve">C04, C05, and C07 recur as candidate anchors, while C02 and C06 recur as</w:t>
      </w:r>
      <w:r>
        <w:t xml:space="preserve"> </w:t>
      </w:r>
      <w:r>
        <w:t xml:space="preserve">localized threshold-shift items.</w:t>
      </w:r>
    </w:p>
    <w:p>
      <w:pPr>
        <w:pStyle w:val="BodyText"/>
      </w:pPr>
      <w:r>
        <w:t xml:space="preserve">The descriptive item-level analysis makes the clinical shape of this result</w:t>
      </w:r>
      <w:r>
        <w:t xml:space="preserve"> </w:t>
      </w:r>
      <w:r>
        <w:t xml:space="preserve">visible. After conditioning on item-excluded total severity, the largest</w:t>
      </w:r>
      <w:r>
        <w:t xml:space="preserve"> </w:t>
      </w:r>
      <w:r>
        <w:t xml:space="preserve">non-sparse PHQ contrast is C02 anhedonia in the high-severity bin, where the</w:t>
      </w:r>
      <w:r>
        <w:t xml:space="preserve"> </w:t>
      </w:r>
      <w:r>
        <w:t xml:space="preserve">E-DAIC minus CMDC item-mean delta is -0.834 and the</w:t>
      </w:r>
      <w:r>
        <w:t xml:space="preserve"> </w:t>
      </w:r>
      <m:oMath>
        <m:r>
          <m:t>P</m:t>
        </m:r>
        <m:r>
          <m:t>(</m:t>
        </m:r>
        <m:r>
          <m:t>Y</m:t>
        </m:r>
        <m:r>
          <m:t>≥</m:t>
        </m:r>
        <m:r>
          <m:t>2</m:t>
        </m:r>
        <m:r>
          <m:t>)</m:t>
        </m:r>
      </m:oMath>
      <w:r>
        <w:t xml:space="preserve"> </w:t>
      </w:r>
      <w:r>
        <w:t xml:space="preserve">delta is</w:t>
      </w:r>
      <w:r>
        <w:t xml:space="preserve"> </w:t>
      </w:r>
      <w:r>
        <w:t xml:space="preserve">-0.408. Large contrasts also appear for C08 psychomotor behavior and C06</w:t>
      </w:r>
      <w:r>
        <w:t xml:space="preserve"> </w:t>
      </w:r>
      <w:r>
        <w:t xml:space="preserve">self-worth. Thus, shared item names provide real construct alignment, but not</w:t>
      </w:r>
      <w:r>
        <w:t xml:space="preserve"> </w:t>
      </w:r>
      <w:r>
        <w:t xml:space="preserve">automatic score interchangeability.</w:t>
      </w:r>
    </w:p>
    <w:p>
      <w:pPr>
        <w:pStyle w:val="CaptionedFigure"/>
      </w:pPr>
      <w:r>
        <w:drawing>
          <wp:inline>
            <wp:extent cx="5334000" cy="2807605"/>
            <wp:effectExtent b="0" l="0" r="0" t="0"/>
            <wp:docPr descr="Figure 4. PHQ shared-item response patterns in E-DAIC and CMDC. Panel A compares item means over the eight shared PHQ symptoms. Panels B and C condition endorsement on item-excluded severity tertiles for C02 and C06, illustrating that shared item names can retain common symptom structure while still showing corpus-conditioned response behavior." title="" id="1" name="Picture"/>
            <a:graphic>
              <a:graphicData uri="http://schemas.openxmlformats.org/drawingml/2006/picture">
                <pic:pic>
                  <pic:nvPicPr>
                    <pic:cNvPr descr="analysis/diagnostic_measurement_audit_paper/figures_core7/fig4_phq_shared_item_measurement_analysi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PHQ shared-item response patterns in E-DAIC and CMDC. Panel A compares item means over the eight shared PHQ symptoms. Panels B and C condition endorsement on item-excluded severity tertiles for C02 and C06, illustrating that shared item names can retain common symptom structure while still showing corpus-conditioned response behavior.</w:t>
      </w:r>
    </w:p>
    <w:p>
      <w:pPr>
        <w:pStyle w:val="BodyText"/>
      </w:pPr>
      <w:r>
        <w:t xml:space="preserve">The formal and simulation checks support the same interpretation. Corrected</w:t>
      </w:r>
      <w:r>
        <w:t xml:space="preserve"> </w:t>
      </w:r>
      <w:r>
        <w:t xml:space="preserve">external</w:t>
      </w:r>
      <w:r>
        <w:t xml:space="preserve"> </w:t>
      </w:r>
      <w:r>
        <w:rPr>
          <w:rStyle w:val="VerbatimChar"/>
        </w:rPr>
        <w:t xml:space="preserve">mirt</w:t>
      </w:r>
      <w:r>
        <w:t xml:space="preserve"> </w:t>
      </w:r>
      <w:r>
        <w:t xml:space="preserve">replication preserves the qualitative anchor and</w:t>
      </w:r>
      <w:r>
        <w:t xml:space="preserve"> </w:t>
      </w:r>
      <w:r>
        <w:t xml:space="preserve">threshold-shift pattern. Under the observed E-DAIC/CMDC sample sizes and</w:t>
      </w:r>
      <w:r>
        <w:t xml:space="preserve"> </w:t>
      </w:r>
      <w:r>
        <w:t xml:space="preserve">severity distributions, C02/C06 both-flag recovery is 0.662 under the planted</w:t>
      </w:r>
      <w:r>
        <w:t xml:space="preserve"> </w:t>
      </w:r>
      <w:r>
        <w:t xml:space="preserve">shift world, while the H0 both-flag false rate is 0.208. We therefore treat</w:t>
      </w:r>
      <w:r>
        <w:t xml:space="preserve"> </w:t>
      </w:r>
      <w:r>
        <w:t xml:space="preserve">C02/C06 as repeated, finite-sample-bounded threshold-shift evidence. For the</w:t>
      </w:r>
      <w:r>
        <w:t xml:space="preserve"> </w:t>
      </w:r>
      <w:r>
        <w:t xml:space="preserve">model, this is enough to justify explicit target-measurement modeling,</w:t>
      </w:r>
      <w:r>
        <w:t xml:space="preserve"> </w:t>
      </w:r>
      <w:r>
        <w:t xml:space="preserve">targeted calibration checks, and fair tests of whether measurement parameters</w:t>
      </w:r>
      <w:r>
        <w:t xml:space="preserve"> </w:t>
      </w:r>
      <w:r>
        <w:t xml:space="preserve">should be shared or corpus-specific; it is not necessary to overclaim universal</w:t>
      </w:r>
      <w:r>
        <w:t xml:space="preserve"> </w:t>
      </w:r>
      <w:r>
        <w:t xml:space="preserve">item-level DIF.</w:t>
      </w:r>
    </w:p>
    <w:p>
      <w:pPr>
        <w:pStyle w:val="BodyText"/>
      </w:pPr>
      <w:r>
        <w:rPr>
          <w:b/>
        </w:rPr>
        <w:t xml:space="preserve">Same-HAMD exploratory control.</w:t>
      </w:r>
      <w:r>
        <w:t xml:space="preserve"> </w:t>
      </w:r>
      <w:r>
        <w:t xml:space="preserve">CMDC/PDCH has one bounded role: it checks</w:t>
      </w:r>
      <w:r>
        <w:t xml:space="preserve"> </w:t>
      </w:r>
      <w:r>
        <w:t xml:space="preserve">whether the measurement concern is obviously reducible to the PHQ-8 versus</w:t>
      </w:r>
      <w:r>
        <w:t xml:space="preserve"> </w:t>
      </w:r>
      <w:r>
        <w:t xml:space="preserve">PHQ-9 form difference. The available HAMD sample is asymmetric, with 25 CMDC</w:t>
      </w:r>
      <w:r>
        <w:t xml:space="preserve"> </w:t>
      </w:r>
      <w:r>
        <w:t xml:space="preserve">HAMD subjects and 99 PDCH HAMD subjects, so we use it only as an exploratory</w:t>
      </w:r>
      <w:r>
        <w:t xml:space="preserve"> </w:t>
      </w:r>
      <w:r>
        <w:t xml:space="preserve">same-scale stress view. Its item distributions, item-excluded</w:t>
      </w:r>
      <w:r>
        <w:t xml:space="preserve"> </w:t>
      </w:r>
      <w:r>
        <w:t xml:space="preserve">severity-conditioned responses, and correlation structure show context-linked</w:t>
      </w:r>
      <w:r>
        <w:t xml:space="preserve"> </w:t>
      </w:r>
      <w:r>
        <w:t xml:space="preserve">differences, which is enough for the intended scope but not a formal HAMD</w:t>
      </w:r>
      <w:r>
        <w:t xml:space="preserve"> </w:t>
      </w:r>
      <w:r>
        <w:t xml:space="preserve">invariance claim.</w:t>
      </w:r>
    </w:p>
    <w:p>
      <w:pPr>
        <w:pStyle w:val="CaptionedFigure"/>
      </w:pPr>
      <w:r>
        <w:drawing>
          <wp:inline>
            <wp:extent cx="5334000" cy="2673338"/>
            <wp:effectExtent b="0" l="0" r="0" t="0"/>
            <wp:docPr descr="Figure 5. Same-lineage PHQ control and bounded target-contract stress views. The DAIC-WOZ/E-DAIC paired PHQ-8 comparison provides a low-difference sanity control, the E-DAIC/CMDC shared-PHQ comparison carries the main item-level measurement evidence, and CMDC/PDCH is retained only as a small exploratory same-HAMD view." title="" id="1" name="Picture"/>
            <a:graphic>
              <a:graphicData uri="http://schemas.openxmlformats.org/drawingml/2006/picture">
                <pic:pic>
                  <pic:nvPicPr>
                    <pic:cNvPr descr="analysis/diagnostic_measurement_audit_paper/figures_core7/fig5_daicwoz_edaic_controlled_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Same-lineage PHQ control and bounded target-contract stress views. The DAIC-WOZ/E-DAIC paired PHQ-8 comparison provides a low-difference sanity control, the E-DAIC/CMDC shared-PHQ comparison carries the main item-level measurement evidence, and CMDC/PDCH is retained only as a small exploratory same-HAMD view.</w:t>
      </w:r>
    </w:p>
    <w:p>
      <w:pPr>
        <w:pStyle w:val="BodyText"/>
      </w:pPr>
      <w:r>
        <w:t xml:space="preserve">Taken together, the measurement gate provides the paper’s central empirical</w:t>
      </w:r>
      <w:r>
        <w:t xml:space="preserve"> </w:t>
      </w:r>
      <w:r>
        <w:t xml:space="preserve">claim. Depression targets can share substantial clinical structure while still</w:t>
      </w:r>
      <w:r>
        <w:t xml:space="preserve"> </w:t>
      </w:r>
      <w:r>
        <w:t xml:space="preserve">showing corpus-conditioned response mechanisms. Clinical labels should</w:t>
      </w:r>
      <w:r>
        <w:t xml:space="preserve"> </w:t>
      </w:r>
      <w:r>
        <w:t xml:space="preserve">therefore not be treated as interchangeable targets until their measurement</w:t>
      </w:r>
      <w:r>
        <w:t xml:space="preserve"> </w:t>
      </w:r>
      <w:r>
        <w:t xml:space="preserve">contracts have been audited.</w:t>
      </w:r>
    </w:p>
    <w:p>
      <w:pPr>
        <w:pStyle w:val="Heading3"/>
      </w:pPr>
      <w:bookmarkStart w:id="46" w:name="X1ec09d615a013ba8ed4262ccf4b0a4d2cff955e"/>
      <w:r>
        <w:t xml:space="preserve">6.3 Prediction Gate: Formal Measurement-Aware Transfer</w:t>
      </w:r>
      <w:bookmarkEnd w:id="46"/>
    </w:p>
    <w:p>
      <w:pPr>
        <w:pStyle w:val="FirstParagraph"/>
      </w:pPr>
      <w:r>
        <w:t xml:space="preserve">The prediction gate asks whether the measurement audit matters once the</w:t>
      </w:r>
      <w:r>
        <w:t xml:space="preserve"> </w:t>
      </w:r>
      <w:r>
        <w:t xml:space="preserve">representation is fixed. All methods in Table 3 use the same frozen</w:t>
      </w:r>
      <w:r>
        <w:t xml:space="preserve"> </w:t>
      </w:r>
      <w:r>
        <w:t xml:space="preserve">Qwen3+WavLM+OpenFace subject-level representation. The measurement-aware model</w:t>
      </w:r>
      <w:r>
        <w:t xml:space="preserve"> </w:t>
      </w:r>
      <w:r>
        <w:t xml:space="preserve">maps this representation into a shared eight-symptom PHQ layer and then uses</w:t>
      </w:r>
      <w:r>
        <w:t xml:space="preserve"> </w:t>
      </w:r>
      <w:r>
        <w:t xml:space="preserve">corpus-specific cumulative-logit ordinal heads, as defined in Section 3.2. The</w:t>
      </w:r>
      <w:r>
        <w:t xml:space="preserve"> </w:t>
      </w:r>
      <w:r>
        <w:t xml:space="preserve">critical comparison is not the original frozen</w:t>
      </w:r>
      <w:r>
        <w:t xml:space="preserve"> </w:t>
      </w:r>
      <w:r>
        <w:rPr>
          <w:rStyle w:val="VerbatimChar"/>
        </w:rPr>
        <w:t xml:space="preserve">Corpus-specific head</w:t>
      </w:r>
      <w:r>
        <w:t xml:space="preserve"> </w:t>
      </w:r>
      <w:r>
        <w:t xml:space="preserve">alone:</w:t>
      </w:r>
      <w:r>
        <w:t xml:space="preserve"> </w:t>
      </w:r>
      <w:r>
        <w:t xml:space="preserve">that baseline uses the same number of target labels but does not allow target</w:t>
      </w:r>
      <w:r>
        <w:t xml:space="preserve"> </w:t>
      </w:r>
      <w:r>
        <w:t xml:space="preserve">labels to update the shared symptom representation. We therefore add calibrated</w:t>
      </w:r>
      <w:r>
        <w:t xml:space="preserve"> </w:t>
      </w:r>
      <w:r>
        <w:t xml:space="preserve">baselines that match target-label budget, trainable shared layers, and</w:t>
      </w:r>
      <w:r>
        <w:t xml:space="preserve"> </w:t>
      </w:r>
      <w:r>
        <w:t xml:space="preserve">optimization exposure. The co-primary metrics are Macro Item MAE and</w:t>
      </w:r>
      <w:r>
        <w:t xml:space="preserve"> </w:t>
      </w:r>
      <w:r>
        <w:t xml:space="preserve">Calibration MAE; Total MAE is shown as a severity-scale summary. The</w:t>
      </w:r>
      <w:r>
        <w:t xml:space="preserve"> </w:t>
      </w:r>
      <w:r>
        <w:t xml:space="preserve">reconstruction-plus-calibration score is used only as a supplementary compact</w:t>
      </w:r>
      <w:r>
        <w:t xml:space="preserve"> </w:t>
      </w:r>
      <w:r>
        <w:t xml:space="preserve">summary, so the main claim does not depend on a composite metric.</w:t>
      </w:r>
    </w:p>
    <w:p>
      <w:pPr>
        <w:pStyle w:val="BodyText"/>
      </w:pPr>
      <w:r>
        <w:rPr>
          <w:b/>
        </w:rPr>
        <w:t xml:space="preserve">Table 3. Supervision-aware cross-corpus PHQ shared-item result under the</w:t>
      </w:r>
      <w:r>
        <w:rPr>
          <w:b/>
        </w:rPr>
        <w:t xml:space="preserve"> </w:t>
      </w:r>
      <w:r>
        <w:rPr>
          <w:b/>
        </w:rPr>
        <w:t xml:space="preserve">official foundation representation. Values are means with 95 percent CIs over</w:t>
      </w:r>
      <w:r>
        <w:rPr>
          <w:b/>
        </w:rPr>
        <w:t xml:space="preserve"> </w:t>
      </w:r>
      <w:r>
        <w:rPr>
          <w:b/>
        </w:rPr>
        <w:t xml:space="preserve">five seeds. The panel blocks separate zero-target-label context from the</w:t>
      </w:r>
      <w:r>
        <w:rPr>
          <w:b/>
        </w:rPr>
        <w:t xml:space="preserve"> </w:t>
      </w:r>
      <w:r>
        <w:rPr>
          <w:b/>
        </w:rPr>
        <w:t xml:space="preserve">same-budget target-calibrated comparison; significance is discussed only within</w:t>
      </w:r>
      <w:r>
        <w:rPr>
          <w:b/>
        </w:rPr>
        <w:t xml:space="preserve"> </w:t>
      </w:r>
      <w:r>
        <w:rPr>
          <w:b/>
        </w:rPr>
        <w:t xml:space="preserve">target-calibrated rows.</w:t>
      </w:r>
    </w:p>
    <w:p>
      <w:pPr>
        <w:pStyle w:val="BodyText"/>
      </w:pPr>
      <w:r>
        <w:rPr>
          <w:b/>
        </w:rPr>
        <w:t xml:space="preserve">Panel A. CMDC -&gt; E-DAIC.</w:t>
      </w:r>
    </w:p>
    <w:tbl>
      <w:tblPr>
        <w:tblStyle w:val="Table"/>
        <w:tblW w:type="pct" w:w="5000.0"/>
        <w:tblLook w:firstRow="1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n_cal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Item MAE 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Calibration MAE 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 MAE 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Zero-target-label context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ERM</w:t>
            </w:r>
          </w:p>
        </w:tc>
        <w:tc>
          <w:p>
            <w:pPr>
              <w:pStyle w:val="Compact"/>
              <w:jc w:val="left"/>
            </w:pPr>
            <w:r>
              <w:t xml:space="preserve">zero-label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1.039 [0.983, 1.094]</w:t>
            </w:r>
          </w:p>
        </w:tc>
        <w:tc>
          <w:p>
            <w:pPr>
              <w:pStyle w:val="Compact"/>
              <w:jc w:val="right"/>
            </w:pPr>
            <w:r>
              <w:t xml:space="preserve">0.734 [0.673, 0.795]</w:t>
            </w:r>
          </w:p>
        </w:tc>
        <w:tc>
          <w:p>
            <w:pPr>
              <w:pStyle w:val="Compact"/>
              <w:jc w:val="right"/>
            </w:pPr>
            <w:r>
              <w:t xml:space="preserve">5.724 [5.436, 6.012]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CORAL</w:t>
            </w:r>
          </w:p>
        </w:tc>
        <w:tc>
          <w:p>
            <w:pPr>
              <w:pStyle w:val="Compact"/>
              <w:jc w:val="left"/>
            </w:pPr>
            <w:r>
              <w:t xml:space="preserve">zero-label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1.014 [0.970, 1.057]</w:t>
            </w:r>
          </w:p>
        </w:tc>
        <w:tc>
          <w:p>
            <w:pPr>
              <w:pStyle w:val="Compact"/>
              <w:jc w:val="right"/>
            </w:pPr>
            <w:r>
              <w:t xml:space="preserve">0.677 [0.619, 0.735]</w:t>
            </w:r>
          </w:p>
        </w:tc>
        <w:tc>
          <w:p>
            <w:pPr>
              <w:pStyle w:val="Compact"/>
              <w:jc w:val="right"/>
            </w:pPr>
            <w:r>
              <w:t xml:space="preserve">6.498 [5.977, 7.019]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MMD</w:t>
            </w:r>
          </w:p>
        </w:tc>
        <w:tc>
          <w:p>
            <w:pPr>
              <w:pStyle w:val="Compact"/>
              <w:jc w:val="left"/>
            </w:pPr>
            <w:r>
              <w:t xml:space="preserve">zero-label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1.044 [0.735, 1.354]</w:t>
            </w:r>
          </w:p>
        </w:tc>
        <w:tc>
          <w:p>
            <w:pPr>
              <w:pStyle w:val="Compact"/>
              <w:jc w:val="right"/>
            </w:pPr>
            <w:r>
              <w:t xml:space="preserve">1.030 [0.728, 1.333]</w:t>
            </w:r>
          </w:p>
        </w:tc>
        <w:tc>
          <w:p>
            <w:pPr>
              <w:pStyle w:val="Compact"/>
              <w:jc w:val="right"/>
            </w:pPr>
            <w:r>
              <w:t xml:space="preserve">5.870 [4.921, 6.820]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DANN</w:t>
            </w:r>
          </w:p>
        </w:tc>
        <w:tc>
          <w:p>
            <w:pPr>
              <w:pStyle w:val="Compact"/>
              <w:jc w:val="left"/>
            </w:pPr>
            <w:r>
              <w:t xml:space="preserve">zero-label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1.438 [1.382, 1.494]</w:t>
            </w:r>
          </w:p>
        </w:tc>
        <w:tc>
          <w:p>
            <w:pPr>
              <w:pStyle w:val="Compact"/>
              <w:jc w:val="right"/>
            </w:pPr>
            <w:r>
              <w:t xml:space="preserve">0.744 [0.674, 0.815]</w:t>
            </w:r>
          </w:p>
        </w:tc>
        <w:tc>
          <w:p>
            <w:pPr>
              <w:pStyle w:val="Compact"/>
              <w:jc w:val="right"/>
            </w:pPr>
            <w:r>
              <w:t xml:space="preserve">7.346 [7.025, 7.667]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Strongest foundation</w:t>
            </w:r>
          </w:p>
        </w:tc>
        <w:tc>
          <w:p>
            <w:pPr>
              <w:pStyle w:val="Compact"/>
              <w:jc w:val="left"/>
            </w:pPr>
            <w:r>
              <w:t xml:space="preserve">zero-label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0.949 [0.900, 0.998]</w:t>
            </w:r>
          </w:p>
        </w:tc>
        <w:tc>
          <w:p>
            <w:pPr>
              <w:pStyle w:val="Compact"/>
              <w:jc w:val="right"/>
            </w:pPr>
            <w:r>
              <w:t xml:space="preserve">0.588 [0.510, 0.666]</w:t>
            </w:r>
          </w:p>
        </w:tc>
        <w:tc>
          <w:p>
            <w:pPr>
              <w:pStyle w:val="Compact"/>
              <w:jc w:val="right"/>
            </w:pPr>
            <w:r>
              <w:t xml:space="preserve">6.118 [5.740, 6.497]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Latent-only</w:t>
            </w:r>
          </w:p>
        </w:tc>
        <w:tc>
          <w:p>
            <w:pPr>
              <w:pStyle w:val="Compact"/>
              <w:jc w:val="left"/>
            </w:pPr>
            <w:r>
              <w:t xml:space="preserve">zero-label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1.055 [1.006, 1.105]</w:t>
            </w:r>
          </w:p>
        </w:tc>
        <w:tc>
          <w:p>
            <w:pPr>
              <w:pStyle w:val="Compact"/>
              <w:jc w:val="right"/>
            </w:pPr>
            <w:r>
              <w:t xml:space="preserve">0.735 [0.691, 0.780]</w:t>
            </w:r>
          </w:p>
        </w:tc>
        <w:tc>
          <w:p>
            <w:pPr>
              <w:pStyle w:val="Compact"/>
              <w:jc w:val="right"/>
            </w:pPr>
            <w:r>
              <w:t xml:space="preserve">6.751 [6.260, 7.241]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Target-calibrated comparison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Corpus-specific head</w:t>
            </w:r>
          </w:p>
        </w:tc>
        <w:tc>
          <w:p>
            <w:pPr>
              <w:pStyle w:val="Compact"/>
              <w:jc w:val="left"/>
            </w:pPr>
            <w:r>
              <w:t xml:space="preserve">calibrated</w:t>
            </w:r>
          </w:p>
        </w:tc>
        <w:tc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p>
            <w:pPr>
              <w:pStyle w:val="Compact"/>
              <w:jc w:val="right"/>
            </w:pPr>
            <w:r>
              <w:t xml:space="preserve">0.967 [0.923, 1.010]</w:t>
            </w:r>
          </w:p>
        </w:tc>
        <w:tc>
          <w:p>
            <w:pPr>
              <w:pStyle w:val="Compact"/>
              <w:jc w:val="right"/>
            </w:pPr>
            <w:r>
              <w:t xml:space="preserve">0.599 [0.561, 0.637]</w:t>
            </w:r>
          </w:p>
        </w:tc>
        <w:tc>
          <w:p>
            <w:pPr>
              <w:pStyle w:val="Compact"/>
              <w:jc w:val="right"/>
            </w:pPr>
            <w:r>
              <w:t xml:space="preserve">6.296 [5.992, 6.600]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target fine-tune</w:t>
            </w:r>
          </w:p>
        </w:tc>
        <w:tc>
          <w:p>
            <w:pPr>
              <w:pStyle w:val="Compact"/>
              <w:jc w:val="left"/>
            </w:pPr>
            <w:r>
              <w:t xml:space="preserve">calibrated</w:t>
            </w:r>
          </w:p>
        </w:tc>
        <w:tc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p>
            <w:pPr>
              <w:pStyle w:val="Compact"/>
              <w:jc w:val="right"/>
            </w:pPr>
            <w:r>
              <w:t xml:space="preserve">0.851 [0.823, 0.879]</w:t>
            </w:r>
          </w:p>
        </w:tc>
        <w:tc>
          <w:p>
            <w:pPr>
              <w:pStyle w:val="Compact"/>
              <w:jc w:val="right"/>
            </w:pPr>
            <w:r>
              <w:t xml:space="preserve">0.482 [0.401, 0.562]</w:t>
            </w:r>
          </w:p>
        </w:tc>
        <w:tc>
          <w:p>
            <w:pPr>
              <w:pStyle w:val="Compact"/>
              <w:jc w:val="right"/>
            </w:pPr>
            <w:r>
              <w:t xml:space="preserve">5.579 [5.255, 5.903]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source+target multitask</w:t>
            </w:r>
          </w:p>
        </w:tc>
        <w:tc>
          <w:p>
            <w:pPr>
              <w:pStyle w:val="Compact"/>
              <w:jc w:val="left"/>
            </w:pPr>
            <w:r>
              <w:t xml:space="preserve">calibrated</w:t>
            </w:r>
          </w:p>
        </w:tc>
        <w:tc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p>
            <w:pPr>
              <w:pStyle w:val="Compact"/>
              <w:jc w:val="right"/>
            </w:pPr>
            <w:r>
              <w:t xml:space="preserve">0.869 [0.809, 0.929]</w:t>
            </w:r>
          </w:p>
        </w:tc>
        <w:tc>
          <w:p>
            <w:pPr>
              <w:pStyle w:val="Compact"/>
              <w:jc w:val="right"/>
            </w:pPr>
            <w:r>
              <w:t xml:space="preserve">0.475 [0.390, 0.559]</w:t>
            </w:r>
          </w:p>
        </w:tc>
        <w:tc>
          <w:p>
            <w:pPr>
              <w:pStyle w:val="Compact"/>
              <w:jc w:val="right"/>
            </w:pPr>
            <w:r>
              <w:t xml:space="preserve">5.707 [5.327, 6.086]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ordinal head</w:t>
            </w:r>
          </w:p>
        </w:tc>
        <w:tc>
          <w:p>
            <w:pPr>
              <w:pStyle w:val="Compact"/>
              <w:jc w:val="left"/>
            </w:pPr>
            <w:r>
              <w:t xml:space="preserve">calibrated</w:t>
            </w:r>
          </w:p>
        </w:tc>
        <w:tc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p>
            <w:pPr>
              <w:pStyle w:val="Compact"/>
              <w:jc w:val="right"/>
            </w:pPr>
            <w:r>
              <w:t xml:space="preserve">0.819 [0.799, 0.840]</w:t>
            </w:r>
          </w:p>
        </w:tc>
        <w:tc>
          <w:p>
            <w:pPr>
              <w:pStyle w:val="Compact"/>
              <w:jc w:val="right"/>
            </w:pPr>
            <w:r>
              <w:t xml:space="preserve">0.433 [0.394, 0.472]</w:t>
            </w:r>
          </w:p>
        </w:tc>
        <w:tc>
          <w:p>
            <w:pPr>
              <w:pStyle w:val="Compact"/>
              <w:jc w:val="right"/>
            </w:pPr>
            <w:r>
              <w:t xml:space="preserve">5.297 [5.133, 5.461]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 target MLP head</w:t>
            </w:r>
          </w:p>
        </w:tc>
        <w:tc>
          <w:p>
            <w:pPr>
              <w:pStyle w:val="Compact"/>
              <w:jc w:val="left"/>
            </w:pPr>
            <w:r>
              <w:t xml:space="preserve">calibrated</w:t>
            </w:r>
          </w:p>
        </w:tc>
        <w:tc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p>
            <w:pPr>
              <w:pStyle w:val="Compact"/>
              <w:jc w:val="right"/>
            </w:pPr>
            <w:r>
              <w:t xml:space="preserve">0.884 [0.862, 0.906]</w:t>
            </w:r>
          </w:p>
        </w:tc>
        <w:tc>
          <w:p>
            <w:pPr>
              <w:pStyle w:val="Compact"/>
              <w:jc w:val="right"/>
            </w:pPr>
            <w:r>
              <w:t xml:space="preserve">0.455 [0.401, 0.509]</w:t>
            </w:r>
          </w:p>
        </w:tc>
        <w:tc>
          <w:p>
            <w:pPr>
              <w:pStyle w:val="Compact"/>
              <w:jc w:val="right"/>
            </w:pPr>
            <w:r>
              <w:t xml:space="preserve">5.618 [5.406, 5.829]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Measurement-aware</w:t>
            </w:r>
          </w:p>
        </w:tc>
        <w:tc>
          <w:p>
            <w:pPr>
              <w:pStyle w:val="Compact"/>
              <w:jc w:val="left"/>
            </w:pPr>
            <w:r>
              <w:t xml:space="preserve">calibrated</w:t>
            </w:r>
          </w:p>
        </w:tc>
        <w:tc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p>
            <w:pPr>
              <w:pStyle w:val="Compact"/>
              <w:jc w:val="right"/>
            </w:pPr>
            <w:r>
              <w:t xml:space="preserve">0.818 [0.810, 0.827]</w:t>
            </w:r>
          </w:p>
        </w:tc>
        <w:tc>
          <w:p>
            <w:pPr>
              <w:pStyle w:val="Compact"/>
              <w:jc w:val="right"/>
            </w:pPr>
            <w:r>
              <w:t xml:space="preserve">0.433 [0.384, 0.482]</w:t>
            </w:r>
          </w:p>
        </w:tc>
        <w:tc>
          <w:p>
            <w:pPr>
              <w:pStyle w:val="Compact"/>
              <w:jc w:val="right"/>
            </w:pPr>
            <w:r>
              <w:t xml:space="preserve">5.304 [5.160, 5.448]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Measurement-aware + MMD</w:t>
            </w:r>
          </w:p>
        </w:tc>
        <w:tc>
          <w:p>
            <w:pPr>
              <w:pStyle w:val="Compact"/>
              <w:jc w:val="left"/>
            </w:pPr>
            <w:r>
              <w:t xml:space="preserve">calibrated</w:t>
            </w:r>
          </w:p>
        </w:tc>
        <w:tc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p>
            <w:pPr>
              <w:pStyle w:val="Compact"/>
              <w:jc w:val="right"/>
            </w:pPr>
            <w:r>
              <w:t xml:space="preserve">0.818 [0.795, 0.840]</w:t>
            </w:r>
          </w:p>
        </w:tc>
        <w:tc>
          <w:p>
            <w:pPr>
              <w:pStyle w:val="Compact"/>
              <w:jc w:val="right"/>
            </w:pPr>
            <w:r>
              <w:t xml:space="preserve">0.426 [0.371, 0.480]</w:t>
            </w:r>
          </w:p>
        </w:tc>
        <w:tc>
          <w:p>
            <w:pPr>
              <w:pStyle w:val="Compact"/>
              <w:jc w:val="right"/>
            </w:pPr>
            <w:r>
              <w:t xml:space="preserve">5.331 [5.093, 5.568]</w:t>
            </w:r>
          </w:p>
        </w:tc>
      </w:tr>
    </w:tbl>
    <w:p>
      <w:pPr>
        <w:pStyle w:val="BodyText"/>
      </w:pPr>
      <w:r>
        <w:rPr>
          <w:b/>
        </w:rPr>
        <w:t xml:space="preserve">Panel B. E-DAIC -&gt; CMDC.</w:t>
      </w:r>
    </w:p>
    <w:tbl>
      <w:tblPr>
        <w:tblStyle w:val="Table"/>
        <w:tblW w:type="pct" w:w="5000.0"/>
        <w:tblLook w:firstRow="1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n_cal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Item MAE 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Calibration MAE 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 MAE 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Zero-target-label context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ERM</w:t>
            </w:r>
          </w:p>
        </w:tc>
        <w:tc>
          <w:p>
            <w:pPr>
              <w:pStyle w:val="Compact"/>
              <w:jc w:val="left"/>
            </w:pPr>
            <w:r>
              <w:t xml:space="preserve">zero-label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1.151 [0.970, 1.331]</w:t>
            </w:r>
          </w:p>
        </w:tc>
        <w:tc>
          <w:p>
            <w:pPr>
              <w:pStyle w:val="Compact"/>
              <w:jc w:val="right"/>
            </w:pPr>
            <w:r>
              <w:t xml:space="preserve">0.911 [0.794, 1.029]</w:t>
            </w:r>
          </w:p>
        </w:tc>
        <w:tc>
          <w:p>
            <w:pPr>
              <w:pStyle w:val="Compact"/>
              <w:jc w:val="right"/>
            </w:pPr>
            <w:r>
              <w:t xml:space="preserve">7.469 [6.070, 8.867]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CORAL</w:t>
            </w:r>
          </w:p>
        </w:tc>
        <w:tc>
          <w:p>
            <w:pPr>
              <w:pStyle w:val="Compact"/>
              <w:jc w:val="left"/>
            </w:pPr>
            <w:r>
              <w:t xml:space="preserve">zero-label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0.950 [0.899, 1.001]</w:t>
            </w:r>
          </w:p>
        </w:tc>
        <w:tc>
          <w:p>
            <w:pPr>
              <w:pStyle w:val="Compact"/>
              <w:jc w:val="right"/>
            </w:pPr>
            <w:r>
              <w:t xml:space="preserve">0.462 [0.361, 0.564]</w:t>
            </w:r>
          </w:p>
        </w:tc>
        <w:tc>
          <w:p>
            <w:pPr>
              <w:pStyle w:val="Compact"/>
              <w:jc w:val="right"/>
            </w:pPr>
            <w:r>
              <w:t xml:space="preserve">6.858 [6.402, 7.313]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MMD</w:t>
            </w:r>
          </w:p>
        </w:tc>
        <w:tc>
          <w:p>
            <w:pPr>
              <w:pStyle w:val="Compact"/>
              <w:jc w:val="left"/>
            </w:pPr>
            <w:r>
              <w:t xml:space="preserve">zero-label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0.980 [0.904, 1.057]</w:t>
            </w:r>
          </w:p>
        </w:tc>
        <w:tc>
          <w:p>
            <w:pPr>
              <w:pStyle w:val="Compact"/>
              <w:jc w:val="right"/>
            </w:pPr>
            <w:r>
              <w:t xml:space="preserve">0.451 [0.350, 0.552]</w:t>
            </w:r>
          </w:p>
        </w:tc>
        <w:tc>
          <w:p>
            <w:pPr>
              <w:pStyle w:val="Compact"/>
              <w:jc w:val="right"/>
            </w:pPr>
            <w:r>
              <w:t xml:space="preserve">6.164 [5.625, 6.704]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DANN</w:t>
            </w:r>
          </w:p>
        </w:tc>
        <w:tc>
          <w:p>
            <w:pPr>
              <w:pStyle w:val="Compact"/>
              <w:jc w:val="left"/>
            </w:pPr>
            <w:r>
              <w:t xml:space="preserve">zero-label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1.264 [1.037, 1.491]</w:t>
            </w:r>
          </w:p>
        </w:tc>
        <w:tc>
          <w:p>
            <w:pPr>
              <w:pStyle w:val="Compact"/>
              <w:jc w:val="right"/>
            </w:pPr>
            <w:r>
              <w:t xml:space="preserve">0.910 [0.684, 1.137]</w:t>
            </w:r>
          </w:p>
        </w:tc>
        <w:tc>
          <w:p>
            <w:pPr>
              <w:pStyle w:val="Compact"/>
              <w:jc w:val="right"/>
            </w:pPr>
            <w:r>
              <w:t xml:space="preserve">8.599 [6.651, 10.547]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Strongest foundation</w:t>
            </w:r>
          </w:p>
        </w:tc>
        <w:tc>
          <w:p>
            <w:pPr>
              <w:pStyle w:val="Compact"/>
              <w:jc w:val="left"/>
            </w:pPr>
            <w:r>
              <w:t xml:space="preserve">zero-label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1.738 [1.626, 1.849]</w:t>
            </w:r>
          </w:p>
        </w:tc>
        <w:tc>
          <w:p>
            <w:pPr>
              <w:pStyle w:val="Compact"/>
              <w:jc w:val="right"/>
            </w:pPr>
            <w:r>
              <w:t xml:space="preserve">1.625 [1.476, 1.774]</w:t>
            </w:r>
          </w:p>
        </w:tc>
        <w:tc>
          <w:p>
            <w:pPr>
              <w:pStyle w:val="Compact"/>
              <w:jc w:val="right"/>
            </w:pPr>
            <w:r>
              <w:t xml:space="preserve">13.143 [12.027, 14.258]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Latent-only</w:t>
            </w:r>
          </w:p>
        </w:tc>
        <w:tc>
          <w:p>
            <w:pPr>
              <w:pStyle w:val="Compact"/>
              <w:jc w:val="left"/>
            </w:pPr>
            <w:r>
              <w:t xml:space="preserve">zero-label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1.861 [1.763, 1.959]</w:t>
            </w:r>
          </w:p>
        </w:tc>
        <w:tc>
          <w:p>
            <w:pPr>
              <w:pStyle w:val="Compact"/>
              <w:jc w:val="right"/>
            </w:pPr>
            <w:r>
              <w:t xml:space="preserve">1.802 [1.684, 1.920]</w:t>
            </w:r>
          </w:p>
        </w:tc>
        <w:tc>
          <w:p>
            <w:pPr>
              <w:pStyle w:val="Compact"/>
              <w:jc w:val="right"/>
            </w:pPr>
            <w:r>
              <w:t xml:space="preserve">14.469 [13.547, 15.392]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Target-calibrated comparison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Corpus-specific head</w:t>
            </w:r>
          </w:p>
        </w:tc>
        <w:tc>
          <w:p>
            <w:pPr>
              <w:pStyle w:val="Compact"/>
              <w:jc w:val="left"/>
            </w:pPr>
            <w:r>
              <w:t xml:space="preserve">calibrated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1.346 [1.195, 1.497]</w:t>
            </w:r>
          </w:p>
        </w:tc>
        <w:tc>
          <w:p>
            <w:pPr>
              <w:pStyle w:val="Compact"/>
              <w:jc w:val="right"/>
            </w:pPr>
            <w:r>
              <w:t xml:space="preserve">1.059 [0.892, 1.227]</w:t>
            </w:r>
          </w:p>
        </w:tc>
        <w:tc>
          <w:p>
            <w:pPr>
              <w:pStyle w:val="Compact"/>
              <w:jc w:val="right"/>
            </w:pPr>
            <w:r>
              <w:t xml:space="preserve">9.665 [8.408, 10.921]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target fine-tune</w:t>
            </w:r>
          </w:p>
        </w:tc>
        <w:tc>
          <w:p>
            <w:pPr>
              <w:pStyle w:val="Compact"/>
              <w:jc w:val="left"/>
            </w:pPr>
            <w:r>
              <w:t xml:space="preserve">calibrated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0.607 [0.531, 0.684]</w:t>
            </w:r>
          </w:p>
        </w:tc>
        <w:tc>
          <w:p>
            <w:pPr>
              <w:pStyle w:val="Compact"/>
              <w:jc w:val="right"/>
            </w:pPr>
            <w:r>
              <w:t xml:space="preserve">0.358 [0.268, 0.449]</w:t>
            </w:r>
          </w:p>
        </w:tc>
        <w:tc>
          <w:p>
            <w:pPr>
              <w:pStyle w:val="Compact"/>
              <w:jc w:val="right"/>
            </w:pPr>
            <w:r>
              <w:t xml:space="preserve">3.220 [2.811, 3.629]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source+target multitask</w:t>
            </w:r>
          </w:p>
        </w:tc>
        <w:tc>
          <w:p>
            <w:pPr>
              <w:pStyle w:val="Compact"/>
              <w:jc w:val="left"/>
            </w:pPr>
            <w:r>
              <w:t xml:space="preserve">calibrated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0.607 [0.534, 0.679]</w:t>
            </w:r>
          </w:p>
        </w:tc>
        <w:tc>
          <w:p>
            <w:pPr>
              <w:pStyle w:val="Compact"/>
              <w:jc w:val="right"/>
            </w:pPr>
            <w:r>
              <w:t xml:space="preserve">0.340 [0.284, 0.396]</w:t>
            </w:r>
          </w:p>
        </w:tc>
        <w:tc>
          <w:p>
            <w:pPr>
              <w:pStyle w:val="Compact"/>
              <w:jc w:val="right"/>
            </w:pPr>
            <w:r>
              <w:t xml:space="preserve">3.194 [2.731, 3.656]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ordinal head</w:t>
            </w:r>
          </w:p>
        </w:tc>
        <w:tc>
          <w:p>
            <w:pPr>
              <w:pStyle w:val="Compact"/>
              <w:jc w:val="left"/>
            </w:pPr>
            <w:r>
              <w:t xml:space="preserve">calibrated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0.644 [0.564, 0.725]</w:t>
            </w:r>
          </w:p>
        </w:tc>
        <w:tc>
          <w:p>
            <w:pPr>
              <w:pStyle w:val="Compact"/>
              <w:jc w:val="right"/>
            </w:pPr>
            <w:r>
              <w:t xml:space="preserve">0.343 [0.267, 0.419]</w:t>
            </w:r>
          </w:p>
        </w:tc>
        <w:tc>
          <w:p>
            <w:pPr>
              <w:pStyle w:val="Compact"/>
              <w:jc w:val="right"/>
            </w:pPr>
            <w:r>
              <w:t xml:space="preserve">3.239 [2.562, 3.915]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 target MLP head</w:t>
            </w:r>
          </w:p>
        </w:tc>
        <w:tc>
          <w:p>
            <w:pPr>
              <w:pStyle w:val="Compact"/>
              <w:jc w:val="left"/>
            </w:pPr>
            <w:r>
              <w:t xml:space="preserve">calibrated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0.622 [0.547, 0.698]</w:t>
            </w:r>
          </w:p>
        </w:tc>
        <w:tc>
          <w:p>
            <w:pPr>
              <w:pStyle w:val="Compact"/>
              <w:jc w:val="right"/>
            </w:pPr>
            <w:r>
              <w:t xml:space="preserve">0.361 [0.292, 0.429]</w:t>
            </w:r>
          </w:p>
        </w:tc>
        <w:tc>
          <w:p>
            <w:pPr>
              <w:pStyle w:val="Compact"/>
              <w:jc w:val="right"/>
            </w:pPr>
            <w:r>
              <w:t xml:space="preserve">3.363 [2.745, 3.980]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Measurement-aware</w:t>
            </w:r>
          </w:p>
        </w:tc>
        <w:tc>
          <w:p>
            <w:pPr>
              <w:pStyle w:val="Compact"/>
              <w:jc w:val="left"/>
            </w:pPr>
            <w:r>
              <w:t xml:space="preserve">calibrated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0.645 [0.566, 0.723]</w:t>
            </w:r>
          </w:p>
        </w:tc>
        <w:tc>
          <w:p>
            <w:pPr>
              <w:pStyle w:val="Compact"/>
              <w:jc w:val="right"/>
            </w:pPr>
            <w:r>
              <w:t xml:space="preserve">0.342 [0.271, 0.413]</w:t>
            </w:r>
          </w:p>
        </w:tc>
        <w:tc>
          <w:p>
            <w:pPr>
              <w:pStyle w:val="Compact"/>
              <w:jc w:val="right"/>
            </w:pPr>
            <w:r>
              <w:t xml:space="preserve">3.255 [2.588, 3.922]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Measurement-aware + MMD</w:t>
            </w:r>
          </w:p>
        </w:tc>
        <w:tc>
          <w:p>
            <w:pPr>
              <w:pStyle w:val="Compact"/>
              <w:jc w:val="left"/>
            </w:pPr>
            <w:r>
              <w:t xml:space="preserve">calibrated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0.645 [0.566, 0.723]</w:t>
            </w:r>
          </w:p>
        </w:tc>
        <w:tc>
          <w:p>
            <w:pPr>
              <w:pStyle w:val="Compact"/>
              <w:jc w:val="right"/>
            </w:pPr>
            <w:r>
              <w:t xml:space="preserve">0.342 [0.271, 0.413]</w:t>
            </w:r>
          </w:p>
        </w:tc>
        <w:tc>
          <w:p>
            <w:pPr>
              <w:pStyle w:val="Compact"/>
              <w:jc w:val="right"/>
            </w:pPr>
            <w:r>
              <w:t xml:space="preserve">3.255 [2.588, 3.922]</w:t>
            </w:r>
          </w:p>
        </w:tc>
      </w:tr>
    </w:tbl>
    <w:p>
      <w:pPr>
        <w:pStyle w:val="BodyText"/>
      </w:pPr>
      <w:r>
        <w:t xml:space="preserve">The supervision regime is deliberately explicit. ERM, CORAL, MMD-style</w:t>
      </w:r>
      <w:r>
        <w:t xml:space="preserve"> </w:t>
      </w:r>
      <w:r>
        <w:t xml:space="preserve">alignment, DANN, the strongest direct foundation baseline, and latent-only</w:t>
      </w:r>
      <w:r>
        <w:t xml:space="preserve"> </w:t>
      </w:r>
      <w:r>
        <w:t xml:space="preserve">serve as zero-target-label representation-adaptation context. They answer a</w:t>
      </w:r>
      <w:r>
        <w:t xml:space="preserve"> </w:t>
      </w:r>
      <w:r>
        <w:t xml:space="preserve">different question: how far feature alignment and direct transfer can go</w:t>
      </w:r>
      <w:r>
        <w:t xml:space="preserve"> </w:t>
      </w:r>
      <w:r>
        <w:t xml:space="preserve">without target clinical labels. Within the calibrated block, the old</w:t>
      </w:r>
      <w:r>
        <w:t xml:space="preserve"> </w:t>
      </w:r>
      <w:r>
        <w:rPr>
          <w:rStyle w:val="VerbatimChar"/>
        </w:rPr>
        <w:t xml:space="preserve">Corpus-specific head</w:t>
      </w:r>
      <w:r>
        <w:t xml:space="preserve"> </w:t>
      </w:r>
      <w:r>
        <w:t xml:space="preserve">row is useful but insufficient: it freezes the</w:t>
      </w:r>
      <w:r>
        <w:t xml:space="preserve"> </w:t>
      </w:r>
      <w:r>
        <w:t xml:space="preserve">source-trained symptom layer, so the very large improvements over that row</w:t>
      </w:r>
      <w:r>
        <w:t xml:space="preserve"> </w:t>
      </w:r>
      <w:r>
        <w:t xml:space="preserve">identify the value of target calibration and shared-layer adaptation, not the</w:t>
      </w:r>
      <w:r>
        <w:t xml:space="preserve"> </w:t>
      </w:r>
      <w:r>
        <w:t xml:space="preserve">unique value of a corpus-specific ordinal measurement head.</w:t>
      </w:r>
    </w:p>
    <w:p>
      <w:pPr>
        <w:pStyle w:val="BodyText"/>
      </w:pPr>
      <w:r>
        <w:t xml:space="preserve">The fair calibrated ablations give the claim boundary. The strongest result is</w:t>
      </w:r>
      <w:r>
        <w:t xml:space="preserve"> </w:t>
      </w:r>
      <w:r>
        <w:t xml:space="preserve">target calibration with shared-layer adaptation. In both directions, the frozen</w:t>
      </w:r>
      <w:r>
        <w:t xml:space="preserve"> </w:t>
      </w:r>
      <w:r>
        <w:rPr>
          <w:rStyle w:val="VerbatimChar"/>
        </w:rPr>
        <w:t xml:space="preserve">Corpus-specific head</w:t>
      </w:r>
      <w:r>
        <w:t xml:space="preserve"> </w:t>
      </w:r>
      <w:r>
        <w:t xml:space="preserve">baseline is much worse than calibrated variants that</w:t>
      </w:r>
      <w:r>
        <w:t xml:space="preserve"> </w:t>
      </w:r>
      <w:r>
        <w:t xml:space="preserve">allow target labels to update the projector and shared symptom layer. Thus the</w:t>
      </w:r>
      <w:r>
        <w:t xml:space="preserve"> </w:t>
      </w:r>
      <w:r>
        <w:t xml:space="preserve">large original changes, from</w:t>
      </w:r>
      <w:r>
        <w:t xml:space="preserve"> </w:t>
      </w:r>
      <w:r>
        <w:rPr>
          <w:rStyle w:val="VerbatimChar"/>
        </w:rPr>
        <w:t xml:space="preserve">0.967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0.818</w:t>
      </w:r>
      <w:r>
        <w:t xml:space="preserve"> </w:t>
      </w:r>
      <w:r>
        <w:t xml:space="preserve">Item MAE in CMDC-to-E-DAIC and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1.346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0.645</w:t>
      </w:r>
      <w:r>
        <w:t xml:space="preserve"> </w:t>
      </w:r>
      <w:r>
        <w:t xml:space="preserve">in E-DAIC-to-CMDC, should be read mainly as evidence</w:t>
      </w:r>
      <w:r>
        <w:t xml:space="preserve"> </w:t>
      </w:r>
      <w:r>
        <w:t xml:space="preserve">for target-supervised shared-layer adaptation rather than as proof of a</w:t>
      </w:r>
      <w:r>
        <w:t xml:space="preserve"> </w:t>
      </w:r>
      <w:r>
        <w:t xml:space="preserve">corpus-specific measurement head.</w:t>
      </w:r>
    </w:p>
    <w:p>
      <w:pPr>
        <w:pStyle w:val="BodyText"/>
      </w:pPr>
      <w:r>
        <w:t xml:space="preserve">The second result is narrower. In CMDC-to-E-DAIC, the core measurement-aware</w:t>
      </w:r>
      <w:r>
        <w:t xml:space="preserve"> </w:t>
      </w:r>
      <w:r>
        <w:t xml:space="preserve">model improves over direct target fine-tuning (</w:t>
      </w:r>
      <w:r>
        <w:rPr>
          <w:rStyle w:val="VerbatimChar"/>
        </w:rPr>
        <w:t xml:space="preserve">0.851/0.482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0.818/0.433</w:t>
      </w:r>
      <w:r>
        <w:t xml:space="preserve"> </w:t>
      </w:r>
      <w:r>
        <w:t xml:space="preserve">for Item MAE/Calibration MAE) and over the generic target MLP head</w:t>
      </w:r>
      <w:r>
        <w:t xml:space="preserve"> </w:t>
      </w:r>
      <w:r>
        <w:t xml:space="preserve">(</w:t>
      </w:r>
      <w:r>
        <w:rPr>
          <w:rStyle w:val="VerbatimChar"/>
        </w:rPr>
        <w:t xml:space="preserve">0.884/0.455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0.818/0.433</w:t>
      </w:r>
      <w:r>
        <w:t xml:space="preserve">), with paired compact score tests significant</w:t>
      </w:r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t>&lt;</m:t>
        </m:r>
        <m:r>
          <m:t>.05</m:t>
        </m:r>
      </m:oMath>
      <w:r>
        <w:t xml:space="preserve"> </w:t>
      </w:r>
      <w:r>
        <w:t xml:space="preserve">for both comparisons. This supports a direction-dependent ordinal</w:t>
      </w:r>
      <w:r>
        <w:t xml:space="preserve"> </w:t>
      </w:r>
      <w:r>
        <w:t xml:space="preserve">inductive-bias reading. It does not support a universal architecture claim:</w:t>
      </w:r>
      <w:r>
        <w:t xml:space="preserve"> </w:t>
      </w:r>
      <w:r>
        <w:t xml:space="preserve">the same advantage is absent in E-DAIC-to-CMDC, where direct target fine-tuning</w:t>
      </w:r>
      <w:r>
        <w:t xml:space="preserve"> </w:t>
      </w:r>
      <w:r>
        <w:t xml:space="preserve">and direct source-plus-target multitask adaptation match or slightly beat the</w:t>
      </w:r>
      <w:r>
        <w:t xml:space="preserve"> </w:t>
      </w:r>
      <w:r>
        <w:t xml:space="preserve">measurement-aware row.</w:t>
      </w:r>
    </w:p>
    <w:p>
      <w:pPr>
        <w:pStyle w:val="BodyText"/>
      </w:pPr>
      <w:r>
        <w:t xml:space="preserve">The direct test of corpus-specific ordinal parameterization is the comparison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Shared ordinal 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Measurement-aware</w:t>
      </w:r>
      <w:r>
        <w:t xml:space="preserve">. That comparison is</w:t>
      </w:r>
      <w:r>
        <w:t xml:space="preserve"> </w:t>
      </w:r>
      <w:r>
        <w:t xml:space="preserve">essentially tied. The compact reconstruction-plus-calibration score is</w:t>
      </w:r>
      <w:r>
        <w:t xml:space="preserve"> </w:t>
      </w:r>
      <w:r>
        <w:rPr>
          <w:rStyle w:val="VerbatimChar"/>
        </w:rPr>
        <w:t xml:space="preserve">1.252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1.251</w:t>
      </w:r>
      <w:r>
        <w:t xml:space="preserve"> </w:t>
      </w:r>
      <w:r>
        <w:t xml:space="preserve">in CMDC-to-E-DAIC and</w:t>
      </w:r>
      <w:r>
        <w:t xml:space="preserve"> </w:t>
      </w:r>
      <w:r>
        <w:rPr>
          <w:rStyle w:val="VerbatimChar"/>
        </w:rPr>
        <w:t xml:space="preserve">0.988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0.987</w:t>
      </w:r>
      <w:r>
        <w:t xml:space="preserve"> </w:t>
      </w:r>
      <w:r>
        <w:t xml:space="preserve">in</w:t>
      </w:r>
      <w:r>
        <w:t xml:space="preserve"> </w:t>
      </w:r>
      <w:r>
        <w:t xml:space="preserve">E-DAIC-to-CMDC. A targeted item analysis reaches the same conclusion. For the</w:t>
      </w:r>
      <w:r>
        <w:t xml:space="preserve"> </w:t>
      </w:r>
      <w:r>
        <w:t xml:space="preserve">measurement-gate C02/C06 threshold-shift set, the shared-head minus</w:t>
      </w:r>
      <w:r>
        <w:t xml:space="preserve"> </w:t>
      </w:r>
      <w:r>
        <w:t xml:space="preserve">measurement-aware delta is only</w:t>
      </w:r>
      <w:r>
        <w:t xml:space="preserve"> </w:t>
      </w:r>
      <w:r>
        <w:rPr>
          <w:rStyle w:val="VerbatimChar"/>
        </w:rPr>
        <w:t xml:space="preserve">0.004</w:t>
      </w:r>
      <w:r>
        <w:t xml:space="preserve"> </w:t>
      </w:r>
      <w:r>
        <w:t xml:space="preserve">MAE in CMDC-to-E-DAIC and</w:t>
      </w:r>
      <w:r>
        <w:t xml:space="preserve"> </w:t>
      </w:r>
      <w:r>
        <w:rPr>
          <w:rStyle w:val="VerbatimChar"/>
        </w:rPr>
        <w:t xml:space="preserve">0.002</w:t>
      </w:r>
      <w:r>
        <w:t xml:space="preserve"> </w:t>
      </w:r>
      <w:r>
        <w:t xml:space="preserve">MAE</w:t>
      </w:r>
      <w:r>
        <w:t xml:space="preserve"> </w:t>
      </w:r>
      <w:r>
        <w:t xml:space="preserve">in E-DAIC-to-CMDC, with confidence intervals spanning zero in both directions.</w:t>
      </w:r>
      <w:r>
        <w:t xml:space="preserve"> </w:t>
      </w:r>
      <w:r>
        <w:t xml:space="preserve">The C01/C04/C05/C07 anchor set is also near tied. Thus Table 3 does not prove</w:t>
      </w:r>
      <w:r>
        <w:t xml:space="preserve"> </w:t>
      </w:r>
      <w:r>
        <w:t xml:space="preserve">that corpus-specific measurement parameterization is an independent source of</w:t>
      </w:r>
      <w:r>
        <w:t xml:space="preserve"> </w:t>
      </w:r>
      <w:r>
        <w:t xml:space="preserve">performance improvement.</w:t>
      </w:r>
    </w:p>
    <w:p>
      <w:pPr>
        <w:pStyle w:val="BodyText"/>
      </w:pPr>
      <w:r>
        <w:t xml:space="preserve">A fixed-latent companion simulation clarifies what this negative result does</w:t>
      </w:r>
      <w:r>
        <w:t xml:space="preserve"> </w:t>
      </w:r>
      <w:r>
        <w:t xml:space="preserve">and does not mean. When the latent severity coordinate is given directly to the</w:t>
      </w:r>
      <w:r>
        <w:t xml:space="preserve"> </w:t>
      </w:r>
      <w:r>
        <w:t xml:space="preserve">measurement head, a scalar-invariant world shows no benefit from adding</w:t>
      </w:r>
      <w:r>
        <w:t xml:space="preserve"> </w:t>
      </w:r>
      <w:r>
        <w:t xml:space="preserve">corpus-specific ordinal thresholds. Under a planted C02/C06 threshold-DIF</w:t>
      </w:r>
      <w:r>
        <w:t xml:space="preserve"> </w:t>
      </w:r>
      <w:r>
        <w:t xml:space="preserve">world, the C02/C06 item-set delta becomes positive in both transfer directions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0.002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0.011</w:t>
      </w:r>
      <w:r>
        <w:t xml:space="preserve"> </w:t>
      </w:r>
      <w:r>
        <w:t xml:space="preserve">MAE in favor of the corpus-specific head), while anchor</w:t>
      </w:r>
      <w:r>
        <w:t xml:space="preserve"> </w:t>
      </w:r>
      <w:r>
        <w:t xml:space="preserve">items do not improve. This is weak item-local mechanism consistency, not a</w:t>
      </w:r>
      <w:r>
        <w:t xml:space="preserve"> </w:t>
      </w:r>
      <w:r>
        <w:t xml:space="preserve">large practical gain at the observed calibration budgets. The correct</w:t>
      </w:r>
      <w:r>
        <w:t xml:space="preserve"> </w:t>
      </w:r>
      <w:r>
        <w:t xml:space="preserve">interpretation is therefore: measurement audits can identify where target</w:t>
      </w:r>
      <w:r>
        <w:t xml:space="preserve"> </w:t>
      </w:r>
      <w:r>
        <w:t xml:space="preserve">mechanisms should be checked, but detected heterogeneity does not automatically</w:t>
      </w:r>
      <w:r>
        <w:t xml:space="preserve"> </w:t>
      </w:r>
      <w:r>
        <w:t xml:space="preserve">mean that every corpus needs a fully separate measurement head in the real</w:t>
      </w:r>
      <w:r>
        <w:t xml:space="preserve"> </w:t>
      </w:r>
      <w:r>
        <w:t xml:space="preserve">multimodal transfer setting. Adding MMD changes the compact score only</w:t>
      </w:r>
      <w:r>
        <w:t xml:space="preserve"> </w:t>
      </w:r>
      <w:r>
        <w:t xml:space="preserve">slightly and is treated as an auxiliary variant rather than the definition of</w:t>
      </w:r>
      <w:r>
        <w:t xml:space="preserve"> </w:t>
      </w:r>
      <w:r>
        <w:t xml:space="preserve">the method.</w:t>
      </w:r>
    </w:p>
    <w:p>
      <w:pPr>
        <w:pStyle w:val="BodyText"/>
      </w:pPr>
      <w:r>
        <w:t xml:space="preserve">The strongest direct and alignment baselines remain useful. CORAL and</w:t>
      </w:r>
      <w:r>
        <w:t xml:space="preserve"> </w:t>
      </w:r>
      <w:r>
        <w:t xml:space="preserve">MMD-style alignment lower some transfer errors, and direct calibrated adaptation</w:t>
      </w:r>
      <w:r>
        <w:t xml:space="preserve"> </w:t>
      </w:r>
      <w:r>
        <w:t xml:space="preserve">is a strong competitor once it is allowed to update the same shared layers. This</w:t>
      </w:r>
      <w:r>
        <w:t xml:space="preserve"> </w:t>
      </w:r>
      <w:r>
        <w:t xml:space="preserve">is exactly why target-label exposure and trainable-capacity controls matter:</w:t>
      </w:r>
      <w:r>
        <w:t xml:space="preserve"> </w:t>
      </w:r>
      <w:r>
        <w:t xml:space="preserve">under a strong frozen multimodal foundation representation, clinical target</w:t>
      </w:r>
      <w:r>
        <w:t xml:space="preserve"> </w:t>
      </w:r>
      <w:r>
        <w:t xml:space="preserve">calibration changes the result, but the specific measurement parameterization</w:t>
      </w:r>
      <w:r>
        <w:t xml:space="preserve"> </w:t>
      </w:r>
      <w:r>
        <w:t xml:space="preserve">must earn its contribution against fair calibrated alternatives.</w:t>
      </w:r>
    </w:p>
    <w:p>
      <w:pPr>
        <w:pStyle w:val="BodyText"/>
      </w:pPr>
      <w:r>
        <w:t xml:space="preserve">Foundation-representation and multimodal stress tests support the same bounded</w:t>
      </w:r>
      <w:r>
        <w:t xml:space="preserve"> </w:t>
      </w:r>
      <w:r>
        <w:t xml:space="preserve">reading. Stronger Qwen text features and fused text-audio-video representations</w:t>
      </w:r>
      <w:r>
        <w:t xml:space="preserve"> </w:t>
      </w:r>
      <w:r>
        <w:t xml:space="preserve">move the performance frontier, but they do not automatically remove corpus</w:t>
      </w:r>
      <w:r>
        <w:t xml:space="preserve"> </w:t>
      </w:r>
      <w:r>
        <w:t xml:space="preserve">identity or the target-side mapping question. Stronger encoders should be</w:t>
      </w:r>
      <w:r>
        <w:t xml:space="preserve"> </w:t>
      </w:r>
      <w:r>
        <w:t xml:space="preserve">paired with explicit target contracts and calibrated ablation tests when the</w:t>
      </w:r>
      <w:r>
        <w:t xml:space="preserve"> </w:t>
      </w:r>
      <w:r>
        <w:t xml:space="preserve">clinical label itself changes across corpora.</w:t>
      </w:r>
    </w:p>
    <w:p>
      <w:pPr>
        <w:pStyle w:val="BodyText"/>
      </w:pPr>
      <w:r>
        <w:t xml:space="preserve">Close depression-specific baselines are reported as supplementary stress tests</w:t>
      </w:r>
      <w:r>
        <w:t xml:space="preserve"> </w:t>
      </w:r>
      <w:r>
        <w:t xml:space="preserve">rather than as a second main result table. GNN-SDA-style graph adaptation,</w:t>
      </w:r>
      <w:r>
        <w:t xml:space="preserve"> </w:t>
      </w:r>
      <w:r>
        <w:t xml:space="preserve">QuestMF-style question-wise ordinal modeling, and SCD-MLLM-style heterogeneous</w:t>
      </w:r>
      <w:r>
        <w:t xml:space="preserve"> </w:t>
      </w:r>
      <w:r>
        <w:t xml:space="preserve">multimodal fusion are adapted to the same E-DAIC/CMDC split, shared PHQ items,</w:t>
      </w:r>
      <w:r>
        <w:t xml:space="preserve"> </w:t>
      </w:r>
      <w:r>
        <w:t xml:space="preserve">foundation representation, and target calibration budget. These rows support a</w:t>
      </w:r>
      <w:r>
        <w:t xml:space="preserve"> </w:t>
      </w:r>
      <w:r>
        <w:t xml:space="preserve">more cautious target-pathway reading: question-wise and heterogeneous</w:t>
      </w:r>
      <w:r>
        <w:t xml:space="preserve"> </w:t>
      </w:r>
      <w:r>
        <w:t xml:space="preserve">multimodal baselines can benefit from measurement-aware routing, but the graph</w:t>
      </w:r>
      <w:r>
        <w:t xml:space="preserve"> </w:t>
      </w:r>
      <w:r>
        <w:t xml:space="preserve">adaptation variant is direction-sensitive and the main fair-ablation table</w:t>
      </w:r>
      <w:r>
        <w:t xml:space="preserve"> </w:t>
      </w:r>
      <w:r>
        <w:t xml:space="preserve">prevents a universal architecture-win claim.</w:t>
      </w:r>
    </w:p>
    <w:p>
      <w:pPr>
        <w:pStyle w:val="BodyText"/>
      </w:pPr>
      <w:r>
        <w:t xml:space="preserve">Secondary clinical endpoints are also kept in a supporting role. Thresholding</w:t>
      </w:r>
      <w:r>
        <w:t xml:space="preserve"> </w:t>
      </w:r>
      <w:r>
        <w:t xml:space="preserve">the predicted shared-PHQ total at 10 makes Macro-F1, Balanced Accuracy, AUROC,</w:t>
      </w:r>
      <w:r>
        <w:t xml:space="preserve"> </w:t>
      </w:r>
      <w:r>
        <w:t xml:space="preserve">AUPRC, Sensitivity, and Specificity comparable to the broader MDD-detection</w:t>
      </w:r>
      <w:r>
        <w:t xml:space="preserve"> </w:t>
      </w:r>
      <w:r>
        <w:t xml:space="preserve">literature, but these numbers contextualize rather than replace the item-level</w:t>
      </w:r>
      <w:r>
        <w:t xml:space="preserve"> </w:t>
      </w:r>
      <w:r>
        <w:t xml:space="preserve">measurement result. The full binary endpoint table is therefore reported as</w:t>
      </w:r>
      <w:r>
        <w:t xml:space="preserve"> </w:t>
      </w:r>
      <w:r>
        <w:t xml:space="preserve">Supplementary Table S3 rather than as a main-text result. The binary endpoint is</w:t>
      </w:r>
      <w:r>
        <w:t xml:space="preserve"> </w:t>
      </w:r>
      <w:r>
        <w:t xml:space="preserve">strong in E-DAIC-to-CMDC and more conservative on sensitivity in</w:t>
      </w:r>
      <w:r>
        <w:t xml:space="preserve"> </w:t>
      </w:r>
      <w:r>
        <w:t xml:space="preserve">CMDC-to-E-DAIC, motivating item reconstruction and calibration as co-primary</w:t>
      </w:r>
      <w:r>
        <w:t xml:space="preserve"> </w:t>
      </w:r>
      <w:r>
        <w:t xml:space="preserve">metrics.</w:t>
      </w:r>
    </w:p>
    <w:p>
      <w:pPr>
        <w:pStyle w:val="BodyText"/>
      </w:pPr>
      <w:r>
        <w:t xml:space="preserve">Other auxiliary checks move to supplementary material: the MMD variant has only</w:t>
      </w:r>
      <w:r>
        <w:t xml:space="preserve"> </w:t>
      </w:r>
      <w:r>
        <w:t xml:space="preserve">a mild effect, localized few-shot calibration can help but is not a one-step</w:t>
      </w:r>
      <w:r>
        <w:t xml:space="preserve"> </w:t>
      </w:r>
      <w:r>
        <w:t xml:space="preserve">bidirectional fix, and a protocol-overlap deletion check does not give a simple</w:t>
      </w:r>
      <w:r>
        <w:t xml:space="preserve"> </w:t>
      </w:r>
      <w:r>
        <w:t xml:space="preserve">shortcut explanation for the main PHQ result. Together, these stress views</w:t>
      </w:r>
      <w:r>
        <w:t xml:space="preserve"> </w:t>
      </w:r>
      <w:r>
        <w:t xml:space="preserve">sharpen the prediction gate without competing with the main message:</w:t>
      </w:r>
      <w:r>
        <w:t xml:space="preserve"> </w:t>
      </w:r>
      <w:r>
        <w:t xml:space="preserve">representation alignment, latent target construction, localized calibration,</w:t>
      </w:r>
      <w:r>
        <w:t xml:space="preserve"> </w:t>
      </w:r>
      <w:r>
        <w:t xml:space="preserve">and multimodal fusion solve different parts of cross-corpus transfer, so they</w:t>
      </w:r>
      <w:r>
        <w:t xml:space="preserve"> </w:t>
      </w:r>
      <w:r>
        <w:t xml:space="preserve">do not collapse into a single</w:t>
      </w:r>
      <w:r>
        <w:t xml:space="preserve"> </w:t>
      </w:r>
      <w:r>
        <w:t xml:space="preserve">“</w:t>
      </w:r>
      <w:r>
        <w:t xml:space="preserve">better encoder</w:t>
      </w:r>
      <w:r>
        <w:t xml:space="preserve">”</w:t>
      </w:r>
      <w:r>
        <w:t xml:space="preserve"> </w:t>
      </w:r>
      <w:r>
        <w:t xml:space="preserve">axis.</w:t>
      </w:r>
    </w:p>
    <w:p>
      <w:pPr>
        <w:pStyle w:val="Heading3"/>
      </w:pPr>
      <w:bookmarkStart w:id="47" w:name="X321d9390704b22c17ed154d0c06bfd2a9da8bab"/>
      <w:r>
        <w:t xml:space="preserve">6.4 Supporting Clinical Grounding and Stress Views</w:t>
      </w:r>
      <w:bookmarkEnd w:id="47"/>
    </w:p>
    <w:p>
      <w:pPr>
        <w:pStyle w:val="FirstParagraph"/>
      </w:pPr>
      <w:r>
        <w:t xml:space="preserve">The remaining analyses support the main chain without becoming separate paper</w:t>
      </w:r>
      <w:r>
        <w:t xml:space="preserve"> </w:t>
      </w:r>
      <w:r>
        <w:t xml:space="preserve">claims. PDCH-only HAMD item-derived prediction shows that the HAMD item signal</w:t>
      </w:r>
      <w:r>
        <w:t xml:space="preserve"> </w:t>
      </w:r>
      <w:r>
        <w:t xml:space="preserve">is learnable within a clinical consultation corpus. MPDD suggests that age,</w:t>
      </w:r>
      <w:r>
        <w:t xml:space="preserve"> </w:t>
      </w:r>
      <w:r>
        <w:t xml:space="preserve">personality, and psychomotor context are useful heterogeneity and calibration</w:t>
      </w:r>
      <w:r>
        <w:t xml:space="preserve"> </w:t>
      </w:r>
      <w:r>
        <w:t xml:space="preserve">axes. EATD provides an external SDS stress view under a different</w:t>
      </w:r>
      <w:r>
        <w:t xml:space="preserve"> </w:t>
      </w:r>
      <w:r>
        <w:t xml:space="preserve">emotional-context and scale contract. Evidence-grounding annotation supports</w:t>
      </w:r>
      <w:r>
        <w:t xml:space="preserve"> </w:t>
      </w:r>
      <w:r>
        <w:t xml:space="preserve">the use of symptom constructs as auditable evidence units. These analyses are</w:t>
      </w:r>
      <w:r>
        <w:t xml:space="preserve"> </w:t>
      </w:r>
      <w:r>
        <w:t xml:space="preserve">valuable as breadth and credibility checks, but the main contribution remains</w:t>
      </w:r>
      <w:r>
        <w:t xml:space="preserve"> </w:t>
      </w:r>
      <w:r>
        <w:t xml:space="preserve">the representation-measurement-prediction gate structure and the formal</w:t>
      </w:r>
      <w:r>
        <w:t xml:space="preserve"> </w:t>
      </w:r>
      <w:r>
        <w:t xml:space="preserve">fair-ablation test of calibrated PHQ shared-item transfer.</w:t>
      </w:r>
    </w:p>
    <w:p>
      <w:pPr>
        <w:pStyle w:val="Heading2"/>
      </w:pPr>
      <w:bookmarkStart w:id="48" w:name="discussion"/>
      <w:r>
        <w:t xml:space="preserve">7 Discussion</w:t>
      </w:r>
      <w:bookmarkEnd w:id="48"/>
    </w:p>
    <w:p>
      <w:pPr>
        <w:pStyle w:val="FirstParagraph"/>
      </w:pPr>
      <w:r>
        <w:t xml:space="preserve">The main implication is conceptual: cross-corpus depression shift has both an</w:t>
      </w:r>
      <w:r>
        <w:t xml:space="preserve"> </w:t>
      </w:r>
      <w:r>
        <w:t xml:space="preserve">input side and a target side. Raw corpus signatures show that acquisition,</w:t>
      </w:r>
      <w:r>
        <w:t xml:space="preserve"> </w:t>
      </w:r>
      <w:r>
        <w:t xml:space="preserve">language, task, and population context can be recoverable from frozen</w:t>
      </w:r>
      <w:r>
        <w:t xml:space="preserve"> </w:t>
      </w:r>
      <w:r>
        <w:t xml:space="preserve">representations, but controlled probes also show that this identity signal is</w:t>
      </w:r>
      <w:r>
        <w:t xml:space="preserve"> </w:t>
      </w:r>
      <w:r>
        <w:t xml:space="preserve">contrast-dependent. Target comparability therefore cannot be inferred from</w:t>
      </w:r>
      <w:r>
        <w:t xml:space="preserve"> </w:t>
      </w:r>
      <w:r>
        <w:t xml:space="preserve">representation identity alone. A feature-alignment method can make domains look</w:t>
      </w:r>
      <w:r>
        <w:t xml:space="preserve"> </w:t>
      </w:r>
      <w:r>
        <w:t xml:space="preserve">closer in representation space while leaving the PHQ or HAMD response mechanism</w:t>
      </w:r>
      <w:r>
        <w:t xml:space="preserve"> </w:t>
      </w:r>
      <w:r>
        <w:t xml:space="preserve">unexamined.</w:t>
      </w:r>
    </w:p>
    <w:p>
      <w:pPr>
        <w:pStyle w:val="BodyText"/>
      </w:pPr>
      <w:r>
        <w:t xml:space="preserve">The modeling implication follows from the measurement results, but it must be</w:t>
      </w:r>
      <w:r>
        <w:t xml:space="preserve"> </w:t>
      </w:r>
      <w:r>
        <w:t xml:space="preserve">stated at the right strength. Measurement heterogeneity means the target</w:t>
      </w:r>
      <w:r>
        <w:t xml:space="preserve"> </w:t>
      </w:r>
      <w:r>
        <w:t xml:space="preserve">mapping should be made explicit and audited; it does not by itself prove that</w:t>
      </w:r>
      <w:r>
        <w:t xml:space="preserve"> </w:t>
      </w:r>
      <w:r>
        <w:t xml:space="preserve">each corpus needs an independent measurement head. The fair ablation shows why</w:t>
      </w:r>
      <w:r>
        <w:t xml:space="preserve"> </w:t>
      </w:r>
      <w:r>
        <w:t xml:space="preserve">this distinction matters. Much of the large gain over a frozen target-head</w:t>
      </w:r>
      <w:r>
        <w:t xml:space="preserve"> </w:t>
      </w:r>
      <w:r>
        <w:t xml:space="preserve">baseline comes from allowing target calibration labels to update the shared</w:t>
      </w:r>
      <w:r>
        <w:t xml:space="preserve"> </w:t>
      </w:r>
      <w:r>
        <w:t xml:space="preserve">layers. In the formal PHQ shared-item model, corpus-specific cumulative-logit</w:t>
      </w:r>
      <w:r>
        <w:t xml:space="preserve"> </w:t>
      </w:r>
      <w:r>
        <w:t xml:space="preserve">heads remain a principled and competitive way to encode different ordinal</w:t>
      </w:r>
      <w:r>
        <w:t xml:space="preserve"> </w:t>
      </w:r>
      <w:r>
        <w:t xml:space="preserve">response processes, and the fixed-latent simulation shows weak item-local</w:t>
      </w:r>
      <w:r>
        <w:t xml:space="preserve"> </w:t>
      </w:r>
      <w:r>
        <w:t xml:space="preserve">benefit under planted C02/C06 threshold shift. But the real-data</w:t>
      </w:r>
      <w:r>
        <w:t xml:space="preserve"> </w:t>
      </w:r>
      <w:r>
        <w:t xml:space="preserve">Shared-ordinal-head versus Measurement-aware comparison is essentially tied,</w:t>
      </w:r>
      <w:r>
        <w:t xml:space="preserve"> </w:t>
      </w:r>
      <w:r>
        <w:t xml:space="preserve">including on the targeted C02/C06 item set. The present evidence therefore</w:t>
      </w:r>
      <w:r>
        <w:t xml:space="preserve"> </w:t>
      </w:r>
      <w:r>
        <w:t xml:space="preserve">supports the architecture as a constructive target-contract instantiation, not</w:t>
      </w:r>
      <w:r>
        <w:t xml:space="preserve"> </w:t>
      </w:r>
      <w:r>
        <w:t xml:space="preserve">as a universally superior method. The proposed model addresses calibrated</w:t>
      </w:r>
      <w:r>
        <w:t xml:space="preserve"> </w:t>
      </w:r>
      <w:r>
        <w:t xml:space="preserve">cross-corpus transfer rather than zero-target-label domain generalization: the</w:t>
      </w:r>
      <w:r>
        <w:t xml:space="preserve"> </w:t>
      </w:r>
      <w:r>
        <w:t xml:space="preserve">small labeled target calibration subset is part of the problem definition, not</w:t>
      </w:r>
      <w:r>
        <w:t xml:space="preserve"> </w:t>
      </w:r>
      <w:r>
        <w:t xml:space="preserve">an accidental advantage.</w:t>
      </w:r>
    </w:p>
    <w:p>
      <w:pPr>
        <w:pStyle w:val="BodyText"/>
      </w:pPr>
      <w:r>
        <w:t xml:space="preserve">For benchmark practice, the paper suggests a simple reporting discipline.</w:t>
      </w:r>
      <w:r>
        <w:t xml:space="preserve"> </w:t>
      </w:r>
      <w:r>
        <w:t xml:space="preserve">Cross-corpus depression results should state the scale and item contract, the</w:t>
      </w:r>
      <w:r>
        <w:t xml:space="preserve"> </w:t>
      </w:r>
      <w:r>
        <w:t xml:space="preserve">source of the clinical target, and the target-label supervision regime before</w:t>
      </w:r>
      <w:r>
        <w:t xml:space="preserve"> </w:t>
      </w:r>
      <w:r>
        <w:t xml:space="preserve">claiming generalization. Zero-target-label domain generalization, unlabeled</w:t>
      </w:r>
      <w:r>
        <w:t xml:space="preserve"> </w:t>
      </w:r>
      <w:r>
        <w:t xml:space="preserve">target adaptation, and labeled target calibration are different experimental</w:t>
      </w:r>
      <w:r>
        <w:t xml:space="preserve"> </w:t>
      </w:r>
      <w:r>
        <w:t xml:space="preserve">questions. Treating them as interchangeable can make a transfer result look</w:t>
      </w:r>
      <w:r>
        <w:t xml:space="preserve"> </w:t>
      </w:r>
      <w:r>
        <w:t xml:space="preserve">stronger or weaker than the evidence supports. Separating these regimes lets</w:t>
      </w:r>
      <w:r>
        <w:t xml:space="preserve"> </w:t>
      </w:r>
      <w:r>
        <w:t xml:space="preserve">negative, asymmetric, and bounded transfer outcomes become diagnostically</w:t>
      </w:r>
      <w:r>
        <w:t xml:space="preserve"> </w:t>
      </w:r>
      <w:r>
        <w:t xml:space="preserve">useful rather than noise around a single leaderboard number.</w:t>
      </w:r>
    </w:p>
    <w:p>
      <w:pPr>
        <w:pStyle w:val="Heading2"/>
      </w:pPr>
      <w:bookmarkStart w:id="49" w:name="scope-and-limitations"/>
      <w:r>
        <w:t xml:space="preserve">8 Scope and Limitations</w:t>
      </w:r>
      <w:bookmarkEnd w:id="49"/>
    </w:p>
    <w:p>
      <w:pPr>
        <w:pStyle w:val="FirstParagraph"/>
      </w:pPr>
      <w:r>
        <w:t xml:space="preserve">Several design choices define the scope of the paper.</w:t>
      </w:r>
    </w:p>
    <w:p>
      <w:pPr>
        <w:pStyle w:val="BodyText"/>
      </w:pPr>
      <w:r>
        <w:t xml:space="preserve">First, DAIC-WOZ and E-DAIC are used as a same-lineage Wizard-of-Oz benchmark</w:t>
      </w:r>
      <w:r>
        <w:t xml:space="preserve"> </w:t>
      </w:r>
      <w:r>
        <w:t xml:space="preserve">view and PHQ-8 control, not as independent pooled corpora. That choice is</w:t>
      </w:r>
      <w:r>
        <w:t xml:space="preserve"> </w:t>
      </w:r>
      <w:r>
        <w:t xml:space="preserve">important to the story: their near-identity anchors the low-difference</w:t>
      </w:r>
      <w:r>
        <w:t xml:space="preserve"> </w:t>
      </w:r>
      <w:r>
        <w:t xml:space="preserve">reference point.</w:t>
      </w:r>
    </w:p>
    <w:p>
      <w:pPr>
        <w:pStyle w:val="BodyText"/>
      </w:pPr>
      <w:r>
        <w:t xml:space="preserve">Second, the E-DAIC/CMDC PHQ comparison is a corpus-group analysis. It supports</w:t>
      </w:r>
      <w:r>
        <w:t xml:space="preserve"> </w:t>
      </w:r>
      <w:r>
        <w:t xml:space="preserve">corpus-conditioned shared-item measurement heterogeneity, but it does not</w:t>
      </w:r>
      <w:r>
        <w:t xml:space="preserve"> </w:t>
      </w:r>
      <w:r>
        <w:t xml:space="preserve">assign the difference to one isolated cause such as language, country,</w:t>
      </w:r>
      <w:r>
        <w:t xml:space="preserve"> </w:t>
      </w:r>
      <w:r>
        <w:t xml:space="preserve">translation, protocol, severity distribution, or population.</w:t>
      </w:r>
    </w:p>
    <w:p>
      <w:pPr>
        <w:pStyle w:val="BodyText"/>
      </w:pPr>
      <w:r>
        <w:t xml:space="preserve">Third, CMDC/PDCH HAMD is an exploratory same-scale view because CMDC contains</w:t>
      </w:r>
      <w:r>
        <w:t xml:space="preserve"> </w:t>
      </w:r>
      <w:r>
        <w:t xml:space="preserve">only 25 HAMD subjects. Its role is to broaden the argument beyond PHQ form</w:t>
      </w:r>
      <w:r>
        <w:t xml:space="preserve"> </w:t>
      </w:r>
      <w:r>
        <w:t xml:space="preserve">alignment, not to serve as a formal HAMD invariance study.</w:t>
      </w:r>
    </w:p>
    <w:p>
      <w:pPr>
        <w:pStyle w:val="BodyText"/>
      </w:pPr>
      <w:r>
        <w:t xml:space="preserve">Fourth, encoders are frozen, but the calibrated ablation shows that target</w:t>
      </w:r>
      <w:r>
        <w:t xml:space="preserve"> </w:t>
      </w:r>
      <w:r>
        <w:t xml:space="preserve">labels updating the shared projector and symptom layers is itself a major</w:t>
      </w:r>
      <w:r>
        <w:t xml:space="preserve"> </w:t>
      </w:r>
      <w:r>
        <w:t xml:space="preserve">effect. End-to-end encoder adaptation is outside the present scope.</w:t>
      </w:r>
    </w:p>
    <w:p>
      <w:pPr>
        <w:pStyle w:val="BodyText"/>
      </w:pPr>
      <w:r>
        <w:t xml:space="preserve">Fifth, the formal model studies calibrated cross-corpus transfer rather than</w:t>
      </w:r>
      <w:r>
        <w:t xml:space="preserve"> </w:t>
      </w:r>
      <w:r>
        <w:t xml:space="preserve">zero-target-label domain generalization. The zero-target-label rows provide</w:t>
      </w:r>
      <w:r>
        <w:t xml:space="preserve"> </w:t>
      </w:r>
      <w:r>
        <w:t xml:space="preserve">representation-adaptation context, while architecture-level claims are made only</w:t>
      </w:r>
      <w:r>
        <w:t xml:space="preserve"> </w:t>
      </w:r>
      <w:r>
        <w:t xml:space="preserve">against calibrated baselines with the same target labels and comparable shared</w:t>
      </w:r>
      <w:r>
        <w:t xml:space="preserve"> </w:t>
      </w:r>
      <w:r>
        <w:t xml:space="preserve">adaptation exposure.</w:t>
      </w:r>
    </w:p>
    <w:p>
      <w:pPr>
        <w:pStyle w:val="BodyText"/>
      </w:pPr>
      <w:r>
        <w:t xml:space="preserve">Sixth, the current uncertainty summaries are seed-level and split-level</w:t>
      </w:r>
      <w:r>
        <w:t xml:space="preserve"> </w:t>
      </w:r>
      <w:r>
        <w:t xml:space="preserve">descriptive checks. The paired tests over five seeds are useful for detecting</w:t>
      </w:r>
      <w:r>
        <w:t xml:space="preserve"> </w:t>
      </w:r>
      <w:r>
        <w:t xml:space="preserve">large fairness failures, but they are not sufficient as the main evidence for</w:t>
      </w:r>
      <w:r>
        <w:t xml:space="preserve"> </w:t>
      </w:r>
      <w:r>
        <w:t xml:space="preserve">small architecture superiority, especially in the E-DAIC-to-CMDC direction</w:t>
      </w:r>
      <w:r>
        <w:t xml:space="preserve"> </w:t>
      </w:r>
      <w:r>
        <w:t xml:space="preserve">where the target evaluation set contains 20 subjects. Participant-level or</w:t>
      </w:r>
      <w:r>
        <w:t xml:space="preserve"> </w:t>
      </w:r>
      <w:r>
        <w:t xml:space="preserve">repeated-split uncertainty should be used before making stronger superiority</w:t>
      </w:r>
      <w:r>
        <w:t xml:space="preserve"> </w:t>
      </w:r>
      <w:r>
        <w:t xml:space="preserve">claims from small differences.</w:t>
      </w:r>
    </w:p>
    <w:p>
      <w:pPr>
        <w:pStyle w:val="Heading2"/>
      </w:pPr>
      <w:bookmarkStart w:id="50" w:name="conclusion"/>
      <w:r>
        <w:t xml:space="preserve">9 Conclusion</w:t>
      </w:r>
      <w:bookmarkEnd w:id="50"/>
    </w:p>
    <w:p>
      <w:pPr>
        <w:pStyle w:val="FirstParagraph"/>
      </w:pPr>
      <w:r>
        <w:t xml:space="preserve">Cross-corpus depression detection should not begin by assuming that all</w:t>
      </w:r>
      <w:r>
        <w:t xml:space="preserve"> </w:t>
      </w:r>
      <w:r>
        <w:t xml:space="preserve">depression labels are interchangeable targets. Across six corpus families and</w:t>
      </w:r>
      <w:r>
        <w:t xml:space="preserve"> </w:t>
      </w:r>
      <w:r>
        <w:t xml:space="preserve">one DAIC-lineage benchmark view, we find strong raw corpus signatures with</w:t>
      </w:r>
      <w:r>
        <w:t xml:space="preserve"> </w:t>
      </w:r>
      <w:r>
        <w:t xml:space="preserve">control-dependent residual identity, a graded empirical pattern of measurement</w:t>
      </w:r>
      <w:r>
        <w:t xml:space="preserve"> </w:t>
      </w:r>
      <w:r>
        <w:t xml:space="preserve">comparability, and prediction consequences that cannot be explained by encoder</w:t>
      </w:r>
      <w:r>
        <w:t xml:space="preserve"> </w:t>
      </w:r>
      <w:r>
        <w:t xml:space="preserve">strength alone.</w:t>
      </w:r>
      <w:r>
        <w:t xml:space="preserve"> </w:t>
      </w:r>
      <w:r>
        <w:t xml:space="preserve">DAIC-WOZ/E-DAIC provides the low-difference PHQ-8 control; E-DAIC/CMDC reveals</w:t>
      </w:r>
      <w:r>
        <w:t xml:space="preserve"> </w:t>
      </w:r>
      <w:r>
        <w:t xml:space="preserve">cross-language PHQ</w:t>
      </w:r>
      <w:r>
        <w:t xml:space="preserve"> </w:t>
      </w:r>
      <w:r>
        <w:t xml:space="preserve">shared-item differences; CMDC/PDCH adds exploratory same-HAMD support.</w:t>
      </w:r>
    </w:p>
    <w:p>
      <w:pPr>
        <w:pStyle w:val="BodyText"/>
      </w:pPr>
      <w:r>
        <w:t xml:space="preserve">The resulting lesson is direct: before aligning representations, validate the</w:t>
      </w:r>
      <w:r>
        <w:t xml:space="preserve"> </w:t>
      </w:r>
      <w:r>
        <w:t xml:space="preserve">target. A measurement-aware framework gives future systems a practical way to</w:t>
      </w:r>
      <w:r>
        <w:t xml:space="preserve"> </w:t>
      </w:r>
      <w:r>
        <w:t xml:space="preserve">do that, and the fair ordinal-head ablation shows both the promise and the</w:t>
      </w:r>
      <w:r>
        <w:t xml:space="preserve"> </w:t>
      </w:r>
      <w:r>
        <w:t xml:space="preserve">claim boundary. The robust empirical lesson is that target calibration and</w:t>
      </w:r>
      <w:r>
        <w:t xml:space="preserve"> </w:t>
      </w:r>
      <w:r>
        <w:t xml:space="preserve">shared-layer adaptation matter; ordinal measurement modeling can help in a</w:t>
      </w:r>
      <w:r>
        <w:t xml:space="preserve"> </w:t>
      </w:r>
      <w:r>
        <w:t xml:space="preserve">direction-dependent way; and corpus-specific ordinal heads have not yet shown</w:t>
      </w:r>
      <w:r>
        <w:t xml:space="preserve"> </w:t>
      </w:r>
      <w:r>
        <w:t xml:space="preserve">an independent overall advantage over a shared ordinal head in the real</w:t>
      </w:r>
      <w:r>
        <w:t xml:space="preserve"> </w:t>
      </w:r>
      <w:r>
        <w:t xml:space="preserve">E-DAIC/CMDC transfer setting. Strong encoders and multimodal foundation models</w:t>
      </w:r>
      <w:r>
        <w:t xml:space="preserve"> </w:t>
      </w:r>
      <w:r>
        <w:t xml:space="preserve">can still do what they do well, but clinical measurement contracts, target</w:t>
      </w:r>
      <w:r>
        <w:t xml:space="preserve"> </w:t>
      </w:r>
      <w:r>
        <w:t xml:space="preserve">calibration, shared-layer adaptation, and corpus-specific measurement</w:t>
      </w:r>
      <w:r>
        <w:t xml:space="preserve"> </w:t>
      </w:r>
      <w:r>
        <w:t xml:space="preserve">parameterization must be reported separately. This makes cross-corpus</w:t>
      </w:r>
      <w:r>
        <w:t xml:space="preserve"> </w:t>
      </w:r>
      <w:r>
        <w:t xml:space="preserve">depression benchmarks harder to overread, but easier to trust.</w:t>
      </w:r>
    </w:p>
    <w:bookmarkStart w:id="139" w:name="refs"/>
    <w:bookmarkStart w:id="52" w:name="ref-arjovsky2019irm"/>
    <w:p>
      <w:pPr>
        <w:pStyle w:val="Bibliography"/>
      </w:pPr>
      <w:r>
        <w:t xml:space="preserve">Arjovsky, Martin, L</w:t>
      </w:r>
      <w:r>
        <w:br/>
      </w:r>
      <w:r>
        <w:t xml:space="preserve">’eon Bottou, Ishaan Gulrajani, and David Lopez-Paz. 2019. “Invariant Risk Minimization.”</w:t>
      </w:r>
      <w:r>
        <w:t xml:space="preserve"> </w:t>
      </w:r>
      <w:hyperlink r:id="rId51">
        <w:r>
          <w:rPr>
            <w:rStyle w:val="Hyperlink"/>
          </w:rPr>
          <w:t xml:space="preserve">https://arxiv.org/abs/1907.02893</w:t>
        </w:r>
      </w:hyperlink>
      <w:r>
        <w:t xml:space="preserve">.</w:t>
      </w:r>
    </w:p>
    <w:bookmarkEnd w:id="52"/>
    <w:bookmarkStart w:id="54" w:name="ref-baevski2020wav2vec2"/>
    <w:p>
      <w:pPr>
        <w:pStyle w:val="Bibliography"/>
      </w:pPr>
      <w:r>
        <w:t xml:space="preserve">Baevski, Alexei, Henry Zhou, Abdelrahman Mohamed, and Michael Auli. 2020. “wav2vec 2.0: A Framework for Self-Supervised Learning of Speech Representations.”</w:t>
      </w:r>
      <w:r>
        <w:t xml:space="preserve"> </w:t>
      </w:r>
      <w:hyperlink r:id="rId53">
        <w:r>
          <w:rPr>
            <w:rStyle w:val="Hyperlink"/>
          </w:rPr>
          <w:t xml:space="preserve">https://arxiv.org/abs/2006.11477</w:t>
        </w:r>
      </w:hyperlink>
      <w:r>
        <w:t xml:space="preserve">.</w:t>
      </w:r>
    </w:p>
    <w:bookmarkEnd w:id="54"/>
    <w:bookmarkStart w:id="56" w:name="ref-baai2026bgem3"/>
    <w:p>
      <w:pPr>
        <w:pStyle w:val="Bibliography"/>
      </w:pPr>
      <w:r>
        <w:t xml:space="preserve">Beijing Academy of Artificial Intelligence. 2026. “BAAI/bge-m3 Model Card.”</w:t>
      </w:r>
      <w:r>
        <w:t xml:space="preserve"> </w:t>
      </w:r>
      <w:hyperlink r:id="rId55">
        <w:r>
          <w:rPr>
            <w:rStyle w:val="Hyperlink"/>
          </w:rPr>
          <w:t xml:space="preserve">https://huggingface.co/BAAI/bge-m3</w:t>
        </w:r>
      </w:hyperlink>
      <w:r>
        <w:t xml:space="preserve">.</w:t>
      </w:r>
    </w:p>
    <w:bookmarkEnd w:id="56"/>
    <w:bookmarkStart w:id="58" w:name="ref-bulut2017detecting"/>
    <w:p>
      <w:pPr>
        <w:pStyle w:val="Bibliography"/>
      </w:pPr>
      <w:r>
        <w:t xml:space="preserve">Bulut, Okan, and Youngsuk Suh. 2017. “Detecting Multidimensional Differential Item Functioning with the Multiple Indicators Multiple Causes Model, the Item Response Theory Likelihood Ratio Test, and Logistic Regression.”</w:t>
      </w:r>
      <w:r>
        <w:t xml:space="preserve"> </w:t>
      </w:r>
      <w:r>
        <w:rPr>
          <w:i/>
        </w:rPr>
        <w:t xml:space="preserve">Frontiers in Education</w:t>
      </w:r>
      <w:r>
        <w:t xml:space="preserve"> </w:t>
      </w:r>
      <w:r>
        <w:t xml:space="preserve">2: 51.</w:t>
      </w:r>
      <w:r>
        <w:t xml:space="preserve"> </w:t>
      </w:r>
      <w:hyperlink r:id="rId57">
        <w:r>
          <w:rPr>
            <w:rStyle w:val="Hyperlink"/>
          </w:rPr>
          <w:t xml:space="preserve">https://doi.org/10.3389/feduc.2017.00051</w:t>
        </w:r>
      </w:hyperlink>
      <w:r>
        <w:t xml:space="preserve">.</w:t>
      </w:r>
    </w:p>
    <w:bookmarkEnd w:id="58"/>
    <w:bookmarkStart w:id="60" w:name="ref-burdisso2024daicprompts"/>
    <w:p>
      <w:pPr>
        <w:pStyle w:val="Bibliography"/>
      </w:pPr>
      <w:r>
        <w:t xml:space="preserve">Burdisso, Sergio, Ernesto Reyes-Ram</w:t>
      </w:r>
      <w:r>
        <w:br/>
      </w:r>
      <w:r>
        <w:t xml:space="preserve">’irez, Esa</w:t>
      </w:r>
      <w:r>
        <w:br/>
      </w:r>
      <w:r>
        <w:t xml:space="preserve">’u Villatoro-tello, Fernando S</w:t>
      </w:r>
      <w:r>
        <w:br/>
      </w:r>
      <w:r>
        <w:t xml:space="preserve">’anchez-Vega, Adrian Lopez Monroy, and Petr Motlicek. 2024. “DAIC-WOZ: On the Validity of Using the Therapist’s Prompts in Automatic Depression Detection from Clinical Interviews.” In</w:t>
      </w:r>
      <w:r>
        <w:t xml:space="preserve"> </w:t>
      </w:r>
      <w:r>
        <w:rPr>
          <w:i/>
        </w:rPr>
        <w:t xml:space="preserve">Proceedings of the 6th Clinical Natural Language Processing Workshop</w:t>
      </w:r>
      <w:r>
        <w:t xml:space="preserve">, 82–90. Association for Computational Linguistics.</w:t>
      </w:r>
      <w:r>
        <w:t xml:space="preserve"> </w:t>
      </w:r>
      <w:hyperlink r:id="rId59">
        <w:r>
          <w:rPr>
            <w:rStyle w:val="Hyperlink"/>
          </w:rPr>
          <w:t xml:space="preserve">https://doi.org/10.18653/v1/2024.clinicalnlp-1.8</w:t>
        </w:r>
      </w:hyperlink>
      <w:r>
        <w:t xml:space="preserve">.</w:t>
      </w:r>
    </w:p>
    <w:bookmarkEnd w:id="60"/>
    <w:bookmarkStart w:id="62" w:name="ref-cai2020modma"/>
    <w:p>
      <w:pPr>
        <w:pStyle w:val="Bibliography"/>
      </w:pPr>
      <w:r>
        <w:t xml:space="preserve">Cai, Hanshu, Zhenqin Yuan, Yiwen Gao, Shuting Sun, Na Li, Fuze Tian, Han Xiao, et al. 2022. “A Multi-Modal Open Dataset for Mental-Disorder Analysis.”</w:t>
      </w:r>
      <w:r>
        <w:t xml:space="preserve"> </w:t>
      </w:r>
      <w:r>
        <w:rPr>
          <w:i/>
        </w:rPr>
        <w:t xml:space="preserve">Scientific Data</w:t>
      </w:r>
      <w:r>
        <w:t xml:space="preserve"> </w:t>
      </w:r>
      <w:r>
        <w:t xml:space="preserve">9 (1): 178.</w:t>
      </w:r>
      <w:r>
        <w:t xml:space="preserve"> </w:t>
      </w:r>
      <w:hyperlink r:id="rId61">
        <w:r>
          <w:rPr>
            <w:rStyle w:val="Hyperlink"/>
          </w:rPr>
          <w:t xml:space="preserve">https://doi.org/10.1038/s41597-022-01211-x</w:t>
        </w:r>
      </w:hyperlink>
      <w:r>
        <w:t xml:space="preserve">.</w:t>
      </w:r>
    </w:p>
    <w:bookmarkEnd w:id="62"/>
    <w:bookmarkStart w:id="64" w:name="ref-chalmers2012mirt"/>
    <w:p>
      <w:pPr>
        <w:pStyle w:val="Bibliography"/>
      </w:pPr>
      <w:r>
        <w:t xml:space="preserve">Chalmers, R. Philip. 2012. “mirt: A Multidimensional Item Response Theory Package for the R Environment.”</w:t>
      </w:r>
      <w:r>
        <w:t xml:space="preserve"> </w:t>
      </w:r>
      <w:r>
        <w:rPr>
          <w:i/>
        </w:rPr>
        <w:t xml:space="preserve">Journal of Statistical Software</w:t>
      </w:r>
      <w:r>
        <w:t xml:space="preserve"> </w:t>
      </w:r>
      <w:r>
        <w:t xml:space="preserve">48 (6): 1–29.</w:t>
      </w:r>
      <w:r>
        <w:t xml:space="preserve"> </w:t>
      </w:r>
      <w:hyperlink r:id="rId63">
        <w:r>
          <w:rPr>
            <w:rStyle w:val="Hyperlink"/>
          </w:rPr>
          <w:t xml:space="preserve">https://doi.org/10.18637/jss.v048.i06</w:t>
        </w:r>
      </w:hyperlink>
      <w:r>
        <w:t xml:space="preserve">.</w:t>
      </w:r>
    </w:p>
    <w:bookmarkEnd w:id="64"/>
    <w:bookmarkStart w:id="66" w:name="ref-chalmers2026mirtmultiplegroup"/>
    <w:p>
      <w:pPr>
        <w:pStyle w:val="Bibliography"/>
      </w:pPr>
      <w:r>
        <w:t xml:space="preserve">Chalmers, R. Philip, and mirt contributors. 2026. “multipleGroup: Multiple Group Estimation.”</w:t>
      </w:r>
      <w:r>
        <w:t xml:space="preserve"> </w:t>
      </w:r>
      <w:hyperlink r:id="rId65">
        <w:r>
          <w:rPr>
            <w:rStyle w:val="Hyperlink"/>
          </w:rPr>
          <w:t xml:space="preserve">https://philchalmers.github.io/mirt/html/multipleGroup.html</w:t>
        </w:r>
      </w:hyperlink>
      <w:r>
        <w:t xml:space="preserve">.</w:t>
      </w:r>
    </w:p>
    <w:bookmarkEnd w:id="66"/>
    <w:bookmarkStart w:id="68" w:name="ref-chen2025scd"/>
    <w:p>
      <w:pPr>
        <w:pStyle w:val="Bibliography"/>
      </w:pPr>
      <w:r>
        <w:t xml:space="preserve">Chen, Jiuyi, Mingkui Tan, Haifeng Lu, Qiuna Xu, Zhihua Wang, Runhao Zeng, and Xiping Hu. 2026. “Towards Stable Cross-Domain Depression Recognition Under Missing Modalities.”</w:t>
      </w:r>
      <w:r>
        <w:t xml:space="preserve"> </w:t>
      </w:r>
      <w:r>
        <w:rPr>
          <w:i/>
        </w:rPr>
        <w:t xml:space="preserve">Pattern Recognition</w:t>
      </w:r>
      <w:r>
        <w:t xml:space="preserve"> </w:t>
      </w:r>
      <w:r>
        <w:t xml:space="preserve">177: 113367.</w:t>
      </w:r>
      <w:r>
        <w:t xml:space="preserve"> </w:t>
      </w:r>
      <w:hyperlink r:id="rId67">
        <w:r>
          <w:rPr>
            <w:rStyle w:val="Hyperlink"/>
          </w:rPr>
          <w:t xml:space="preserve">https://doi.org/10.1016/j.patcog.2026.113367</w:t>
        </w:r>
      </w:hyperlink>
      <w:r>
        <w:t xml:space="preserve">.</w:t>
      </w:r>
    </w:p>
    <w:bookmarkEnd w:id="68"/>
    <w:bookmarkStart w:id="70" w:name="ref-chen2022wavlm"/>
    <w:p>
      <w:pPr>
        <w:pStyle w:val="Bibliography"/>
      </w:pPr>
      <w:r>
        <w:t xml:space="preserve">Chen, Sanyuan, Chengyi Wang, Zhengyang Chen, Yu Wu, Shujie Liu, Zhuo Chen, Jinyu Li, et al. 2022. “WavLM: Large-Scale Self-Supervised Pre-Training for Full Stack Speech Processing.”</w:t>
      </w:r>
      <w:r>
        <w:t xml:space="preserve"> </w:t>
      </w:r>
      <w:hyperlink r:id="rId69">
        <w:r>
          <w:rPr>
            <w:rStyle w:val="Hyperlink"/>
          </w:rPr>
          <w:t xml:space="preserve">https://arxiv.org/abs/2110.13900</w:t>
        </w:r>
      </w:hyperlink>
      <w:r>
        <w:t xml:space="preserve">.</w:t>
      </w:r>
    </w:p>
    <w:bookmarkEnd w:id="70"/>
    <w:bookmarkStart w:id="72" w:name="ref-chen2024gnnsda"/>
    <w:p>
      <w:pPr>
        <w:pStyle w:val="Bibliography"/>
      </w:pPr>
      <w:r>
        <w:t xml:space="preserve">Chen, Tao, Yanrong Guo, Shijie Hao, and Richang Hong. 2024. “Semi-Supervised Domain Adaptation for Major Depressive Disorder Detection.”</w:t>
      </w:r>
      <w:r>
        <w:t xml:space="preserve"> </w:t>
      </w:r>
      <w:r>
        <w:rPr>
          <w:i/>
        </w:rPr>
        <w:t xml:space="preserve">IEEE Transactions on Multimedia</w:t>
      </w:r>
      <w:r>
        <w:t xml:space="preserve"> </w:t>
      </w:r>
      <w:r>
        <w:t xml:space="preserve">26: 3567–79.</w:t>
      </w:r>
      <w:r>
        <w:t xml:space="preserve"> </w:t>
      </w:r>
      <w:hyperlink r:id="rId71">
        <w:r>
          <w:rPr>
            <w:rStyle w:val="Hyperlink"/>
          </w:rPr>
          <w:t xml:space="preserve">https://doi.org/10.1109/TMM.2023.3312917</w:t>
        </w:r>
      </w:hyperlink>
      <w:r>
        <w:t xml:space="preserve">.</w:t>
      </w:r>
    </w:p>
    <w:bookmarkEnd w:id="72"/>
    <w:bookmarkStart w:id="74" w:name="ref-chen2025leavingnone"/>
    <w:p>
      <w:pPr>
        <w:pStyle w:val="Bibliography"/>
      </w:pPr>
      <w:r>
        <w:t xml:space="preserve">———. 2025. “Leaving None Behind: Data-Free Domain Incremental Learning for Major Depressive Disorder Detection.”</w:t>
      </w:r>
      <w:r>
        <w:t xml:space="preserve"> </w:t>
      </w:r>
      <w:r>
        <w:rPr>
          <w:i/>
        </w:rPr>
        <w:t xml:space="preserve">IEEE Transactions on Affective Computing</w:t>
      </w:r>
      <w:r>
        <w:t xml:space="preserve"> </w:t>
      </w:r>
      <w:r>
        <w:t xml:space="preserve">16 (2): 758–70.</w:t>
      </w:r>
      <w:r>
        <w:t xml:space="preserve"> </w:t>
      </w:r>
      <w:hyperlink r:id="rId73">
        <w:r>
          <w:rPr>
            <w:rStyle w:val="Hyperlink"/>
          </w:rPr>
          <w:t xml:space="preserve">https://doi.org/10.1109/TAFFC.2024.3469189</w:t>
        </w:r>
      </w:hyperlink>
      <w:r>
        <w:t xml:space="preserve">.</w:t>
      </w:r>
    </w:p>
    <w:bookmarkEnd w:id="74"/>
    <w:bookmarkStart w:id="76" w:name="ref-delamain2024measurement"/>
    <w:p>
      <w:pPr>
        <w:pStyle w:val="Bibliography"/>
      </w:pPr>
      <w:r>
        <w:t xml:space="preserve">Delamain, Henry, Joshua E. J. Buckman, Joshua Stott, Ann John, Sonia Singh, Stephen Pilling, and Rob Saunders. 2024. “Measurement Invariance and Differential Item Functioning of the PHQ-9 and GAD-7 in a Large Primary Care Sample.”</w:t>
      </w:r>
      <w:r>
        <w:t xml:space="preserve"> </w:t>
      </w:r>
      <w:r>
        <w:rPr>
          <w:i/>
        </w:rPr>
        <w:t xml:space="preserve">Journal of Affective Disorders</w:t>
      </w:r>
      <w:r>
        <w:t xml:space="preserve"> </w:t>
      </w:r>
      <w:r>
        <w:t xml:space="preserve">347: 15–22.</w:t>
      </w:r>
      <w:r>
        <w:t xml:space="preserve"> </w:t>
      </w:r>
      <w:hyperlink r:id="rId75">
        <w:r>
          <w:rPr>
            <w:rStyle w:val="Hyperlink"/>
          </w:rPr>
          <w:t xml:space="preserve">https://doi.org/10.1016/j.jad.2023.11.026</w:t>
        </w:r>
      </w:hyperlink>
      <w:r>
        <w:t xml:space="preserve">.</w:t>
      </w:r>
    </w:p>
    <w:bookmarkEnd w:id="76"/>
    <w:bookmarkStart w:id="78" w:name="ref-deduro2026nlppsychometrics"/>
    <w:p>
      <w:pPr>
        <w:pStyle w:val="Bibliography"/>
      </w:pPr>
      <w:r>
        <w:t xml:space="preserve">Duro, Edoardo Sebastiano De, Emma Franchino, and Massimo Stella. 2026. “Natural Language Processing Psychometrics.”</w:t>
      </w:r>
      <w:r>
        <w:t xml:space="preserve"> </w:t>
      </w:r>
      <w:hyperlink r:id="rId77">
        <w:r>
          <w:rPr>
            <w:rStyle w:val="Hyperlink"/>
          </w:rPr>
          <w:t xml:space="preserve">https://doi.org/10.48550/arXiv.2608.07316</w:t>
        </w:r>
      </w:hyperlink>
      <w:r>
        <w:t xml:space="preserve">.</w:t>
      </w:r>
    </w:p>
    <w:bookmarkEnd w:id="78"/>
    <w:bookmarkStart w:id="80" w:name="ref-fu2025mpddchallenge"/>
    <w:p>
      <w:pPr>
        <w:pStyle w:val="Bibliography"/>
      </w:pPr>
      <w:r>
        <w:t xml:space="preserve">Fu, Changzeng, Zelin Fu, Qi Zhang, Xinhe Kuang, Jiacheng Dong, Kaifeng Su, Yikai Su, et al. 2025. “The First MPDD Challenge: Multimodal Personality-Aware Depression Detection.” In</w:t>
      </w:r>
      <w:r>
        <w:t xml:space="preserve"> </w:t>
      </w:r>
      <w:r>
        <w:rPr>
          <w:i/>
        </w:rPr>
        <w:t xml:space="preserve">Proceedings of the 33rd Acm International Conference on Multimedia</w:t>
      </w:r>
      <w:r>
        <w:t xml:space="preserve">, 13924–9.</w:t>
      </w:r>
      <w:r>
        <w:t xml:space="preserve"> </w:t>
      </w:r>
      <w:hyperlink r:id="rId79">
        <w:r>
          <w:rPr>
            <w:rStyle w:val="Hyperlink"/>
          </w:rPr>
          <w:t xml:space="preserve">https://doi.org/10.1145/3746027.3762020</w:t>
        </w:r>
      </w:hyperlink>
      <w:r>
        <w:t xml:space="preserve">.</w:t>
      </w:r>
    </w:p>
    <w:bookmarkEnd w:id="80"/>
    <w:bookmarkStart w:id="82" w:name="ref-fu2026p3hf"/>
    <w:p>
      <w:pPr>
        <w:pStyle w:val="Bibliography"/>
      </w:pPr>
      <w:r>
        <w:t xml:space="preserve">Fu, Changzeng, Shiwen Zhao, Yunze Zhang, Zhongquan Jian, Shiqi Zhao, and Chaoran Liu. 2026. “Personality-Guided Public-Private Domain Disentangled Hypergraph-Former Network for Multimodal Depression Detection.”</w:t>
      </w:r>
      <w:r>
        <w:t xml:space="preserve"> </w:t>
      </w:r>
      <w:r>
        <w:rPr>
          <w:i/>
        </w:rPr>
        <w:t xml:space="preserve">Proceedings of the AAAI Conference on Artificial Intelligence</w:t>
      </w:r>
      <w:r>
        <w:t xml:space="preserve"> </w:t>
      </w:r>
      <w:r>
        <w:t xml:space="preserve">40 (3): 1801–9.</w:t>
      </w:r>
      <w:r>
        <w:t xml:space="preserve"> </w:t>
      </w:r>
      <w:hyperlink r:id="rId81">
        <w:r>
          <w:rPr>
            <w:rStyle w:val="Hyperlink"/>
          </w:rPr>
          <w:t xml:space="preserve">https://doi.org/10.1609/aaai.v40i3.37159</w:t>
        </w:r>
      </w:hyperlink>
      <w:r>
        <w:t xml:space="preserve">.</w:t>
      </w:r>
    </w:p>
    <w:bookmarkEnd w:id="82"/>
    <w:bookmarkStart w:id="84" w:name="ref-galenkamp2017measurement"/>
    <w:p>
      <w:pPr>
        <w:pStyle w:val="Bibliography"/>
      </w:pPr>
      <w:r>
        <w:t xml:space="preserve">Galenkamp, Henrike, Karien Stronks, Marieke B. Snijder, and Eske M. Derks. 2017. “Measurement Invariance Testing of the PHQ-9 in a Multi-Ethnic Population in Europe: The HELIUS Study.”</w:t>
      </w:r>
      <w:r>
        <w:t xml:space="preserve"> </w:t>
      </w:r>
      <w:r>
        <w:rPr>
          <w:i/>
        </w:rPr>
        <w:t xml:space="preserve">BMC Psychiatry</w:t>
      </w:r>
      <w:r>
        <w:t xml:space="preserve"> </w:t>
      </w:r>
      <w:r>
        <w:t xml:space="preserve">17 (1): 349.</w:t>
      </w:r>
      <w:r>
        <w:t xml:space="preserve"> </w:t>
      </w:r>
      <w:hyperlink r:id="rId83">
        <w:r>
          <w:rPr>
            <w:rStyle w:val="Hyperlink"/>
          </w:rPr>
          <w:t xml:space="preserve">https://doi.org/10.1186/s12888-017-1506-9</w:t>
        </w:r>
      </w:hyperlink>
      <w:r>
        <w:t xml:space="preserve">.</w:t>
      </w:r>
    </w:p>
    <w:bookmarkEnd w:id="84"/>
    <w:bookmarkStart w:id="86" w:name="ref-ganin2016domain"/>
    <w:p>
      <w:pPr>
        <w:pStyle w:val="Bibliography"/>
      </w:pPr>
      <w:r>
        <w:t xml:space="preserve">Ganin, Yaroslav, Evgeniya Ustinova, Hana Ajakan, Pascal Germain, Hugo Larochelle, Fran</w:t>
      </w:r>
      <w:r>
        <w:br/>
      </w:r>
      <w:r>
        <w:t xml:space="preserve">ccois Laviolette, Mario Marchand, and Victor Lempitsky. 2016. “Domain-Adversarial Training of Neural Networks.”</w:t>
      </w:r>
      <w:r>
        <w:t xml:space="preserve"> </w:t>
      </w:r>
      <w:r>
        <w:rPr>
          <w:i/>
        </w:rPr>
        <w:t xml:space="preserve">Journal of Machine Learning Research</w:t>
      </w:r>
      <w:r>
        <w:t xml:space="preserve"> </w:t>
      </w:r>
      <w:r>
        <w:t xml:space="preserve">17 (59): 1–35.</w:t>
      </w:r>
      <w:r>
        <w:t xml:space="preserve"> </w:t>
      </w:r>
      <w:hyperlink r:id="rId85">
        <w:r>
          <w:rPr>
            <w:rStyle w:val="Hyperlink"/>
          </w:rPr>
          <w:t xml:space="preserve">https://jmlr.org/papers/v17/15-239.html</w:t>
        </w:r>
      </w:hyperlink>
      <w:r>
        <w:t xml:space="preserve">.</w:t>
      </w:r>
    </w:p>
    <w:bookmarkEnd w:id="86"/>
    <w:bookmarkStart w:id="88" w:name="ref-gratch2014distress"/>
    <w:p>
      <w:pPr>
        <w:pStyle w:val="Bibliography"/>
      </w:pPr>
      <w:r>
        <w:t xml:space="preserve">Gratch, Jonathan, Ron Artstein, Gale M. Lucas, Giota Stratou, Stefan Scherer, Angela Nazarian, Rachel Wood, et al. 2014. “The Distress Analysis Interview Corpus of Human and Computer Interviews.” In</w:t>
      </w:r>
      <w:r>
        <w:t xml:space="preserve"> </w:t>
      </w:r>
      <w:r>
        <w:rPr>
          <w:i/>
        </w:rPr>
        <w:t xml:space="preserve">Proceedings of the Ninth International Conference on Language Resources and Evaluation (Lrec’14)</w:t>
      </w:r>
      <w:r>
        <w:t xml:space="preserve">, 3123–8. European Language Resources Association (ELRA).</w:t>
      </w:r>
      <w:r>
        <w:t xml:space="preserve"> </w:t>
      </w:r>
      <w:hyperlink r:id="rId87">
        <w:r>
          <w:rPr>
            <w:rStyle w:val="Hyperlink"/>
          </w:rPr>
          <w:t xml:space="preserve">https://aclanthology.org/L14-1421/</w:t>
        </w:r>
      </w:hyperlink>
      <w:r>
        <w:t xml:space="preserve">.</w:t>
      </w:r>
    </w:p>
    <w:bookmarkEnd w:id="88"/>
    <w:bookmarkStart w:id="90" w:name="ref-guo2017calibration"/>
    <w:p>
      <w:pPr>
        <w:pStyle w:val="Bibliography"/>
      </w:pPr>
      <w:r>
        <w:t xml:space="preserve">Guo, Chuan, Geoff Pleiss, Yu Sun, and Kilian Q. Weinberger. 2017. “On Calibration of Modern Neural Networks.” In</w:t>
      </w:r>
      <w:r>
        <w:t xml:space="preserve"> </w:t>
      </w:r>
      <w:r>
        <w:rPr>
          <w:i/>
        </w:rPr>
        <w:t xml:space="preserve">Proceedings of the 34th International Conference on Machine Learning</w:t>
      </w:r>
      <w:r>
        <w:t xml:space="preserve">, 70:1321–30. Proceedings of Machine Learning Research. PMLR.</w:t>
      </w:r>
      <w:r>
        <w:t xml:space="preserve"> </w:t>
      </w:r>
      <w:hyperlink r:id="rId89">
        <w:r>
          <w:rPr>
            <w:rStyle w:val="Hyperlink"/>
          </w:rPr>
          <w:t xml:space="preserve">https://proceedings.mlr.press/v70/guo17a.html</w:t>
        </w:r>
      </w:hyperlink>
      <w:r>
        <w:t xml:space="preserve">.</w:t>
      </w:r>
    </w:p>
    <w:bookmarkEnd w:id="90"/>
    <w:bookmarkStart w:id="92" w:name="ref-ishikawa2026multiprobe"/>
    <w:p>
      <w:pPr>
        <w:pStyle w:val="Bibliography"/>
      </w:pPr>
      <w:r>
        <w:t xml:space="preserve">Ishikawa, Takehiro, and Jon Duke. 2026. “A Multi-Probe Audit of Clinical-Interview Depression Detection Benchmarks.”</w:t>
      </w:r>
      <w:r>
        <w:t xml:space="preserve"> </w:t>
      </w:r>
      <w:hyperlink r:id="rId91">
        <w:r>
          <w:rPr>
            <w:rStyle w:val="Hyperlink"/>
          </w:rPr>
          <w:t xml:space="preserve">https://doi.org/10.48550/arXiv.2605.23977</w:t>
        </w:r>
      </w:hyperlink>
      <w:r>
        <w:t xml:space="preserve">.</w:t>
      </w:r>
    </w:p>
    <w:bookmarkEnd w:id="92"/>
    <w:bookmarkStart w:id="94" w:name="ref-li2025mirror"/>
    <w:p>
      <w:pPr>
        <w:pStyle w:val="Bibliography"/>
      </w:pPr>
      <w:r>
        <w:t xml:space="preserve">Li, Tong, Rasiq Hussain, Mehak Gupta, and Joshua R. Oltmanns. 2025. “"Mirror" Language AI Models of Depression Are Criterion-Contaminated.”</w:t>
      </w:r>
      <w:r>
        <w:t xml:space="preserve"> </w:t>
      </w:r>
      <w:hyperlink r:id="rId93">
        <w:r>
          <w:rPr>
            <w:rStyle w:val="Hyperlink"/>
          </w:rPr>
          <w:t xml:space="preserve">https://doi.org/10.48550/arXiv.2508.05830</w:t>
        </w:r>
      </w:hyperlink>
      <w:r>
        <w:t xml:space="preserve">.</w:t>
      </w:r>
    </w:p>
    <w:bookmarkEnd w:id="94"/>
    <w:bookmarkStart w:id="96" w:name="ref-lipton2018labelshift"/>
    <w:p>
      <w:pPr>
        <w:pStyle w:val="Bibliography"/>
      </w:pPr>
      <w:r>
        <w:t xml:space="preserve">Lipton, Zachary, Yu-Xiang Wang, and Alexander Smola. 2018. “Detecting and Correcting for Label Shift with Black Box Predictors.” In</w:t>
      </w:r>
      <w:r>
        <w:t xml:space="preserve"> </w:t>
      </w:r>
      <w:r>
        <w:rPr>
          <w:i/>
        </w:rPr>
        <w:t xml:space="preserve">Proceedings of the 35th International Conference on Machine Learning</w:t>
      </w:r>
      <w:r>
        <w:t xml:space="preserve">, 80:3122–30. Proceedings of Machine Learning Research. PMLR.</w:t>
      </w:r>
      <w:r>
        <w:t xml:space="preserve"> </w:t>
      </w:r>
      <w:hyperlink r:id="rId95">
        <w:r>
          <w:rPr>
            <w:rStyle w:val="Hyperlink"/>
          </w:rPr>
          <w:t xml:space="preserve">https://proceedings.mlr.press/v80/lipton18a.html</w:t>
        </w:r>
      </w:hyperlink>
      <w:r>
        <w:t xml:space="preserve">.</w:t>
      </w:r>
    </w:p>
    <w:bookmarkEnd w:id="96"/>
    <w:bookmarkStart w:id="98" w:name="ref-long2015dan"/>
    <w:p>
      <w:pPr>
        <w:pStyle w:val="Bibliography"/>
      </w:pPr>
      <w:r>
        <w:t xml:space="preserve">Long, Mingsheng, Yue Cao, Jianmin Wang, and Michael I. Jordan. 2015. “Learning Transferable Features with Deep Adaptation Networks.” In</w:t>
      </w:r>
      <w:r>
        <w:t xml:space="preserve"> </w:t>
      </w:r>
      <w:r>
        <w:rPr>
          <w:i/>
        </w:rPr>
        <w:t xml:space="preserve">Proceedings of the 32nd International Conference on Machine Learning</w:t>
      </w:r>
      <w:r>
        <w:t xml:space="preserve">, 37:97–105. Proceedings of Machine Learning Research. PMLR.</w:t>
      </w:r>
      <w:r>
        <w:t xml:space="preserve"> </w:t>
      </w:r>
      <w:hyperlink r:id="rId97">
        <w:r>
          <w:rPr>
            <w:rStyle w:val="Hyperlink"/>
          </w:rPr>
          <w:t xml:space="preserve">https://proceedings.mlr.press/v37/long15.html</w:t>
        </w:r>
      </w:hyperlink>
      <w:r>
        <w:t xml:space="preserve">.</w:t>
      </w:r>
    </w:p>
    <w:bookmarkEnd w:id="98"/>
    <w:bookmarkStart w:id="100" w:name="ref-ma2021phqhamd"/>
    <w:p>
      <w:pPr>
        <w:pStyle w:val="Bibliography"/>
      </w:pPr>
      <w:r>
        <w:t xml:space="preserve">Ma, Simeng, Jun Yang, Bingxiang Yang, Lijun Kang, Peilin Wang, Nan Zhang, Wei Wang, et al. 2021. “The Patient Health Questionnaire-9 Vs. The Hamilton Rating Scale for Depression in Assessing Major Depressive Disorder.”</w:t>
      </w:r>
      <w:r>
        <w:t xml:space="preserve"> </w:t>
      </w:r>
      <w:r>
        <w:rPr>
          <w:i/>
        </w:rPr>
        <w:t xml:space="preserve">Frontiers in Psychiatry</w:t>
      </w:r>
      <w:r>
        <w:t xml:space="preserve"> </w:t>
      </w:r>
      <w:r>
        <w:t xml:space="preserve">12: 747139.</w:t>
      </w:r>
      <w:r>
        <w:t xml:space="preserve"> </w:t>
      </w:r>
      <w:hyperlink r:id="rId99">
        <w:r>
          <w:rPr>
            <w:rStyle w:val="Hyperlink"/>
          </w:rPr>
          <w:t xml:space="preserve">https://doi.org/10.3389/fpsyt.2021.747139</w:t>
        </w:r>
      </w:hyperlink>
      <w:r>
        <w:t xml:space="preserve">.</w:t>
      </w:r>
    </w:p>
    <w:bookmarkEnd w:id="100"/>
    <w:bookmarkStart w:id="102" w:name="ref-mandal2025questmf"/>
    <w:p>
      <w:pPr>
        <w:pStyle w:val="Bibliography"/>
      </w:pPr>
      <w:r>
        <w:t xml:space="preserve">Mandal, Aishik, Dana Atzil-Slonim, Thamar Solorio, and Iryna Gurevych. 2025. “Enhancing Depression Detection via Question-Wise Modality Fusion.” In</w:t>
      </w:r>
      <w:r>
        <w:t xml:space="preserve"> </w:t>
      </w:r>
      <w:r>
        <w:rPr>
          <w:i/>
        </w:rPr>
        <w:t xml:space="preserve">Proceedings of the 10th Workshop on Computational Linguistics and Clinical Psychology (Clpsych 2025)</w:t>
      </w:r>
      <w:r>
        <w:t xml:space="preserve">, 44–61. Association for Computational Linguistics.</w:t>
      </w:r>
      <w:r>
        <w:t xml:space="preserve"> </w:t>
      </w:r>
      <w:hyperlink r:id="rId101">
        <w:r>
          <w:rPr>
            <w:rStyle w:val="Hyperlink"/>
          </w:rPr>
          <w:t xml:space="preserve">https://doi.org/10.18653/v1/2025.clpsych-1.4</w:t>
        </w:r>
      </w:hyperlink>
      <w:r>
        <w:t xml:space="preserve">.</w:t>
      </w:r>
    </w:p>
    <w:bookmarkEnd w:id="102"/>
    <w:bookmarkStart w:id="104" w:name="ref-meredith1993measurement"/>
    <w:p>
      <w:pPr>
        <w:pStyle w:val="Bibliography"/>
      </w:pPr>
      <w:r>
        <w:t xml:space="preserve">Meredith, William. 1993. “Measurement Invariance, Factor Analysis and Factorial Invariance.”</w:t>
      </w:r>
      <w:r>
        <w:t xml:space="preserve"> </w:t>
      </w:r>
      <w:r>
        <w:rPr>
          <w:i/>
        </w:rPr>
        <w:t xml:space="preserve">Psychometrika</w:t>
      </w:r>
      <w:r>
        <w:t xml:space="preserve"> </w:t>
      </w:r>
      <w:r>
        <w:t xml:space="preserve">58 (4): 525–43.</w:t>
      </w:r>
      <w:r>
        <w:t xml:space="preserve"> </w:t>
      </w:r>
      <w:hyperlink r:id="rId103">
        <w:r>
          <w:rPr>
            <w:rStyle w:val="Hyperlink"/>
          </w:rPr>
          <w:t xml:space="preserve">https://doi.org/10.1007/BF02294825</w:t>
        </w:r>
      </w:hyperlink>
      <w:r>
        <w:t xml:space="preserve">.</w:t>
      </w:r>
    </w:p>
    <w:bookmarkEnd w:id="104"/>
    <w:bookmarkStart w:id="106" w:name="ref-muthen2014irt"/>
    <w:p>
      <w:pPr>
        <w:pStyle w:val="Bibliography"/>
      </w:pPr>
      <w:r>
        <w:t xml:space="preserve">Muth</w:t>
      </w:r>
      <w:r>
        <w:br/>
      </w:r>
      <w:r>
        <w:t xml:space="preserve">’en, Bengt, and Tihomir Asparouhov. 2014. “IRT Studies of Many Groups: The Alignment Method.”</w:t>
      </w:r>
      <w:r>
        <w:t xml:space="preserve"> </w:t>
      </w:r>
      <w:r>
        <w:rPr>
          <w:i/>
        </w:rPr>
        <w:t xml:space="preserve">Frontiers in Psychology</w:t>
      </w:r>
      <w:r>
        <w:t xml:space="preserve"> </w:t>
      </w:r>
      <w:r>
        <w:t xml:space="preserve">5: 978.</w:t>
      </w:r>
      <w:r>
        <w:t xml:space="preserve"> </w:t>
      </w:r>
      <w:hyperlink r:id="rId105">
        <w:r>
          <w:rPr>
            <w:rStyle w:val="Hyperlink"/>
          </w:rPr>
          <w:t xml:space="preserve">https://doi.org/10.3389/fpsyg.2014.00978</w:t>
        </w:r>
      </w:hyperlink>
      <w:r>
        <w:t xml:space="preserve">.</w:t>
      </w:r>
    </w:p>
    <w:bookmarkEnd w:id="106"/>
    <w:bookmarkStart w:id="108" w:name="ref-nguyen2022improving"/>
    <w:p>
      <w:pPr>
        <w:pStyle w:val="Bibliography"/>
      </w:pPr>
      <w:r>
        <w:t xml:space="preserve">Nguyen, Thong, Andrew Yates, Ayah Zirikly, Bart Desmet, and Arman Cohan. 2022. “Improving the Generalizability of Depression Detection by Leveraging Clinical Questionnaires.” In</w:t>
      </w:r>
      <w:r>
        <w:t xml:space="preserve"> </w:t>
      </w:r>
      <w:r>
        <w:rPr>
          <w:i/>
        </w:rPr>
        <w:t xml:space="preserve">Proceedings of the 60th Annual Meeting of the Association for Computational Linguistics (Volume 1: Long Papers)</w:t>
      </w:r>
      <w:r>
        <w:t xml:space="preserve">, 8446–59. Association for Computational Linguistics.</w:t>
      </w:r>
      <w:r>
        <w:t xml:space="preserve"> </w:t>
      </w:r>
      <w:hyperlink r:id="rId107">
        <w:r>
          <w:rPr>
            <w:rStyle w:val="Hyperlink"/>
          </w:rPr>
          <w:t xml:space="preserve">https://doi.org/10.18653/v1/2022.acl-long.578</w:t>
        </w:r>
      </w:hyperlink>
      <w:r>
        <w:t xml:space="preserve">.</w:t>
      </w:r>
    </w:p>
    <w:bookmarkEnd w:id="108"/>
    <w:bookmarkStart w:id="110" w:name="ref-patel2019measurement"/>
    <w:p>
      <w:pPr>
        <w:pStyle w:val="Bibliography"/>
      </w:pPr>
      <w:r>
        <w:t xml:space="preserve">Patel, Jay S., Youngha Oh, Kevin L. Rand, Wei Wu, Melissa A. Cyders, Kurt Kroenke, and Jesse C. Stewart. 2019. “Measurement Invariance of the Patient Health Questionnaire-9 (PHQ-9) Depression Screener in U.s. Adults Across Sex, Race/Ethnicity, and Education Level: NHANES 2005-2016.”</w:t>
      </w:r>
      <w:r>
        <w:t xml:space="preserve"> </w:t>
      </w:r>
      <w:r>
        <w:rPr>
          <w:i/>
        </w:rPr>
        <w:t xml:space="preserve">Depression and Anxiety</w:t>
      </w:r>
      <w:r>
        <w:t xml:space="preserve"> </w:t>
      </w:r>
      <w:r>
        <w:t xml:space="preserve">36 (9): 813–23.</w:t>
      </w:r>
      <w:r>
        <w:t xml:space="preserve"> </w:t>
      </w:r>
      <w:hyperlink r:id="rId109">
        <w:r>
          <w:rPr>
            <w:rStyle w:val="Hyperlink"/>
          </w:rPr>
          <w:t xml:space="preserve">https://doi.org/10.1002/da.22940</w:t>
        </w:r>
      </w:hyperlink>
      <w:r>
        <w:t xml:space="preserve">.</w:t>
      </w:r>
    </w:p>
    <w:bookmarkEnd w:id="110"/>
    <w:bookmarkStart w:id="112" w:name="ref-pdchrepository2026"/>
    <w:p>
      <w:pPr>
        <w:pStyle w:val="Bibliography"/>
      </w:pPr>
      <w:r>
        <w:t xml:space="preserve">PDCH Dataset Authors. 2026. “PDCH: A Real-World Depression Consultation Dataset.”</w:t>
      </w:r>
      <w:r>
        <w:t xml:space="preserve"> </w:t>
      </w:r>
      <w:hyperlink r:id="rId111">
        <w:r>
          <w:rPr>
            <w:rStyle w:val="Hyperlink"/>
          </w:rPr>
          <w:t xml:space="preserve">https://github.com/Miraclemarvel55/PDCH</w:t>
        </w:r>
      </w:hyperlink>
      <w:r>
        <w:t xml:space="preserve">.</w:t>
      </w:r>
    </w:p>
    <w:bookmarkEnd w:id="112"/>
    <w:bookmarkStart w:id="114" w:name="ref-sagawa2019groupdro"/>
    <w:p>
      <w:pPr>
        <w:pStyle w:val="Bibliography"/>
      </w:pPr>
      <w:r>
        <w:t xml:space="preserve">Sagawa, Shiori, Pang Wei Koh, Tatsunori B. Hashimoto, and Percy Liang. 2019. “Distributionally Robust Neural Networks for Group Shifts: On the Importance of Regularization for Worst-Case Generalization.”</w:t>
      </w:r>
      <w:r>
        <w:t xml:space="preserve"> </w:t>
      </w:r>
      <w:hyperlink r:id="rId113">
        <w:r>
          <w:rPr>
            <w:rStyle w:val="Hyperlink"/>
          </w:rPr>
          <w:t xml:space="preserve">https://arxiv.org/abs/1911.08731</w:t>
        </w:r>
      </w:hyperlink>
      <w:r>
        <w:t xml:space="preserve">.</w:t>
      </w:r>
    </w:p>
    <w:bookmarkEnd w:id="114"/>
    <w:bookmarkStart w:id="116" w:name="ref-samejima1969graded"/>
    <w:p>
      <w:pPr>
        <w:pStyle w:val="Bibliography"/>
      </w:pPr>
      <w:r>
        <w:t xml:space="preserve">Samejima, Fumiko. 1969.</w:t>
      </w:r>
      <w:r>
        <w:t xml:space="preserve"> </w:t>
      </w:r>
      <w:r>
        <w:rPr>
          <w:i/>
        </w:rPr>
        <w:t xml:space="preserve">Estimation of Latent Ability Using a Response Pattern of Graded Scores</w:t>
      </w:r>
      <w:r>
        <w:t xml:space="preserve">. Psychometrika Monograph Supplement 17. Psychometric Society.</w:t>
      </w:r>
      <w:r>
        <w:t xml:space="preserve"> </w:t>
      </w:r>
      <w:hyperlink r:id="rId115">
        <w:r>
          <w:rPr>
            <w:rStyle w:val="Hyperlink"/>
          </w:rPr>
          <w:t xml:space="preserve">https://www.psychometricsociety.org/sites/main/files/file-attachments/mn17.pdf</w:t>
        </w:r>
      </w:hyperlink>
      <w:r>
        <w:t xml:space="preserve">.</w:t>
      </w:r>
    </w:p>
    <w:bookmarkEnd w:id="116"/>
    <w:bookmarkStart w:id="118" w:name="ref-shen2022automatic"/>
    <w:p>
      <w:pPr>
        <w:pStyle w:val="Bibliography"/>
      </w:pPr>
      <w:r>
        <w:t xml:space="preserve">Shen, Ying, Huiyu Yang, and Lin Lin. 2022. “Automatic Depression Detection: An Emotional Audio-Textual Corpus and a GRU/BiLSTM-Based Model.” In</w:t>
      </w:r>
      <w:r>
        <w:t xml:space="preserve"> </w:t>
      </w:r>
      <w:r>
        <w:rPr>
          <w:i/>
        </w:rPr>
        <w:t xml:space="preserve">ICASSP 2022 - 2022 Ieee International Conference on Acoustics, Speech and Signal Processing (Icassp)</w:t>
      </w:r>
      <w:r>
        <w:t xml:space="preserve">, 6247–51.</w:t>
      </w:r>
      <w:r>
        <w:t xml:space="preserve"> </w:t>
      </w:r>
      <w:hyperlink r:id="rId117">
        <w:r>
          <w:rPr>
            <w:rStyle w:val="Hyperlink"/>
          </w:rPr>
          <w:t xml:space="preserve">https://doi.org/10.1109/ICASSP43922.2022.9746569</w:t>
        </w:r>
      </w:hyperlink>
      <w:r>
        <w:t xml:space="preserve">.</w:t>
      </w:r>
    </w:p>
    <w:bookmarkEnd w:id="118"/>
    <w:bookmarkStart w:id="120" w:name="ref-sun2016deepcoral"/>
    <w:p>
      <w:pPr>
        <w:pStyle w:val="Bibliography"/>
      </w:pPr>
      <w:r>
        <w:t xml:space="preserve">Sun, Baochen, Jiashi Feng, and Kate Saenko. 2016. “Return of Frustratingly Easy Domain Adaptation.” In</w:t>
      </w:r>
      <w:r>
        <w:t xml:space="preserve"> </w:t>
      </w:r>
      <w:r>
        <w:rPr>
          <w:i/>
        </w:rPr>
        <w:t xml:space="preserve">Proceedings of the Thirtieth AAAI Conference on Artificial Intelligence</w:t>
      </w:r>
      <w:r>
        <w:t xml:space="preserve">, 2058–65.</w:t>
      </w:r>
      <w:r>
        <w:t xml:space="preserve"> </w:t>
      </w:r>
      <w:hyperlink r:id="rId119">
        <w:r>
          <w:rPr>
            <w:rStyle w:val="Hyperlink"/>
          </w:rPr>
          <w:t xml:space="preserve">https://ojs.aaai.org/index.php/AAAI/article/view/10306</w:t>
        </w:r>
      </w:hyperlink>
      <w:r>
        <w:t xml:space="preserve">.</w:t>
      </w:r>
    </w:p>
    <w:bookmarkEnd w:id="120"/>
    <w:bookmarkStart w:id="122" w:name="ref-teng2026depressionllm"/>
    <w:p>
      <w:pPr>
        <w:pStyle w:val="Bibliography"/>
      </w:pPr>
      <w:r>
        <w:t xml:space="preserve">Teng, Shiyu, Jiaqing Liu, Hao Sun, Yue Huang, Rahul Kumar Jain, Shurong Chai, Ruibo Hou, et al. 2026. “DepressionLLM: Emotion- and Causality-Aware Depression Detection with Foundation Models.”</w:t>
      </w:r>
      <w:r>
        <w:t xml:space="preserve"> </w:t>
      </w:r>
      <w:r>
        <w:rPr>
          <w:i/>
        </w:rPr>
        <w:t xml:space="preserve">Displays</w:t>
      </w:r>
      <w:r>
        <w:t xml:space="preserve"> </w:t>
      </w:r>
      <w:r>
        <w:t xml:space="preserve">92: 103304.</w:t>
      </w:r>
      <w:r>
        <w:t xml:space="preserve"> </w:t>
      </w:r>
      <w:hyperlink r:id="rId121">
        <w:r>
          <w:rPr>
            <w:rStyle w:val="Hyperlink"/>
          </w:rPr>
          <w:t xml:space="preserve">https://doi.org/10.1016/j.displa.2025.103304</w:t>
        </w:r>
      </w:hyperlink>
      <w:r>
        <w:t xml:space="preserve">.</w:t>
      </w:r>
    </w:p>
    <w:bookmarkEnd w:id="122"/>
    <w:bookmarkStart w:id="124" w:name="ref-uscict2026daic"/>
    <w:p>
      <w:pPr>
        <w:pStyle w:val="Bibliography"/>
      </w:pPr>
      <w:r>
        <w:t xml:space="preserve">USC Institute for Creative Technologies. 2026. “DAIC-WOZ and Extended DAIC Download Page.”</w:t>
      </w:r>
      <w:r>
        <w:t xml:space="preserve"> </w:t>
      </w:r>
      <w:hyperlink r:id="rId123">
        <w:r>
          <w:rPr>
            <w:rStyle w:val="Hyperlink"/>
          </w:rPr>
          <w:t xml:space="preserve">https://dcapswoz.ict.usc.edu/</w:t>
        </w:r>
      </w:hyperlink>
      <w:r>
        <w:t xml:space="preserve">.</w:t>
      </w:r>
    </w:p>
    <w:bookmarkEnd w:id="124"/>
    <w:bookmarkStart w:id="126" w:name="ref-vandenberg2000review"/>
    <w:p>
      <w:pPr>
        <w:pStyle w:val="Bibliography"/>
      </w:pPr>
      <w:r>
        <w:t xml:space="preserve">Vandenberg, Robert J., and Charles E. Lance. 2000. “A Review and Synthesis of the Measurement Invariance Literature: Suggestions, Practices, and Recommendations for Organizational Research.”</w:t>
      </w:r>
      <w:r>
        <w:t xml:space="preserve"> </w:t>
      </w:r>
      <w:r>
        <w:rPr>
          <w:i/>
        </w:rPr>
        <w:t xml:space="preserve">Organizational Research Methods</w:t>
      </w:r>
      <w:r>
        <w:t xml:space="preserve"> </w:t>
      </w:r>
      <w:r>
        <w:t xml:space="preserve">3 (1): 4–70.</w:t>
      </w:r>
      <w:r>
        <w:t xml:space="preserve"> </w:t>
      </w:r>
      <w:hyperlink r:id="rId125">
        <w:r>
          <w:rPr>
            <w:rStyle w:val="Hyperlink"/>
          </w:rPr>
          <w:t xml:space="preserve">https://doi.org/10.1177/109442810031002</w:t>
        </w:r>
      </w:hyperlink>
      <w:r>
        <w:t xml:space="preserve">.</w:t>
      </w:r>
    </w:p>
    <w:bookmarkEnd w:id="126"/>
    <w:bookmarkStart w:id="128" w:name="ref-wang2024multilinguale5"/>
    <w:p>
      <w:pPr>
        <w:pStyle w:val="Bibliography"/>
      </w:pPr>
      <w:r>
        <w:t xml:space="preserve">Wang, Liang, Nan Yang, Xiaolong Huang, Linjun Yang, Rangan Majumder, and Furu Wei. 2024. “Multilingual E5 Text Embeddings: A Technical Report.”</w:t>
      </w:r>
      <w:r>
        <w:t xml:space="preserve"> </w:t>
      </w:r>
      <w:hyperlink r:id="rId127">
        <w:r>
          <w:rPr>
            <w:rStyle w:val="Hyperlink"/>
          </w:rPr>
          <w:t xml:space="preserve">https://huggingface.co/intfloat/multilingual-e5-base</w:t>
        </w:r>
      </w:hyperlink>
      <w:r>
        <w:t xml:space="preserve">.</w:t>
      </w:r>
    </w:p>
    <w:bookmarkEnd w:id="128"/>
    <w:bookmarkStart w:id="130" w:name="ref-zhang2025interviewer"/>
    <w:p>
      <w:pPr>
        <w:pStyle w:val="Bibliography"/>
      </w:pPr>
      <w:r>
        <w:t xml:space="preserve">Zhang, Enshi, and Christian Poellabauer. 2025. “Mitigating Interviewer Bias in Multimodal Depression Detection: An Approach with Adversarial Learning and Contextual Positional Encoding.” In</w:t>
      </w:r>
      <w:r>
        <w:t xml:space="preserve"> </w:t>
      </w:r>
      <w:r>
        <w:rPr>
          <w:i/>
        </w:rPr>
        <w:t xml:space="preserve">Findings of the Association for Computational Linguistics: EMNLP 2025</w:t>
      </w:r>
      <w:r>
        <w:t xml:space="preserve">, 12169–88. Association for Computational Linguistics.</w:t>
      </w:r>
      <w:r>
        <w:t xml:space="preserve"> </w:t>
      </w:r>
      <w:hyperlink r:id="rId129">
        <w:r>
          <w:rPr>
            <w:rStyle w:val="Hyperlink"/>
          </w:rPr>
          <w:t xml:space="preserve">https://doi.org/10.18653/v1/2025.findings-emnlp.650</w:t>
        </w:r>
      </w:hyperlink>
      <w:r>
        <w:t xml:space="preserve">.</w:t>
      </w:r>
    </w:p>
    <w:bookmarkEnd w:id="130"/>
    <w:bookmarkStart w:id="132" w:name="ref-zhang2025red"/>
    <w:p>
      <w:pPr>
        <w:pStyle w:val="Bibliography"/>
      </w:pPr>
      <w:r>
        <w:t xml:space="preserve">Zhang, Linhai, Ziyang Gao, Deyu Zhou, and Yulan He. 2025. “Explainable Depression Detection in Clinical Interviews with Personalized Retrieval-Augmented Generation.” In</w:t>
      </w:r>
      <w:r>
        <w:t xml:space="preserve"> </w:t>
      </w:r>
      <w:r>
        <w:rPr>
          <w:i/>
        </w:rPr>
        <w:t xml:space="preserve">Findings of the Association for Computational Linguistics: ACL 2025</w:t>
      </w:r>
      <w:r>
        <w:t xml:space="preserve">, 9927–44. Association for Computational Linguistics.</w:t>
      </w:r>
      <w:r>
        <w:t xml:space="preserve"> </w:t>
      </w:r>
      <w:hyperlink r:id="rId131">
        <w:r>
          <w:rPr>
            <w:rStyle w:val="Hyperlink"/>
          </w:rPr>
          <w:t xml:space="preserve">https://doi.org/10.18653/v1/2025.findings-acl.517</w:t>
        </w:r>
      </w:hyperlink>
      <w:r>
        <w:t xml:space="preserve">.</w:t>
      </w:r>
    </w:p>
    <w:bookmarkEnd w:id="132"/>
    <w:bookmarkStart w:id="134" w:name="ref-zhang2025qwen3embedding"/>
    <w:p>
      <w:pPr>
        <w:pStyle w:val="Bibliography"/>
      </w:pPr>
      <w:r>
        <w:t xml:space="preserve">Zhang, Yanzhao, Mingxin Li, Dingkun Long, Xin Zhang, Huan Lin, Baosong Yang, Pengjun Xie, et al. 2025. “Qwen3 Embedding: Advancing Text Embedding and Reranking Through Foundation Models.”</w:t>
      </w:r>
      <w:r>
        <w:t xml:space="preserve"> </w:t>
      </w:r>
      <w:hyperlink r:id="rId133">
        <w:r>
          <w:rPr>
            <w:rStyle w:val="Hyperlink"/>
          </w:rPr>
          <w:t xml:space="preserve">https://arxiv.org/abs/2506.05176</w:t>
        </w:r>
      </w:hyperlink>
      <w:r>
        <w:t xml:space="preserve">.</w:t>
      </w:r>
    </w:p>
    <w:bookmarkEnd w:id="134"/>
    <w:bookmarkStart w:id="136" w:name="ref-zhou2026depression"/>
    <w:p>
      <w:pPr>
        <w:pStyle w:val="Bibliography"/>
      </w:pPr>
      <w:r>
        <w:t xml:space="preserve">Zhou, Jia, Jia Hu, Yi Zhou, Ling Zhang, Yuan Feng, Lei Xiao, Le Chen, et al. 2026. “Depression Rating Scales Demonstrate Significant Correlations but Systematic Differences: A Multicenter Prospective Cohort Study Using Equipercentile Linking.”</w:t>
      </w:r>
      <w:r>
        <w:t xml:space="preserve"> </w:t>
      </w:r>
      <w:r>
        <w:rPr>
          <w:i/>
        </w:rPr>
        <w:t xml:space="preserve">Journal of Clinical Epidemiology</w:t>
      </w:r>
      <w:r>
        <w:t xml:space="preserve"> </w:t>
      </w:r>
      <w:r>
        <w:t xml:space="preserve">194: 112207.</w:t>
      </w:r>
      <w:r>
        <w:t xml:space="preserve"> </w:t>
      </w:r>
      <w:hyperlink r:id="rId135">
        <w:r>
          <w:rPr>
            <w:rStyle w:val="Hyperlink"/>
          </w:rPr>
          <w:t xml:space="preserve">https://doi.org/10.1016/j.jclinepi.2026.112207</w:t>
        </w:r>
      </w:hyperlink>
      <w:r>
        <w:t xml:space="preserve">.</w:t>
      </w:r>
    </w:p>
    <w:bookmarkEnd w:id="136"/>
    <w:bookmarkStart w:id="138" w:name="ref-zou2023cmdc"/>
    <w:p>
      <w:pPr>
        <w:pStyle w:val="Bibliography"/>
      </w:pPr>
      <w:r>
        <w:t xml:space="preserve">Zou, Bochao, Jiali Han, Yingxue Wang, Rui Liu, Shenghui Zhao, Lei Feng, Xiangwen Lyu, and Huimin Ma. 2023. “Semi-Structural Interview-Based Chinese Multimodal Depression Corpus Towards Automatic Preliminary Screening of Depressive Disorders.”</w:t>
      </w:r>
      <w:r>
        <w:t xml:space="preserve"> </w:t>
      </w:r>
      <w:r>
        <w:rPr>
          <w:i/>
        </w:rPr>
        <w:t xml:space="preserve">IEEE Transactions on Affective Computing</w:t>
      </w:r>
      <w:r>
        <w:t xml:space="preserve"> </w:t>
      </w:r>
      <w:r>
        <w:t xml:space="preserve">14 (4): 2823–38.</w:t>
      </w:r>
      <w:r>
        <w:t xml:space="preserve"> </w:t>
      </w:r>
      <w:hyperlink r:id="rId137">
        <w:r>
          <w:rPr>
            <w:rStyle w:val="Hyperlink"/>
          </w:rPr>
          <w:t xml:space="preserve">https://doi.org/10.1109/TAFFC.2022.3181210</w:t>
        </w:r>
      </w:hyperlink>
      <w:r>
        <w:t xml:space="preserve">.</w:t>
      </w:r>
    </w:p>
    <w:bookmarkEnd w:id="138"/>
    <w:bookmarkEnd w:id="1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hyperlink" Id="rId87" Target="https://aclanthology.org/L14-1421/" TargetMode="External" /><Relationship Type="http://schemas.openxmlformats.org/officeDocument/2006/relationships/hyperlink" Id="rId51" Target="https://arxiv.org/abs/1907.02893" TargetMode="External" /><Relationship Type="http://schemas.openxmlformats.org/officeDocument/2006/relationships/hyperlink" Id="rId113" Target="https://arxiv.org/abs/1911.08731" TargetMode="External" /><Relationship Type="http://schemas.openxmlformats.org/officeDocument/2006/relationships/hyperlink" Id="rId53" Target="https://arxiv.org/abs/2006.11477" TargetMode="External" /><Relationship Type="http://schemas.openxmlformats.org/officeDocument/2006/relationships/hyperlink" Id="rId69" Target="https://arxiv.org/abs/2110.13900" TargetMode="External" /><Relationship Type="http://schemas.openxmlformats.org/officeDocument/2006/relationships/hyperlink" Id="rId133" Target="https://arxiv.org/abs/2506.05176" TargetMode="External" /><Relationship Type="http://schemas.openxmlformats.org/officeDocument/2006/relationships/hyperlink" Id="rId123" Target="https://dcapswoz.ict.usc.edu/" TargetMode="External" /><Relationship Type="http://schemas.openxmlformats.org/officeDocument/2006/relationships/hyperlink" Id="rId109" Target="https://doi.org/10.1002/da.22940" TargetMode="External" /><Relationship Type="http://schemas.openxmlformats.org/officeDocument/2006/relationships/hyperlink" Id="rId103" Target="https://doi.org/10.1007/BF02294825" TargetMode="External" /><Relationship Type="http://schemas.openxmlformats.org/officeDocument/2006/relationships/hyperlink" Id="rId121" Target="https://doi.org/10.1016/j.displa.2025.103304" TargetMode="External" /><Relationship Type="http://schemas.openxmlformats.org/officeDocument/2006/relationships/hyperlink" Id="rId75" Target="https://doi.org/10.1016/j.jad.2023.11.026" TargetMode="External" /><Relationship Type="http://schemas.openxmlformats.org/officeDocument/2006/relationships/hyperlink" Id="rId135" Target="https://doi.org/10.1016/j.jclinepi.2026.112207" TargetMode="External" /><Relationship Type="http://schemas.openxmlformats.org/officeDocument/2006/relationships/hyperlink" Id="rId67" Target="https://doi.org/10.1016/j.patcog.2026.113367" TargetMode="External" /><Relationship Type="http://schemas.openxmlformats.org/officeDocument/2006/relationships/hyperlink" Id="rId61" Target="https://doi.org/10.1038/s41597-022-01211-x" TargetMode="External" /><Relationship Type="http://schemas.openxmlformats.org/officeDocument/2006/relationships/hyperlink" Id="rId117" Target="https://doi.org/10.1109/ICASSP43922.2022.9746569" TargetMode="External" /><Relationship Type="http://schemas.openxmlformats.org/officeDocument/2006/relationships/hyperlink" Id="rId137" Target="https://doi.org/10.1109/TAFFC.2022.3181210" TargetMode="External" /><Relationship Type="http://schemas.openxmlformats.org/officeDocument/2006/relationships/hyperlink" Id="rId73" Target="https://doi.org/10.1109/TAFFC.2024.3469189" TargetMode="External" /><Relationship Type="http://schemas.openxmlformats.org/officeDocument/2006/relationships/hyperlink" Id="rId71" Target="https://doi.org/10.1109/TMM.2023.3312917" TargetMode="External" /><Relationship Type="http://schemas.openxmlformats.org/officeDocument/2006/relationships/hyperlink" Id="rId79" Target="https://doi.org/10.1145/3746027.3762020" TargetMode="External" /><Relationship Type="http://schemas.openxmlformats.org/officeDocument/2006/relationships/hyperlink" Id="rId125" Target="https://doi.org/10.1177/109442810031002" TargetMode="External" /><Relationship Type="http://schemas.openxmlformats.org/officeDocument/2006/relationships/hyperlink" Id="rId83" Target="https://doi.org/10.1186/s12888-017-1506-9" TargetMode="External" /><Relationship Type="http://schemas.openxmlformats.org/officeDocument/2006/relationships/hyperlink" Id="rId81" Target="https://doi.org/10.1609/aaai.v40i3.37159" TargetMode="External" /><Relationship Type="http://schemas.openxmlformats.org/officeDocument/2006/relationships/hyperlink" Id="rId63" Target="https://doi.org/10.18637/jss.v048.i06" TargetMode="External" /><Relationship Type="http://schemas.openxmlformats.org/officeDocument/2006/relationships/hyperlink" Id="rId107" Target="https://doi.org/10.18653/v1/2022.acl-long.578" TargetMode="External" /><Relationship Type="http://schemas.openxmlformats.org/officeDocument/2006/relationships/hyperlink" Id="rId59" Target="https://doi.org/10.18653/v1/2024.clinicalnlp-1.8" TargetMode="External" /><Relationship Type="http://schemas.openxmlformats.org/officeDocument/2006/relationships/hyperlink" Id="rId101" Target="https://doi.org/10.18653/v1/2025.clpsych-1.4" TargetMode="External" /><Relationship Type="http://schemas.openxmlformats.org/officeDocument/2006/relationships/hyperlink" Id="rId131" Target="https://doi.org/10.18653/v1/2025.findings-acl.517" TargetMode="External" /><Relationship Type="http://schemas.openxmlformats.org/officeDocument/2006/relationships/hyperlink" Id="rId129" Target="https://doi.org/10.18653/v1/2025.findings-emnlp.650" TargetMode="External" /><Relationship Type="http://schemas.openxmlformats.org/officeDocument/2006/relationships/hyperlink" Id="rId57" Target="https://doi.org/10.3389/feduc.2017.00051" TargetMode="External" /><Relationship Type="http://schemas.openxmlformats.org/officeDocument/2006/relationships/hyperlink" Id="rId105" Target="https://doi.org/10.3389/fpsyg.2014.00978" TargetMode="External" /><Relationship Type="http://schemas.openxmlformats.org/officeDocument/2006/relationships/hyperlink" Id="rId99" Target="https://doi.org/10.3389/fpsyt.2021.747139" TargetMode="External" /><Relationship Type="http://schemas.openxmlformats.org/officeDocument/2006/relationships/hyperlink" Id="rId93" Target="https://doi.org/10.48550/arXiv.2508.05830" TargetMode="External" /><Relationship Type="http://schemas.openxmlformats.org/officeDocument/2006/relationships/hyperlink" Id="rId91" Target="https://doi.org/10.48550/arXiv.2605.23977" TargetMode="External" /><Relationship Type="http://schemas.openxmlformats.org/officeDocument/2006/relationships/hyperlink" Id="rId77" Target="https://doi.org/10.48550/arXiv.2608.07316" TargetMode="External" /><Relationship Type="http://schemas.openxmlformats.org/officeDocument/2006/relationships/hyperlink" Id="rId111" Target="https://github.com/Miraclemarvel55/PDCH" TargetMode="External" /><Relationship Type="http://schemas.openxmlformats.org/officeDocument/2006/relationships/hyperlink" Id="rId55" Target="https://huggingface.co/BAAI/bge-m3" TargetMode="External" /><Relationship Type="http://schemas.openxmlformats.org/officeDocument/2006/relationships/hyperlink" Id="rId127" Target="https://huggingface.co/intfloat/multilingual-e5-base" TargetMode="External" /><Relationship Type="http://schemas.openxmlformats.org/officeDocument/2006/relationships/hyperlink" Id="rId85" Target="https://jmlr.org/papers/v17/15-239.html" TargetMode="External" /><Relationship Type="http://schemas.openxmlformats.org/officeDocument/2006/relationships/hyperlink" Id="rId119" Target="https://ojs.aaai.org/index.php/AAAI/article/view/10306" TargetMode="External" /><Relationship Type="http://schemas.openxmlformats.org/officeDocument/2006/relationships/hyperlink" Id="rId65" Target="https://philchalmers.github.io/mirt/html/multipleGroup.html" TargetMode="External" /><Relationship Type="http://schemas.openxmlformats.org/officeDocument/2006/relationships/hyperlink" Id="rId97" Target="https://proceedings.mlr.press/v37/long15.html" TargetMode="External" /><Relationship Type="http://schemas.openxmlformats.org/officeDocument/2006/relationships/hyperlink" Id="rId89" Target="https://proceedings.mlr.press/v70/guo17a.html" TargetMode="External" /><Relationship Type="http://schemas.openxmlformats.org/officeDocument/2006/relationships/hyperlink" Id="rId95" Target="https://proceedings.mlr.press/v80/lipton18a.html" TargetMode="External" /><Relationship Type="http://schemas.openxmlformats.org/officeDocument/2006/relationships/hyperlink" Id="rId115" Target="https://www.psychometricsociety.org/sites/main/files/file-attachments/mn17.pdf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87" Target="https://aclanthology.org/L14-1421/" TargetMode="External" /><Relationship Type="http://schemas.openxmlformats.org/officeDocument/2006/relationships/hyperlink" Id="rId51" Target="https://arxiv.org/abs/1907.02893" TargetMode="External" /><Relationship Type="http://schemas.openxmlformats.org/officeDocument/2006/relationships/hyperlink" Id="rId113" Target="https://arxiv.org/abs/1911.08731" TargetMode="External" /><Relationship Type="http://schemas.openxmlformats.org/officeDocument/2006/relationships/hyperlink" Id="rId53" Target="https://arxiv.org/abs/2006.11477" TargetMode="External" /><Relationship Type="http://schemas.openxmlformats.org/officeDocument/2006/relationships/hyperlink" Id="rId69" Target="https://arxiv.org/abs/2110.13900" TargetMode="External" /><Relationship Type="http://schemas.openxmlformats.org/officeDocument/2006/relationships/hyperlink" Id="rId133" Target="https://arxiv.org/abs/2506.05176" TargetMode="External" /><Relationship Type="http://schemas.openxmlformats.org/officeDocument/2006/relationships/hyperlink" Id="rId123" Target="https://dcapswoz.ict.usc.edu/" TargetMode="External" /><Relationship Type="http://schemas.openxmlformats.org/officeDocument/2006/relationships/hyperlink" Id="rId109" Target="https://doi.org/10.1002/da.22940" TargetMode="External" /><Relationship Type="http://schemas.openxmlformats.org/officeDocument/2006/relationships/hyperlink" Id="rId103" Target="https://doi.org/10.1007/BF02294825" TargetMode="External" /><Relationship Type="http://schemas.openxmlformats.org/officeDocument/2006/relationships/hyperlink" Id="rId121" Target="https://doi.org/10.1016/j.displa.2025.103304" TargetMode="External" /><Relationship Type="http://schemas.openxmlformats.org/officeDocument/2006/relationships/hyperlink" Id="rId75" Target="https://doi.org/10.1016/j.jad.2023.11.026" TargetMode="External" /><Relationship Type="http://schemas.openxmlformats.org/officeDocument/2006/relationships/hyperlink" Id="rId135" Target="https://doi.org/10.1016/j.jclinepi.2026.112207" TargetMode="External" /><Relationship Type="http://schemas.openxmlformats.org/officeDocument/2006/relationships/hyperlink" Id="rId67" Target="https://doi.org/10.1016/j.patcog.2026.113367" TargetMode="External" /><Relationship Type="http://schemas.openxmlformats.org/officeDocument/2006/relationships/hyperlink" Id="rId61" Target="https://doi.org/10.1038/s41597-022-01211-x" TargetMode="External" /><Relationship Type="http://schemas.openxmlformats.org/officeDocument/2006/relationships/hyperlink" Id="rId117" Target="https://doi.org/10.1109/ICASSP43922.2022.9746569" TargetMode="External" /><Relationship Type="http://schemas.openxmlformats.org/officeDocument/2006/relationships/hyperlink" Id="rId137" Target="https://doi.org/10.1109/TAFFC.2022.3181210" TargetMode="External" /><Relationship Type="http://schemas.openxmlformats.org/officeDocument/2006/relationships/hyperlink" Id="rId73" Target="https://doi.org/10.1109/TAFFC.2024.3469189" TargetMode="External" /><Relationship Type="http://schemas.openxmlformats.org/officeDocument/2006/relationships/hyperlink" Id="rId71" Target="https://doi.org/10.1109/TMM.2023.3312917" TargetMode="External" /><Relationship Type="http://schemas.openxmlformats.org/officeDocument/2006/relationships/hyperlink" Id="rId79" Target="https://doi.org/10.1145/3746027.3762020" TargetMode="External" /><Relationship Type="http://schemas.openxmlformats.org/officeDocument/2006/relationships/hyperlink" Id="rId125" Target="https://doi.org/10.1177/109442810031002" TargetMode="External" /><Relationship Type="http://schemas.openxmlformats.org/officeDocument/2006/relationships/hyperlink" Id="rId83" Target="https://doi.org/10.1186/s12888-017-1506-9" TargetMode="External" /><Relationship Type="http://schemas.openxmlformats.org/officeDocument/2006/relationships/hyperlink" Id="rId81" Target="https://doi.org/10.1609/aaai.v40i3.37159" TargetMode="External" /><Relationship Type="http://schemas.openxmlformats.org/officeDocument/2006/relationships/hyperlink" Id="rId63" Target="https://doi.org/10.18637/jss.v048.i06" TargetMode="External" /><Relationship Type="http://schemas.openxmlformats.org/officeDocument/2006/relationships/hyperlink" Id="rId107" Target="https://doi.org/10.18653/v1/2022.acl-long.578" TargetMode="External" /><Relationship Type="http://schemas.openxmlformats.org/officeDocument/2006/relationships/hyperlink" Id="rId59" Target="https://doi.org/10.18653/v1/2024.clinicalnlp-1.8" TargetMode="External" /><Relationship Type="http://schemas.openxmlformats.org/officeDocument/2006/relationships/hyperlink" Id="rId101" Target="https://doi.org/10.18653/v1/2025.clpsych-1.4" TargetMode="External" /><Relationship Type="http://schemas.openxmlformats.org/officeDocument/2006/relationships/hyperlink" Id="rId131" Target="https://doi.org/10.18653/v1/2025.findings-acl.517" TargetMode="External" /><Relationship Type="http://schemas.openxmlformats.org/officeDocument/2006/relationships/hyperlink" Id="rId129" Target="https://doi.org/10.18653/v1/2025.findings-emnlp.650" TargetMode="External" /><Relationship Type="http://schemas.openxmlformats.org/officeDocument/2006/relationships/hyperlink" Id="rId57" Target="https://doi.org/10.3389/feduc.2017.00051" TargetMode="External" /><Relationship Type="http://schemas.openxmlformats.org/officeDocument/2006/relationships/hyperlink" Id="rId105" Target="https://doi.org/10.3389/fpsyg.2014.00978" TargetMode="External" /><Relationship Type="http://schemas.openxmlformats.org/officeDocument/2006/relationships/hyperlink" Id="rId99" Target="https://doi.org/10.3389/fpsyt.2021.747139" TargetMode="External" /><Relationship Type="http://schemas.openxmlformats.org/officeDocument/2006/relationships/hyperlink" Id="rId93" Target="https://doi.org/10.48550/arXiv.2508.05830" TargetMode="External" /><Relationship Type="http://schemas.openxmlformats.org/officeDocument/2006/relationships/hyperlink" Id="rId91" Target="https://doi.org/10.48550/arXiv.2605.23977" TargetMode="External" /><Relationship Type="http://schemas.openxmlformats.org/officeDocument/2006/relationships/hyperlink" Id="rId77" Target="https://doi.org/10.48550/arXiv.2608.07316" TargetMode="External" /><Relationship Type="http://schemas.openxmlformats.org/officeDocument/2006/relationships/hyperlink" Id="rId111" Target="https://github.com/Miraclemarvel55/PDCH" TargetMode="External" /><Relationship Type="http://schemas.openxmlformats.org/officeDocument/2006/relationships/hyperlink" Id="rId55" Target="https://huggingface.co/BAAI/bge-m3" TargetMode="External" /><Relationship Type="http://schemas.openxmlformats.org/officeDocument/2006/relationships/hyperlink" Id="rId127" Target="https://huggingface.co/intfloat/multilingual-e5-base" TargetMode="External" /><Relationship Type="http://schemas.openxmlformats.org/officeDocument/2006/relationships/hyperlink" Id="rId85" Target="https://jmlr.org/papers/v17/15-239.html" TargetMode="External" /><Relationship Type="http://schemas.openxmlformats.org/officeDocument/2006/relationships/hyperlink" Id="rId119" Target="https://ojs.aaai.org/index.php/AAAI/article/view/10306" TargetMode="External" /><Relationship Type="http://schemas.openxmlformats.org/officeDocument/2006/relationships/hyperlink" Id="rId65" Target="https://philchalmers.github.io/mirt/html/multipleGroup.html" TargetMode="External" /><Relationship Type="http://schemas.openxmlformats.org/officeDocument/2006/relationships/hyperlink" Id="rId97" Target="https://proceedings.mlr.press/v37/long15.html" TargetMode="External" /><Relationship Type="http://schemas.openxmlformats.org/officeDocument/2006/relationships/hyperlink" Id="rId89" Target="https://proceedings.mlr.press/v70/guo17a.html" TargetMode="External" /><Relationship Type="http://schemas.openxmlformats.org/officeDocument/2006/relationships/hyperlink" Id="rId95" Target="https://proceedings.mlr.press/v80/lipton18a.html" TargetMode="External" /><Relationship Type="http://schemas.openxmlformats.org/officeDocument/2006/relationships/hyperlink" Id="rId115" Target="https://www.psychometricsociety.org/sites/main/files/file-attachments/mn17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2026-09-02T06:49:21Z</dcterms:created>
  <dcterms:modified xsi:type="dcterms:W3CDTF">2026-09-02T06:49:21Z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analysis/diagnostic_measurement_audit_paper/references.bib</vt:lpwstr>
  </property>
</Properties>
</file>