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F90D7" w14:textId="253D5EF1" w:rsidR="00DE74B4" w:rsidRDefault="00DE74B4">
      <w:r w:rsidRPr="00DE74B4">
        <w:rPr>
          <w:rFonts w:hint="eastAsia"/>
        </w:rPr>
        <w:t>这篇论文直接分析阿亨巴赫的「超越方法的方法」，是研究这一理论的最重要的英文二手文献之一，作者是普渡大学哲学教授。全文有免费</w:t>
      </w:r>
      <w:r w:rsidRPr="00DE74B4">
        <w:rPr>
          <w:rFonts w:hint="eastAsia"/>
        </w:rPr>
        <w:t>PDF</w:t>
      </w:r>
      <w:r w:rsidRPr="00DE74B4">
        <w:rPr>
          <w:rFonts w:hint="eastAsia"/>
        </w:rPr>
        <w:t>：</w:t>
      </w:r>
      <w:hyperlink r:id="rId4" w:history="1">
        <w:r w:rsidRPr="001B1099">
          <w:rPr>
            <w:rStyle w:val="Hyperlink"/>
            <w:rFonts w:hint="eastAsia"/>
          </w:rPr>
          <w:t>https://npcassoc.org/docs/ijpp/ZinaichOnAchenbach.pdf</w:t>
        </w:r>
      </w:hyperlink>
    </w:p>
    <w:p w14:paraId="2D56FACA" w14:textId="77777777" w:rsidR="00DE74B4" w:rsidRDefault="00DE74B4" w:rsidP="00DE74B4">
      <w:r>
        <w:t>Lahav, R. (1996). What is Philosophical in Philosophical Counselling?</w:t>
      </w:r>
    </w:p>
    <w:p w14:paraId="7CDFE741" w14:textId="77777777" w:rsidR="00DE74B4" w:rsidRDefault="00DE74B4" w:rsidP="00DE74B4">
      <w:r>
        <w:t>Journal of Applied Philosophy, 13, 259–278.</w:t>
      </w:r>
    </w:p>
    <w:p w14:paraId="34B79A95" w14:textId="77777777" w:rsidR="00DE74B4" w:rsidRDefault="00DE74B4" w:rsidP="00DE74B4">
      <w:pPr>
        <w:rPr>
          <w:rFonts w:hint="eastAsia"/>
        </w:rPr>
      </w:pPr>
      <w:r>
        <w:rPr>
          <w:rFonts w:hint="eastAsia"/>
        </w:rPr>
        <w:t>这篇论文提出：哲学咨询的哲学性在于帮助来访者进行「哲学自我审查」——这是对来访者「</w:t>
      </w:r>
      <w:r>
        <w:rPr>
          <w:rFonts w:hint="eastAsia"/>
        </w:rPr>
        <w:t>lived understanding</w:t>
      </w:r>
      <w:r>
        <w:rPr>
          <w:rFonts w:hint="eastAsia"/>
        </w:rPr>
        <w:t>」（活生生的理解）背后根本原则的批判性、非经验性审查，目标是发展智慧。</w:t>
      </w:r>
      <w:r>
        <w:rPr>
          <w:rFonts w:hint="eastAsia"/>
        </w:rPr>
        <w:t xml:space="preserve"> PhilPapers</w:t>
      </w:r>
    </w:p>
    <w:p w14:paraId="02B20440" w14:textId="77777777" w:rsidR="00DE74B4" w:rsidRDefault="00DE74B4" w:rsidP="00DE74B4">
      <w:pPr>
        <w:rPr>
          <w:rFonts w:hint="eastAsia"/>
        </w:rPr>
      </w:pPr>
      <w:r>
        <w:rPr>
          <w:rFonts w:hint="eastAsia"/>
        </w:rPr>
        <w:t>对你们的用处：</w:t>
      </w:r>
      <w:r>
        <w:rPr>
          <w:rFonts w:hint="eastAsia"/>
        </w:rPr>
        <w:t xml:space="preserve"> </w:t>
      </w:r>
      <w:r>
        <w:rPr>
          <w:rFonts w:hint="eastAsia"/>
        </w:rPr>
        <w:t>回答「我们的网站和</w:t>
      </w:r>
      <w:r>
        <w:rPr>
          <w:rFonts w:hint="eastAsia"/>
        </w:rPr>
        <w:t>DeepSeek</w:t>
      </w:r>
      <w:r>
        <w:rPr>
          <w:rFonts w:hint="eastAsia"/>
        </w:rPr>
        <w:t>的根本区别」——我们做的是哲学意义上的自我审查，不是信息检索。</w:t>
      </w:r>
    </w:p>
    <w:p w14:paraId="0259AE9F" w14:textId="77777777" w:rsidR="00DE74B4" w:rsidRDefault="00DE74B4" w:rsidP="00DE74B4">
      <w:r>
        <w:t>Raabe, P. B. (2001). Philosophical Counseling: Theory and Practice. Praeger.</w:t>
      </w:r>
    </w:p>
    <w:p w14:paraId="458CB30D" w14:textId="77777777" w:rsidR="00DE74B4" w:rsidRDefault="00DE74B4" w:rsidP="00DE74B4">
      <w:pPr>
        <w:rPr>
          <w:rFonts w:hint="eastAsia"/>
        </w:rPr>
      </w:pPr>
      <w:r>
        <w:rPr>
          <w:rFonts w:hint="eastAsia"/>
        </w:rPr>
        <w:t>这是哲学咨询领域理论方面最重要的专著之一，系统梳理了各主要方法，包括</w:t>
      </w:r>
      <w:r>
        <w:rPr>
          <w:rFonts w:hint="eastAsia"/>
        </w:rPr>
        <w:t>Raabe</w:t>
      </w:r>
      <w:r>
        <w:rPr>
          <w:rFonts w:hint="eastAsia"/>
        </w:rPr>
        <w:t>自己的四阶段模型、</w:t>
      </w:r>
      <w:r>
        <w:rPr>
          <w:rFonts w:hint="eastAsia"/>
        </w:rPr>
        <w:t>Lahav</w:t>
      </w:r>
      <w:r>
        <w:rPr>
          <w:rFonts w:hint="eastAsia"/>
        </w:rPr>
        <w:t>的世界观诠释、</w:t>
      </w:r>
      <w:r>
        <w:rPr>
          <w:rFonts w:hint="eastAsia"/>
        </w:rPr>
        <w:t>Cohen</w:t>
      </w:r>
      <w:r>
        <w:rPr>
          <w:rFonts w:hint="eastAsia"/>
        </w:rPr>
        <w:t>的逻辑治疗，以及</w:t>
      </w:r>
      <w:r>
        <w:rPr>
          <w:rFonts w:hint="eastAsia"/>
        </w:rPr>
        <w:t>Pan</w:t>
      </w:r>
      <w:r>
        <w:rPr>
          <w:rFonts w:hint="eastAsia"/>
        </w:rPr>
        <w:t>（</w:t>
      </w:r>
      <w:r>
        <w:rPr>
          <w:rFonts w:hint="eastAsia"/>
        </w:rPr>
        <w:t>2021</w:t>
      </w:r>
      <w:r>
        <w:rPr>
          <w:rFonts w:hint="eastAsia"/>
        </w:rPr>
        <w:t>）的「思想分析」等中国学者的贡献。</w:t>
      </w:r>
    </w:p>
    <w:p w14:paraId="41BDC76B" w14:textId="77777777" w:rsidR="00DE74B4" w:rsidRDefault="00DE74B4" w:rsidP="00DE74B4">
      <w:r>
        <w:t>Leveraging large language models to assist philosophical counseling: prospective techniques, value, and challenges.</w:t>
      </w:r>
    </w:p>
    <w:p w14:paraId="289833EE" w14:textId="77777777" w:rsidR="00DE74B4" w:rsidRDefault="00DE74B4" w:rsidP="00DE74B4">
      <w:r>
        <w:t>Humanities and Social Sciences Communications (Nature Portfolio), 2025.</w:t>
      </w:r>
    </w:p>
    <w:p w14:paraId="720D060D" w14:textId="77777777" w:rsidR="00DE74B4" w:rsidRDefault="00DE74B4" w:rsidP="00DE74B4">
      <w:pPr>
        <w:rPr>
          <w:rFonts w:hint="eastAsia"/>
        </w:rPr>
      </w:pPr>
      <w:r>
        <w:rPr>
          <w:rFonts w:hint="eastAsia"/>
        </w:rPr>
        <w:t>这篇论文系统探讨了</w:t>
      </w:r>
      <w:r>
        <w:rPr>
          <w:rFonts w:hint="eastAsia"/>
        </w:rPr>
        <w:t>LLM</w:t>
      </w:r>
      <w:r>
        <w:rPr>
          <w:rFonts w:hint="eastAsia"/>
        </w:rPr>
        <w:t>辅助哲学咨询的可能性，分析了提示工程（</w:t>
      </w:r>
      <w:r>
        <w:rPr>
          <w:rFonts w:hint="eastAsia"/>
        </w:rPr>
        <w:t>prompt engineering</w:t>
      </w:r>
      <w:r>
        <w:rPr>
          <w:rFonts w:hint="eastAsia"/>
        </w:rPr>
        <w:t>）、微调（</w:t>
      </w:r>
      <w:r>
        <w:rPr>
          <w:rFonts w:hint="eastAsia"/>
        </w:rPr>
        <w:t>fine-tuning</w:t>
      </w:r>
      <w:r>
        <w:rPr>
          <w:rFonts w:hint="eastAsia"/>
        </w:rPr>
        <w:t>）、检索增强生成（</w:t>
      </w:r>
      <w:r>
        <w:rPr>
          <w:rFonts w:hint="eastAsia"/>
        </w:rPr>
        <w:t>RAG</w:t>
      </w:r>
      <w:r>
        <w:rPr>
          <w:rFonts w:hint="eastAsia"/>
        </w:rPr>
        <w:t>）三种技术路径，同时指出了用户信任、数据隐私、以及当前</w:t>
      </w:r>
      <w:r>
        <w:rPr>
          <w:rFonts w:hint="eastAsia"/>
        </w:rPr>
        <w:t>AI</w:t>
      </w:r>
      <w:r>
        <w:rPr>
          <w:rFonts w:hint="eastAsia"/>
        </w:rPr>
        <w:t>无法真正理解或共情的根本局限。</w:t>
      </w:r>
      <w:r>
        <w:rPr>
          <w:rFonts w:hint="eastAsia"/>
        </w:rPr>
        <w:t xml:space="preserve"> Nature</w:t>
      </w:r>
    </w:p>
    <w:p w14:paraId="78AE23B2" w14:textId="77777777" w:rsidR="00DE74B4" w:rsidRDefault="00DE74B4" w:rsidP="00DE74B4">
      <w:pPr>
        <w:rPr>
          <w:rFonts w:hint="eastAsia"/>
        </w:rPr>
      </w:pPr>
      <w:r>
        <w:rPr>
          <w:rFonts w:hint="eastAsia"/>
        </w:rPr>
        <w:t>全文链接：</w:t>
      </w:r>
      <w:r>
        <w:rPr>
          <w:rFonts w:hint="eastAsia"/>
        </w:rPr>
        <w:t>https://www.nature.com/articles/s41599-025-04657-7</w:t>
      </w:r>
    </w:p>
    <w:p w14:paraId="4B9C50FC" w14:textId="77777777" w:rsidR="00DE74B4" w:rsidRDefault="00DE74B4" w:rsidP="00DE74B4">
      <w:r>
        <w:t>Chang, E. Y. (2023). Prompting Large Language Models With the Socratic Method.</w:t>
      </w:r>
    </w:p>
    <w:p w14:paraId="46DBADFC" w14:textId="77777777" w:rsidR="00DE74B4" w:rsidRDefault="00DE74B4" w:rsidP="00DE74B4">
      <w:r>
        <w:t>arXiv:2303.08769.</w:t>
      </w:r>
    </w:p>
    <w:p w14:paraId="74AE7F99" w14:textId="77777777" w:rsidR="00DE74B4" w:rsidRDefault="00DE74B4" w:rsidP="00DE74B4">
      <w:pPr>
        <w:rPr>
          <w:rFonts w:hint="eastAsia"/>
        </w:rPr>
      </w:pPr>
      <w:r>
        <w:rPr>
          <w:rFonts w:hint="eastAsia"/>
        </w:rPr>
        <w:t>这篇论文系统分析了苏格拉底方法的各种追问类型（定义、归纳、辩证、假设消除等），并探讨如何将这些方法转化为对</w:t>
      </w:r>
      <w:r>
        <w:rPr>
          <w:rFonts w:hint="eastAsia"/>
        </w:rPr>
        <w:t>LLM</w:t>
      </w:r>
      <w:r>
        <w:rPr>
          <w:rFonts w:hint="eastAsia"/>
        </w:rPr>
        <w:t>的提示工程策略，核心洞见是：苏格拉底式追问不能简单地用「你觉得呢？」替代，每种追问有其逻辑结构。</w:t>
      </w:r>
      <w:r>
        <w:rPr>
          <w:rFonts w:hint="eastAsia"/>
        </w:rPr>
        <w:t xml:space="preserve"> arXiv</w:t>
      </w:r>
    </w:p>
    <w:p w14:paraId="656215BA" w14:textId="77777777" w:rsidR="00DE74B4" w:rsidRDefault="00DE74B4" w:rsidP="00DE74B4">
      <w:pPr>
        <w:rPr>
          <w:rFonts w:hint="eastAsia"/>
        </w:rPr>
      </w:pPr>
      <w:r>
        <w:rPr>
          <w:rFonts w:hint="eastAsia"/>
        </w:rPr>
        <w:t>全文链接：</w:t>
      </w:r>
      <w:r>
        <w:rPr>
          <w:rFonts w:hint="eastAsia"/>
        </w:rPr>
        <w:t>https://arxiv.org/pdf/2303.08769</w:t>
      </w:r>
    </w:p>
    <w:p w14:paraId="7EE8783A" w14:textId="77777777" w:rsidR="00DE74B4" w:rsidRDefault="00DE74B4" w:rsidP="00DE74B4">
      <w:pPr>
        <w:rPr>
          <w:rFonts w:hint="eastAsia"/>
        </w:rPr>
      </w:pPr>
      <w:r>
        <w:rPr>
          <w:rFonts w:hint="eastAsia"/>
        </w:rPr>
        <w:t>对你们的用处：</w:t>
      </w:r>
      <w:r>
        <w:rPr>
          <w:rFonts w:hint="eastAsia"/>
        </w:rPr>
        <w:t xml:space="preserve"> </w:t>
      </w:r>
      <w:r>
        <w:rPr>
          <w:rFonts w:hint="eastAsia"/>
        </w:rPr>
        <w:t>直接指导你们的</w:t>
      </w:r>
      <w:r>
        <w:rPr>
          <w:rFonts w:hint="eastAsia"/>
        </w:rPr>
        <w:t>System Prompt</w:t>
      </w:r>
      <w:r>
        <w:rPr>
          <w:rFonts w:hint="eastAsia"/>
        </w:rPr>
        <w:t>设计——不同类型的「惑」需要不同类型的苏格拉底追问，这篇提供了具体分类框架。</w:t>
      </w:r>
    </w:p>
    <w:p w14:paraId="37594C58" w14:textId="77777777" w:rsidR="00DE74B4" w:rsidRDefault="00DE74B4" w:rsidP="00DE74B4">
      <w:pPr>
        <w:rPr>
          <w:rFonts w:hint="eastAsia"/>
        </w:rPr>
      </w:pPr>
      <w:r>
        <w:rPr>
          <w:rFonts w:hint="eastAsia"/>
        </w:rPr>
        <w:t>JMIR Research Protocols (2024). Socrates 2.0</w:t>
      </w:r>
      <w:r>
        <w:rPr>
          <w:rFonts w:hint="eastAsia"/>
        </w:rPr>
        <w:t>：基于</w:t>
      </w:r>
      <w:r>
        <w:rPr>
          <w:rFonts w:hint="eastAsia"/>
        </w:rPr>
        <w:t>LLM</w:t>
      </w:r>
      <w:r>
        <w:rPr>
          <w:rFonts w:hint="eastAsia"/>
        </w:rPr>
        <w:t>的苏格拉底对话工具</w:t>
      </w:r>
    </w:p>
    <w:p w14:paraId="77D2AECC" w14:textId="77777777" w:rsidR="00DE74B4" w:rsidRDefault="00DE74B4" w:rsidP="00DE74B4">
      <w:pPr>
        <w:rPr>
          <w:rFonts w:hint="eastAsia"/>
        </w:rPr>
      </w:pPr>
      <w:r>
        <w:rPr>
          <w:rFonts w:hint="eastAsia"/>
        </w:rPr>
        <w:lastRenderedPageBreak/>
        <w:t>这篇论文详述了</w:t>
      </w:r>
      <w:r>
        <w:rPr>
          <w:rFonts w:hint="eastAsia"/>
        </w:rPr>
        <w:t>Socrates 2.0</w:t>
      </w:r>
      <w:r>
        <w:rPr>
          <w:rFonts w:hint="eastAsia"/>
        </w:rPr>
        <w:t>的开发——一个专门设计用于围绕「不合理信念」进行苏格拉底式对话的</w:t>
      </w:r>
      <w:r>
        <w:rPr>
          <w:rFonts w:hint="eastAsia"/>
        </w:rPr>
        <w:t>LLM</w:t>
      </w:r>
      <w:r>
        <w:rPr>
          <w:rFonts w:hint="eastAsia"/>
        </w:rPr>
        <w:t>工具。它采用多智能体架构（</w:t>
      </w:r>
      <w:r>
        <w:rPr>
          <w:rFonts w:hint="eastAsia"/>
        </w:rPr>
        <w:t>AI</w:t>
      </w:r>
      <w:r>
        <w:rPr>
          <w:rFonts w:hint="eastAsia"/>
        </w:rPr>
        <w:t>治疗师</w:t>
      </w:r>
      <w:r>
        <w:rPr>
          <w:rFonts w:hint="eastAsia"/>
        </w:rPr>
        <w:t xml:space="preserve"> + AI</w:t>
      </w:r>
      <w:r>
        <w:rPr>
          <w:rFonts w:hint="eastAsia"/>
        </w:rPr>
        <w:t>督导</w:t>
      </w:r>
      <w:r>
        <w:rPr>
          <w:rFonts w:hint="eastAsia"/>
        </w:rPr>
        <w:t xml:space="preserve"> + AI</w:t>
      </w:r>
      <w:r>
        <w:rPr>
          <w:rFonts w:hint="eastAsia"/>
        </w:rPr>
        <w:t>评分员），有效解决了</w:t>
      </w:r>
      <w:r>
        <w:rPr>
          <w:rFonts w:hint="eastAsia"/>
        </w:rPr>
        <w:t>LLM</w:t>
      </w:r>
      <w:r>
        <w:rPr>
          <w:rFonts w:hint="eastAsia"/>
        </w:rPr>
        <w:t>在对话中容易陷入循环的问题，在约</w:t>
      </w:r>
      <w:r>
        <w:rPr>
          <w:rFonts w:hint="eastAsia"/>
        </w:rPr>
        <w:t>500</w:t>
      </w:r>
      <w:r>
        <w:rPr>
          <w:rFonts w:hint="eastAsia"/>
        </w:rPr>
        <w:t>个测试场景中有害回应率低于</w:t>
      </w:r>
      <w:r>
        <w:rPr>
          <w:rFonts w:hint="eastAsia"/>
        </w:rPr>
        <w:t>1%</w:t>
      </w:r>
      <w:r>
        <w:rPr>
          <w:rFonts w:hint="eastAsia"/>
        </w:rPr>
        <w:t>。</w:t>
      </w:r>
      <w:r>
        <w:rPr>
          <w:rFonts w:hint="eastAsia"/>
        </w:rPr>
        <w:t xml:space="preserve"> JMIR Research Protocols</w:t>
      </w:r>
    </w:p>
    <w:p w14:paraId="6888B85A" w14:textId="77777777" w:rsidR="00DE74B4" w:rsidRDefault="00DE74B4" w:rsidP="00DE74B4">
      <w:pPr>
        <w:rPr>
          <w:rFonts w:hint="eastAsia"/>
        </w:rPr>
      </w:pPr>
      <w:r>
        <w:rPr>
          <w:rFonts w:hint="eastAsia"/>
        </w:rPr>
        <w:t>全文链接（免费）：</w:t>
      </w:r>
      <w:r>
        <w:rPr>
          <w:rFonts w:hint="eastAsia"/>
        </w:rPr>
        <w:t>https://www.ncbi.nlm.nih.gov/pmc/articles/PMC11502974/</w:t>
      </w:r>
    </w:p>
    <w:p w14:paraId="60153247" w14:textId="77777777" w:rsidR="00DE74B4" w:rsidRDefault="00DE74B4" w:rsidP="00DE74B4">
      <w:pPr>
        <w:rPr>
          <w:rFonts w:hint="eastAsia"/>
        </w:rPr>
      </w:pPr>
      <w:r>
        <w:rPr>
          <w:rFonts w:hint="eastAsia"/>
        </w:rPr>
        <w:t>对你们的用处：</w:t>
      </w:r>
      <w:r>
        <w:rPr>
          <w:rFonts w:hint="eastAsia"/>
        </w:rPr>
        <w:t xml:space="preserve"> </w:t>
      </w:r>
      <w:r>
        <w:rPr>
          <w:rFonts w:hint="eastAsia"/>
        </w:rPr>
        <w:t>这是和你们最相似的已有项目，但它针对的是</w:t>
      </w:r>
      <w:r>
        <w:rPr>
          <w:rFonts w:hint="eastAsia"/>
        </w:rPr>
        <w:t>CBT</w:t>
      </w:r>
      <w:r>
        <w:rPr>
          <w:rFonts w:hint="eastAsia"/>
        </w:rPr>
        <w:t>（认知行为治疗），你们针对的是哲学咨询——这个差异正是你们的独特价值所在。</w:t>
      </w:r>
      <w:r>
        <w:rPr>
          <w:rFonts w:hint="eastAsia"/>
        </w:rPr>
        <w:t>Pre</w:t>
      </w:r>
      <w:r>
        <w:rPr>
          <w:rFonts w:hint="eastAsia"/>
        </w:rPr>
        <w:t>时可以用它作为「相关工作」，然后说明你们的差异。</w:t>
      </w:r>
    </w:p>
    <w:p w14:paraId="2836C8FA" w14:textId="77777777" w:rsidR="00DE74B4" w:rsidRDefault="00DE74B4" w:rsidP="00DE74B4">
      <w:r>
        <w:t>Lahav, R. (1995). A Conceptual Framework for Philosophical Counseling: Worldview Interpretation.</w:t>
      </w:r>
    </w:p>
    <w:p w14:paraId="58C8E9F9" w14:textId="77777777" w:rsidR="00DE74B4" w:rsidRDefault="00DE74B4" w:rsidP="00DE74B4">
      <w:pPr>
        <w:rPr>
          <w:rFonts w:hint="eastAsia"/>
        </w:rPr>
      </w:pPr>
      <w:r>
        <w:rPr>
          <w:rFonts w:hint="eastAsia"/>
        </w:rPr>
        <w:t>收录于</w:t>
      </w:r>
      <w:r>
        <w:rPr>
          <w:rFonts w:hint="eastAsia"/>
        </w:rPr>
        <w:t xml:space="preserve"> Essays on Philosophical Counseling, University Press of America.</w:t>
      </w:r>
    </w:p>
    <w:p w14:paraId="2EC4D66A" w14:textId="77777777" w:rsidR="00DE74B4" w:rsidRDefault="00DE74B4" w:rsidP="00DE74B4">
      <w:pPr>
        <w:rPr>
          <w:rFonts w:hint="eastAsia"/>
        </w:rPr>
      </w:pPr>
      <w:r>
        <w:rPr>
          <w:rFonts w:hint="eastAsia"/>
        </w:rPr>
        <w:t>Lahav</w:t>
      </w:r>
      <w:r>
        <w:rPr>
          <w:rFonts w:hint="eastAsia"/>
        </w:rPr>
        <w:t>提出「世界观诠释」框架：咨询的核心是帮助来访者清晰表达并批判性审查构成其日常生活的世界观结构，目标不只是解决问题，而是让来访者在更广阔的意义视野中重新定向。</w:t>
      </w:r>
      <w:r>
        <w:rPr>
          <w:rFonts w:hint="eastAsia"/>
        </w:rPr>
        <w:t xml:space="preserve"> Uygulamalifelsefedernegi</w:t>
      </w:r>
    </w:p>
    <w:p w14:paraId="50627BFF" w14:textId="77777777" w:rsidR="00DE74B4" w:rsidRDefault="00DE74B4" w:rsidP="00DE74B4">
      <w:pPr>
        <w:rPr>
          <w:rFonts w:hint="eastAsia"/>
        </w:rPr>
      </w:pPr>
      <w:r>
        <w:rPr>
          <w:rFonts w:hint="eastAsia"/>
        </w:rPr>
        <w:t>对你们的用处：</w:t>
      </w:r>
      <w:r>
        <w:rPr>
          <w:rFonts w:hint="eastAsia"/>
        </w:rPr>
        <w:t xml:space="preserve"> </w:t>
      </w:r>
      <w:r>
        <w:rPr>
          <w:rFonts w:hint="eastAsia"/>
        </w:rPr>
        <w:t>支持「跨会话积累」功能的理论依据——用户的多次对话背后可能共享同一个「世界观结构」。</w:t>
      </w:r>
    </w:p>
    <w:p w14:paraId="6D3BB728" w14:textId="77777777" w:rsidR="00DE74B4" w:rsidRDefault="00DE74B4" w:rsidP="00DE74B4">
      <w:r>
        <w:t>Philosophical Counseling and Contradictions (2015)</w:t>
      </w:r>
    </w:p>
    <w:p w14:paraId="26EE6B59" w14:textId="77777777" w:rsidR="00DE74B4" w:rsidRDefault="00DE74B4" w:rsidP="00DE74B4">
      <w:r>
        <w:t>Romizi, D. &amp; Ramharter, E.</w:t>
      </w:r>
    </w:p>
    <w:p w14:paraId="23990BE0" w14:textId="77777777" w:rsidR="00DE74B4" w:rsidRDefault="00DE74B4" w:rsidP="00DE74B4">
      <w:pPr>
        <w:rPr>
          <w:rFonts w:hint="eastAsia"/>
        </w:rPr>
      </w:pPr>
      <w:r>
        <w:rPr>
          <w:rFonts w:hint="eastAsia"/>
        </w:rPr>
        <w:t>收录于</w:t>
      </w:r>
      <w:r>
        <w:rPr>
          <w:rFonts w:hint="eastAsia"/>
        </w:rPr>
        <w:t xml:space="preserve"> Practicing Philosophy, Cambridge Scholars Press.</w:t>
      </w:r>
    </w:p>
    <w:p w14:paraId="41696259" w14:textId="77777777" w:rsidR="00DE74B4" w:rsidRDefault="00DE74B4" w:rsidP="00DE74B4">
      <w:pPr>
        <w:rPr>
          <w:rFonts w:hint="eastAsia"/>
        </w:rPr>
      </w:pPr>
      <w:r>
        <w:rPr>
          <w:rFonts w:hint="eastAsia"/>
        </w:rPr>
        <w:t>这篇论文专门讨论哲学咨询如何处理矛盾，核心问题是：当来访者的陈述中出现逻辑矛盾，咨询师应该如何回应——是直接指出，还是让矛盾继续存在？</w:t>
      </w:r>
      <w:r>
        <w:rPr>
          <w:rFonts w:hint="eastAsia"/>
        </w:rPr>
        <w:t xml:space="preserve"> PhilPapers</w:t>
      </w:r>
    </w:p>
    <w:p w14:paraId="38225F47" w14:textId="02EEBF3C" w:rsidR="00DE74B4" w:rsidRPr="00DE74B4" w:rsidRDefault="00DE74B4" w:rsidP="00DE74B4">
      <w:pPr>
        <w:rPr>
          <w:rFonts w:hint="eastAsia"/>
          <w:lang w:val="en-US"/>
        </w:rPr>
      </w:pPr>
      <w:r>
        <w:rPr>
          <w:rFonts w:hint="eastAsia"/>
        </w:rPr>
        <w:t>对你们的用处：</w:t>
      </w:r>
      <w:r>
        <w:rPr>
          <w:rFonts w:hint="eastAsia"/>
        </w:rPr>
        <w:t xml:space="preserve"> </w:t>
      </w:r>
      <w:r>
        <w:rPr>
          <w:rFonts w:hint="eastAsia"/>
        </w:rPr>
        <w:t>直接对应你们</w:t>
      </w:r>
      <w:r>
        <w:rPr>
          <w:rFonts w:hint="eastAsia"/>
        </w:rPr>
        <w:t>AI</w:t>
      </w:r>
      <w:r>
        <w:rPr>
          <w:rFonts w:hint="eastAsia"/>
        </w:rPr>
        <w:t>设计中「识别信念冲突」这一步骤的哲学依据</w:t>
      </w:r>
    </w:p>
    <w:sectPr w:rsidR="00DE74B4" w:rsidRPr="00DE7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4B4"/>
    <w:rsid w:val="00547612"/>
    <w:rsid w:val="00DE74B4"/>
  </w:rsids>
  <m:mathPr>
    <m:mathFont m:val="Cambria Math"/>
    <m:brkBin m:val="before"/>
    <m:brkBinSub m:val="--"/>
    <m:smallFrac m:val="0"/>
    <m:dispDef/>
    <m:lMargin m:val="0"/>
    <m:rMargin m:val="0"/>
    <m:defJc m:val="centerGroup"/>
    <m:wrapIndent m:val="1440"/>
    <m:intLim m:val="subSup"/>
    <m:naryLim m:val="undOvr"/>
  </m:mathPr>
  <w:themeFontLang w:val="en-F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077975"/>
  <w15:chartTrackingRefBased/>
  <w15:docId w15:val="{417AAC44-7DB6-864A-B29B-AC738E47E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4B4"/>
    <w:rPr>
      <w:rFonts w:eastAsiaTheme="majorEastAsia" w:cstheme="majorBidi"/>
      <w:color w:val="272727" w:themeColor="text1" w:themeTint="D8"/>
    </w:rPr>
  </w:style>
  <w:style w:type="paragraph" w:styleId="Title">
    <w:name w:val="Title"/>
    <w:basedOn w:val="Normal"/>
    <w:next w:val="Normal"/>
    <w:link w:val="TitleChar"/>
    <w:uiPriority w:val="10"/>
    <w:qFormat/>
    <w:rsid w:val="00DE7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4B4"/>
    <w:pPr>
      <w:spacing w:before="160"/>
      <w:jc w:val="center"/>
    </w:pPr>
    <w:rPr>
      <w:i/>
      <w:iCs/>
      <w:color w:val="404040" w:themeColor="text1" w:themeTint="BF"/>
    </w:rPr>
  </w:style>
  <w:style w:type="character" w:customStyle="1" w:styleId="QuoteChar">
    <w:name w:val="Quote Char"/>
    <w:basedOn w:val="DefaultParagraphFont"/>
    <w:link w:val="Quote"/>
    <w:uiPriority w:val="29"/>
    <w:rsid w:val="00DE74B4"/>
    <w:rPr>
      <w:i/>
      <w:iCs/>
      <w:color w:val="404040" w:themeColor="text1" w:themeTint="BF"/>
    </w:rPr>
  </w:style>
  <w:style w:type="paragraph" w:styleId="ListParagraph">
    <w:name w:val="List Paragraph"/>
    <w:basedOn w:val="Normal"/>
    <w:uiPriority w:val="34"/>
    <w:qFormat/>
    <w:rsid w:val="00DE74B4"/>
    <w:pPr>
      <w:ind w:left="720"/>
      <w:contextualSpacing/>
    </w:pPr>
  </w:style>
  <w:style w:type="character" w:styleId="IntenseEmphasis">
    <w:name w:val="Intense Emphasis"/>
    <w:basedOn w:val="DefaultParagraphFont"/>
    <w:uiPriority w:val="21"/>
    <w:qFormat/>
    <w:rsid w:val="00DE74B4"/>
    <w:rPr>
      <w:i/>
      <w:iCs/>
      <w:color w:val="0F4761" w:themeColor="accent1" w:themeShade="BF"/>
    </w:rPr>
  </w:style>
  <w:style w:type="paragraph" w:styleId="IntenseQuote">
    <w:name w:val="Intense Quote"/>
    <w:basedOn w:val="Normal"/>
    <w:next w:val="Normal"/>
    <w:link w:val="IntenseQuoteChar"/>
    <w:uiPriority w:val="30"/>
    <w:qFormat/>
    <w:rsid w:val="00DE7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4B4"/>
    <w:rPr>
      <w:i/>
      <w:iCs/>
      <w:color w:val="0F4761" w:themeColor="accent1" w:themeShade="BF"/>
    </w:rPr>
  </w:style>
  <w:style w:type="character" w:styleId="IntenseReference">
    <w:name w:val="Intense Reference"/>
    <w:basedOn w:val="DefaultParagraphFont"/>
    <w:uiPriority w:val="32"/>
    <w:qFormat/>
    <w:rsid w:val="00DE74B4"/>
    <w:rPr>
      <w:b/>
      <w:bCs/>
      <w:smallCaps/>
      <w:color w:val="0F4761" w:themeColor="accent1" w:themeShade="BF"/>
      <w:spacing w:val="5"/>
    </w:rPr>
  </w:style>
  <w:style w:type="character" w:styleId="Hyperlink">
    <w:name w:val="Hyperlink"/>
    <w:basedOn w:val="DefaultParagraphFont"/>
    <w:uiPriority w:val="99"/>
    <w:unhideWhenUsed/>
    <w:rsid w:val="00DE74B4"/>
    <w:rPr>
      <w:color w:val="467886" w:themeColor="hyperlink"/>
      <w:u w:val="single"/>
    </w:rPr>
  </w:style>
  <w:style w:type="character" w:styleId="UnresolvedMention">
    <w:name w:val="Unresolved Mention"/>
    <w:basedOn w:val="DefaultParagraphFont"/>
    <w:uiPriority w:val="99"/>
    <w:semiHidden/>
    <w:unhideWhenUsed/>
    <w:rsid w:val="00DE7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pcassoc.org/docs/ijpp/ZinaichOnAchenbac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Zhixuan</dc:creator>
  <cp:keywords/>
  <dc:description/>
  <cp:lastModifiedBy>Wu, Zhixuan</cp:lastModifiedBy>
  <cp:revision>1</cp:revision>
  <dcterms:created xsi:type="dcterms:W3CDTF">2026-06-04T11:44:00Z</dcterms:created>
  <dcterms:modified xsi:type="dcterms:W3CDTF">2026-06-04T11:46:00Z</dcterms:modified>
</cp:coreProperties>
</file>