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bookmarkStart w:id="0" w:name="_Hlk535017047"/>
      <w:bookmarkEnd w:id="0"/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4061460" cy="1066800"/>
            <wp:effectExtent l="0" t="0" r="15240" b="0"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本科毕业设计</w:t>
      </w:r>
    </w:p>
    <w:p>
      <w:pPr>
        <w:jc w:val="center"/>
        <w:rPr>
          <w:rFonts w:hint="default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（调研报告）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8"/>
        <w:tblW w:w="6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4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lang w:val="en-US" w:eastAsia="zh-CN"/>
              </w:rPr>
              <w:t>题    目：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基于Unity3D的AR游戏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张威威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计算机科学与技术1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502</w:t>
            </w:r>
            <w:r>
              <w:rPr>
                <w:rFonts w:hint="eastAsia" w:ascii="华文楷体" w:hAnsi="华文楷体" w:eastAsia="华文楷体"/>
                <w:sz w:val="36"/>
                <w:szCs w:val="36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    号：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0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902150232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戴培山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计算机学院</w:t>
            </w:r>
          </w:p>
        </w:tc>
      </w:tr>
    </w:tbl>
    <w:p>
      <w:pPr>
        <w:rPr>
          <w:sz w:val="24"/>
        </w:rPr>
      </w:pPr>
    </w:p>
    <w:p>
      <w:pPr>
        <w:jc w:val="center"/>
        <w:rPr>
          <w:rFonts w:eastAsia="黑体"/>
          <w:sz w:val="44"/>
          <w:szCs w:val="4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  <w:lang w:val="en-US" w:eastAsia="zh-CN"/>
        </w:rPr>
        <w:t>计算机学</w:t>
      </w:r>
      <w:r>
        <w:rPr>
          <w:rFonts w:eastAsia="黑体"/>
          <w:sz w:val="44"/>
          <w:szCs w:val="44"/>
        </w:rPr>
        <w:t>院</w:t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19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418" w:left="1701" w:header="709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jc w:val="both"/>
        <w:rPr>
          <w:rFonts w:ascii="宋体" w:hAnsi="宋体"/>
          <w:b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Times" w:eastAsia="黑体"/>
          <w:sz w:val="32"/>
        </w:rPr>
      </w:pPr>
      <w:r>
        <w:rPr>
          <w:rFonts w:hint="eastAsia" w:ascii="黑体" w:hAnsi="Times" w:eastAsia="黑体"/>
          <w:sz w:val="32"/>
        </w:rPr>
        <w:t>摘要</w:t>
      </w:r>
    </w:p>
    <w:p>
      <w:pPr>
        <w:adjustRightInd w:val="0"/>
        <w:snapToGrid w:val="0"/>
        <w:spacing w:line="400" w:lineRule="exact"/>
        <w:jc w:val="center"/>
        <w:rPr>
          <w:rFonts w:ascii="宋体" w:hAnsi="宋体"/>
          <w:sz w:val="24"/>
        </w:rPr>
      </w:pPr>
    </w:p>
    <w:p>
      <w:pPr>
        <w:spacing w:line="360" w:lineRule="auto"/>
        <w:ind w:left="120" w:leftChars="57" w:firstLine="480" w:firstLineChars="200"/>
        <w:rPr>
          <w:rFonts w:hint="default" w:ascii="Times" w:hAnsi="Times" w:eastAsia="宋体"/>
          <w:lang w:val="en-US" w:eastAsia="zh-CN"/>
        </w:rPr>
      </w:pPr>
      <w:r>
        <w:rPr>
          <w:rFonts w:hint="eastAsia" w:ascii="Times" w:hAnsi="Times"/>
          <w:sz w:val="24"/>
          <w:lang w:val="en-US" w:eastAsia="zh-CN"/>
        </w:rPr>
        <w:t>运用Unity3D游戏开发引擎，以及AR组件，制作出一个AR游戏。AR作为一项新兴技术近年来被越来越多的人群所获知，AR也渐渐走进人们的生活。同时Unity3D作为业界市场占有率最多的游戏引擎，又和AR技术结合出更精彩的内容，2016年的Unity3D开发的AR游戏《Pokemon Go》可谓是让AR技术被广大人群所认知，越来越多的开发商开始进行AR产品的开发。苹果公司和谷歌公司也开发出了分别支持iOS和Android平台的AR开发组件ARKit和ARCore，让AR移动产品的开发更加方便。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default" w:ascii="Times" w:hAnsi="Times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4"/>
        </w:rPr>
        <w:t>关键词</w:t>
      </w:r>
      <w:r>
        <w:rPr>
          <w:rFonts w:hint="eastAsia" w:ascii="Times" w:hAnsi="Times"/>
          <w:b/>
          <w:sz w:val="24"/>
        </w:rPr>
        <w:t>：</w:t>
      </w:r>
      <w:r>
        <w:rPr>
          <w:rFonts w:hint="eastAsia" w:ascii="Times" w:hAnsi="Times"/>
          <w:sz w:val="24"/>
          <w:lang w:val="en-US" w:eastAsia="zh-CN"/>
        </w:rPr>
        <w:t>Unity3D 游戏开发 AR 增强现实 谷歌 苹果</w:t>
      </w:r>
    </w:p>
    <w:p>
      <w:pPr>
        <w:spacing w:before="156" w:beforeLines="50" w:after="156" w:afterLines="50"/>
        <w:jc w:val="center"/>
        <w:rPr>
          <w:rFonts w:ascii="Times" w:hAnsi="Times"/>
          <w:sz w:val="24"/>
        </w:rPr>
      </w:pPr>
      <w:r>
        <w:rPr>
          <w:rFonts w:ascii="Times" w:hAnsi="Times"/>
        </w:rPr>
        <w:br w:type="page"/>
      </w:r>
    </w:p>
    <w:p>
      <w:pPr>
        <w:jc w:val="center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   录</w:t>
      </w:r>
    </w:p>
    <w:p>
      <w:pPr>
        <w:jc w:val="center"/>
        <w:rPr>
          <w:rFonts w:ascii="宋体" w:hAnsi="宋体"/>
          <w:sz w:val="24"/>
        </w:rPr>
      </w:pPr>
    </w:p>
    <w:p>
      <w:pPr>
        <w:pStyle w:val="11"/>
        <w:rPr>
          <w:rFonts w:hint="eastAsia"/>
        </w:rPr>
      </w:pPr>
      <w:bookmarkStart w:id="1" w:name="_Toc300730303"/>
      <w:bookmarkStart w:id="2" w:name="_Toc300730561"/>
      <w:bookmarkStart w:id="3" w:name="_Toc275944809"/>
      <w:bookmarkStart w:id="4" w:name="_Toc300733668"/>
      <w:bookmarkStart w:id="5" w:name="_Toc327274487"/>
      <w:bookmarkStart w:id="6" w:name="_Toc273483288"/>
      <w:bookmarkStart w:id="7" w:name="_Toc326088767"/>
    </w:p>
    <w:p>
      <w:pPr>
        <w:pStyle w:val="7"/>
        <w:tabs>
          <w:tab w:val="right" w:leader="dot" w:pos="9061"/>
        </w:tabs>
        <w:spacing w:line="360" w:lineRule="auto"/>
        <w:ind w:left="0" w:leftChars="0"/>
        <w:rPr>
          <w:rFonts w:ascii="宋体" w:hAnsi="宋体" w:cs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begin"/>
      </w:r>
      <w:r>
        <w:rPr>
          <w:rFonts w:ascii="宋体" w:hAnsi="宋体"/>
          <w:bCs/>
          <w:sz w:val="24"/>
          <w:lang w:val="zh-CN"/>
        </w:rPr>
        <w:instrText xml:space="preserve"> TOC \o "1-3" \h \z \u </w:instrText>
      </w:r>
      <w:r>
        <w:rPr>
          <w:rFonts w:ascii="宋体" w:hAnsi="宋体"/>
          <w:bCs/>
          <w:sz w:val="24"/>
          <w:lang w:val="zh-CN"/>
        </w:rPr>
        <w:fldChar w:fldCharType="separate"/>
      </w:r>
      <w:r>
        <w:fldChar w:fldCharType="begin"/>
      </w:r>
      <w:r>
        <w:instrText xml:space="preserve"> HYPERLINK \l "_Toc535019529" </w:instrText>
      </w:r>
      <w:r>
        <w:fldChar w:fldCharType="separate"/>
      </w:r>
      <w:r>
        <w:rPr>
          <w:rStyle w:val="10"/>
          <w:rFonts w:ascii="宋体" w:hAnsi="宋体"/>
          <w:sz w:val="24"/>
        </w:rPr>
        <w:t>1 绪论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_Toc535019529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"_Toc535019530" </w:instrText>
      </w:r>
      <w:r>
        <w:fldChar w:fldCharType="separate"/>
      </w:r>
      <w:r>
        <w:rPr>
          <w:rStyle w:val="10"/>
          <w:rFonts w:ascii="宋体" w:hAnsi="宋体"/>
          <w:sz w:val="24"/>
        </w:rPr>
        <w:t>1.1  调研背景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"_Toc535019531"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  计算机控制系统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"_Toc535019532"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1.2.1  计算机控制系统组成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"_Toc535019533"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1.2.2 PID控制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_Toc535019533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"_Toc535019534" </w:instrText>
      </w:r>
      <w:r>
        <w:fldChar w:fldCharType="separate"/>
      </w:r>
      <w:r>
        <w:rPr>
          <w:rStyle w:val="10"/>
          <w:rFonts w:ascii="宋体" w:hAnsi="宋体"/>
          <w:sz w:val="24"/>
        </w:rPr>
        <w:t>1.3 电热水壶</w:t>
      </w:r>
      <w:r>
        <w:rPr>
          <w:rStyle w:val="10"/>
          <w:rFonts w:hint="eastAsia" w:ascii="宋体" w:hAnsi="宋体"/>
          <w:sz w:val="24"/>
        </w:rPr>
        <w:t>起源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_Toc535019534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"_Toc535019535" </w:instrText>
      </w:r>
      <w:r>
        <w:fldChar w:fldCharType="separate"/>
      </w:r>
      <w:r>
        <w:rPr>
          <w:rStyle w:val="10"/>
          <w:rFonts w:ascii="宋体" w:hAnsi="宋体"/>
          <w:sz w:val="24"/>
        </w:rPr>
        <w:t>2  电热水壶控制系统简单分析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_Toc535019535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"_Toc535019536" </w:instrText>
      </w:r>
      <w:r>
        <w:fldChar w:fldCharType="separate"/>
      </w:r>
      <w:r>
        <w:rPr>
          <w:rStyle w:val="10"/>
          <w:rFonts w:ascii="宋体" w:hAnsi="宋体"/>
          <w:sz w:val="24"/>
        </w:rPr>
        <w:t>2.2 电热水壶的组成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_Toc535019536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"_Toc535019537" </w:instrText>
      </w:r>
      <w:r>
        <w:fldChar w:fldCharType="separate"/>
      </w:r>
      <w:r>
        <w:rPr>
          <w:rStyle w:val="10"/>
          <w:rFonts w:ascii="宋体" w:hAnsi="宋体"/>
          <w:sz w:val="24"/>
        </w:rPr>
        <w:t>2.3 主要优点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_Toc535019537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"_Toc535019538" </w:instrText>
      </w:r>
      <w:r>
        <w:fldChar w:fldCharType="separate"/>
      </w:r>
      <w:r>
        <w:rPr>
          <w:rStyle w:val="10"/>
          <w:rFonts w:ascii="宋体" w:hAnsi="宋体"/>
          <w:sz w:val="24"/>
        </w:rPr>
        <w:t>2.4 保护工作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_Toc535019538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"_Toc535019539" </w:instrText>
      </w:r>
      <w:r>
        <w:fldChar w:fldCharType="separate"/>
      </w:r>
      <w:r>
        <w:rPr>
          <w:rStyle w:val="10"/>
          <w:rFonts w:ascii="宋体" w:hAnsi="宋体"/>
          <w:sz w:val="24"/>
        </w:rPr>
        <w:t>3 调研活动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"_Toc535019540" </w:instrText>
      </w:r>
      <w:r>
        <w:fldChar w:fldCharType="separate"/>
      </w:r>
      <w:r>
        <w:rPr>
          <w:rStyle w:val="10"/>
          <w:rFonts w:ascii="宋体" w:hAnsi="宋体"/>
          <w:sz w:val="24"/>
        </w:rPr>
        <w:t>结束语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"_Toc535019541" </w:instrText>
      </w:r>
      <w:r>
        <w:fldChar w:fldCharType="separate"/>
      </w:r>
      <w:r>
        <w:rPr>
          <w:rStyle w:val="10"/>
          <w:rFonts w:ascii="宋体" w:hAnsi="宋体"/>
          <w:sz w:val="24"/>
        </w:rPr>
        <w:t>参考文献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end"/>
      </w:r>
    </w:p>
    <w:p>
      <w:pPr>
        <w:pStyle w:val="12"/>
        <w:outlineLvl w:val="9"/>
        <w:rPr>
          <w:rFonts w:ascii="宋体" w:hAnsi="宋体" w:eastAsia="宋体"/>
          <w:lang w:eastAsia="zh-CN"/>
        </w:rPr>
        <w:sectPr>
          <w:footerReference r:id="rId5" w:type="default"/>
          <w:type w:val="continuous"/>
          <w:pgSz w:w="11906" w:h="16838"/>
          <w:pgMar w:top="172" w:right="1134" w:bottom="1418" w:left="1701" w:header="570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outlineLvl w:val="9"/>
        <w:rPr>
          <w:rFonts w:hint="eastAsia" w:ascii="宋体" w:hAnsi="宋体" w:eastAsia="宋体"/>
          <w:lang w:eastAsia="zh-CN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一、前言</w:t>
      </w:r>
    </w:p>
    <w:bookmarkEnd w:id="1"/>
    <w:bookmarkEnd w:id="2"/>
    <w:bookmarkEnd w:id="3"/>
    <w:bookmarkEnd w:id="4"/>
    <w:bookmarkEnd w:id="5"/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480" w:firstLineChars="200"/>
        <w:textAlignment w:val="auto"/>
        <w:outlineLvl w:val="1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1.1 课题研究背景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增强现实Augmented Reality简称AR,作为一项新兴的技术，</w:t>
      </w:r>
      <w:bookmarkStart w:id="16" w:name="_GoBack"/>
      <w:bookmarkEnd w:id="16"/>
      <w:r>
        <w:rPr>
          <w:rFonts w:hint="eastAsia" w:ascii="宋体" w:hAnsi="宋体"/>
          <w:sz w:val="24"/>
          <w:szCs w:val="21"/>
          <w:lang w:val="en-US" w:eastAsia="zh-CN"/>
        </w:rPr>
        <w:t>这种技术于1990年提出，在近年来受到越来越多的人的关注，人们开始讨论AR产品。AR的运用领域，也从工业，科学，航天，国防等领域逐渐进入商用化，平民化。尤其是2016年Niantic Labs公司开发的《Pokemon Go》AR游戏一度掀起AR浪潮，人们开始去了解AR,使用AR。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增强现实(AR)技术，是一种利用摄像机，将计算机想要展示展示的内容，嵌套在现实世界中，展示在人眼前进行交互的技术，也就是将修饰过的现实世界展示在人们眼前。</w:t>
      </w:r>
    </w:p>
    <w:p>
      <w:pPr>
        <w:spacing w:line="360" w:lineRule="auto"/>
        <w:ind w:right="25" w:rightChars="12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将真实世界的信息和虚拟世界的信息无缝集成在一起，从而增强人类的感官体验。随着电子产品的运算能力的提升，相信增强现实能有更多有用的用途。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480" w:firstLineChars="200"/>
        <w:textAlignment w:val="auto"/>
        <w:outlineLvl w:val="1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1.2 课题研究目的</w:t>
      </w:r>
    </w:p>
    <w:p>
      <w:pPr>
        <w:spacing w:line="360" w:lineRule="auto"/>
        <w:ind w:right="25" w:rightChars="12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 xml:space="preserve">    AR技术作为新兴的计算机技术，全民普及率也在逐渐提高，虽然AR技术在今天仍然不是很成熟，却也开始有了各种商用用途，比如百度地图的AR导航，支付宝的AR扫福，推广AR应用让</w:t>
      </w: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ascii="宋体" w:hAnsi="宋体"/>
          <w:sz w:val="24"/>
          <w:szCs w:val="21"/>
        </w:rPr>
      </w:pPr>
      <w:bookmarkStart w:id="8" w:name="_Toc535019535"/>
      <w:r>
        <w:rPr>
          <w:rFonts w:ascii="宋体" w:hAnsi="宋体"/>
          <w:sz w:val="24"/>
          <w:szCs w:val="21"/>
        </w:rPr>
        <w:t xml:space="preserve">2  </w:t>
      </w:r>
      <w:r>
        <w:rPr>
          <w:rFonts w:hint="eastAsia" w:ascii="宋体" w:hAnsi="宋体"/>
          <w:sz w:val="24"/>
          <w:szCs w:val="21"/>
        </w:rPr>
        <w:t>电热水壶控制系统简单分析</w:t>
      </w:r>
      <w:bookmarkEnd w:id="8"/>
    </w:p>
    <w:p>
      <w:pPr>
        <w:spacing w:line="360" w:lineRule="auto"/>
        <w:ind w:right="25" w:rightChars="12" w:firstLine="480" w:firstLineChars="200"/>
        <w:jc w:val="center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rPr>
          <w:rFonts w:ascii="黑体" w:hAnsi="黑体" w:eastAsia="黑体"/>
          <w:sz w:val="24"/>
          <w:szCs w:val="21"/>
        </w:rPr>
      </w:pPr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.1 </w:t>
      </w:r>
      <w:r>
        <w:rPr>
          <w:rFonts w:hint="eastAsia" w:ascii="黑体" w:hAnsi="黑体" w:eastAsia="黑体"/>
          <w:sz w:val="24"/>
          <w:szCs w:val="21"/>
        </w:rPr>
        <w:t>工作原理</w:t>
      </w:r>
    </w:p>
    <w:p>
      <w:pPr>
        <w:spacing w:line="360" w:lineRule="auto"/>
        <w:ind w:right="25" w:rightChars="12" w:firstLine="480" w:firstLineChars="200"/>
        <w:jc w:val="left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电热水壶的工作原理为，水沸腾时产生的水蒸汽使蒸汽感温元件的双金属片变形，这种变形通过杠杆原理推动电源开关断电。其断电是不可自复位的，故断电后水壶不会自动再加热。</w:t>
      </w:r>
    </w:p>
    <w:p>
      <w:pPr>
        <w:spacing w:line="360" w:lineRule="auto"/>
        <w:ind w:right="25" w:rightChars="12" w:firstLine="480" w:firstLineChars="200"/>
        <w:jc w:val="left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如果蒸汽开关失效，壶内的水会一直烧下去，直到水被烧干，发热元件温度急剧上升，位于发热盘底部的有两个双金属片，会因为热传导作用温度急剧上升，膨胀变形，断开电源。因此电热水壶的安全保护装置是设计的非常科学与可靠的。这也就是电热水壶的三重安全保护原理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电热水壶电路图。</w: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085" cy="3260725"/>
            <wp:effectExtent l="0" t="0" r="12065" b="15875"/>
            <wp:wrapTopAndBottom/>
            <wp:docPr id="102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9" w:name="_Toc535019536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.2 </w:t>
      </w:r>
      <w:r>
        <w:rPr>
          <w:rFonts w:hint="eastAsia" w:ascii="黑体" w:hAnsi="黑体" w:eastAsia="黑体"/>
          <w:sz w:val="24"/>
          <w:szCs w:val="21"/>
        </w:rPr>
        <w:t>电热水壶的组成</w:t>
      </w:r>
      <w:bookmarkEnd w:id="9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具有保温功能的水壶，大多有二个发热管，有一个保温发热管是通过保温开关单独控制的，它可以让用户控制选择是否保温。保温功率一般在50W以下，一小时通常消耗不会超过0.1度电的。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关键部件：电热水壶的关键部件是温控器，温控器的好坏及使用寿命决定了水壶的好坏及使用寿命。温控器分为：简单温控器、简单+突跳温控器、防水、防干烧温控器。建议消费者选购防水、防干烧温控器电水壶。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其他部件：除了关键的控温器，一个电水壶的组成必须包含这些基本部件：开壶按键、水壶顶盖、电源开关、手柄、电源指示灯、加热地盘等。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0" w:name="_Toc535019537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.3 </w:t>
      </w:r>
      <w:r>
        <w:rPr>
          <w:rFonts w:hint="eastAsia" w:ascii="黑体" w:hAnsi="黑体" w:eastAsia="黑体"/>
          <w:sz w:val="24"/>
          <w:szCs w:val="21"/>
        </w:rPr>
        <w:t>主要优点</w:t>
      </w:r>
      <w:bookmarkEnd w:id="10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(</w:t>
      </w:r>
      <w:r>
        <w:rPr>
          <w:rFonts w:ascii="宋体" w:hAnsi="宋体"/>
          <w:sz w:val="24"/>
          <w:szCs w:val="21"/>
        </w:rPr>
        <w:t>1)</w:t>
      </w:r>
      <w:r>
        <w:rPr>
          <w:rFonts w:hint="eastAsia" w:ascii="宋体" w:hAnsi="宋体"/>
          <w:sz w:val="24"/>
          <w:szCs w:val="21"/>
        </w:rPr>
        <w:t>发热快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热得快是电热水壶最基本的要求，往往</w:t>
      </w:r>
      <w:r>
        <w:rPr>
          <w:rFonts w:ascii="宋体" w:hAnsi="宋体"/>
          <w:sz w:val="24"/>
          <w:szCs w:val="21"/>
        </w:rPr>
        <w:t>3</w:t>
      </w:r>
      <w:r>
        <w:rPr>
          <w:rFonts w:hint="eastAsia" w:ascii="宋体" w:hAnsi="宋体"/>
          <w:sz w:val="24"/>
          <w:szCs w:val="21"/>
        </w:rPr>
        <w:t>-</w:t>
      </w:r>
      <w:r>
        <w:rPr>
          <w:rFonts w:ascii="宋体" w:hAnsi="宋体"/>
          <w:sz w:val="24"/>
          <w:szCs w:val="21"/>
        </w:rPr>
        <w:t>5</w:t>
      </w:r>
      <w:r>
        <w:rPr>
          <w:rFonts w:hint="eastAsia" w:ascii="宋体" w:hAnsi="宋体"/>
          <w:sz w:val="24"/>
          <w:szCs w:val="21"/>
        </w:rPr>
        <w:t>分钟就可以把0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</w:t>
      </w:r>
      <w:r>
        <w:rPr>
          <w:rFonts w:ascii="宋体" w:hAnsi="宋体"/>
          <w:sz w:val="24"/>
          <w:szCs w:val="21"/>
        </w:rPr>
        <w:t>-1L</w:t>
      </w:r>
      <w:r>
        <w:rPr>
          <w:rFonts w:hint="eastAsia" w:ascii="宋体" w:hAnsi="宋体"/>
          <w:sz w:val="24"/>
          <w:szCs w:val="21"/>
        </w:rPr>
        <w:t>的水烧沸。</w:t>
      </w:r>
    </w:p>
    <w:p>
      <w:pPr>
        <w:spacing w:line="360" w:lineRule="auto"/>
        <w:ind w:right="25" w:rightChars="12"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(2)</w:t>
      </w:r>
      <w:r>
        <w:rPr>
          <w:rFonts w:hint="eastAsia" w:ascii="宋体" w:hAnsi="宋体"/>
          <w:sz w:val="24"/>
          <w:szCs w:val="21"/>
        </w:rPr>
        <w:t>保温好</w:t>
      </w:r>
    </w:p>
    <w:p>
      <w:pPr>
        <w:spacing w:line="360" w:lineRule="auto"/>
        <w:ind w:right="25" w:rightChars="12" w:firstLine="48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电热水壶已经不再仅仅是烧水的工具，同时也是储水的工具，做到一壶两用的效果。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1" w:name="_Toc535019538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.4 </w:t>
      </w:r>
      <w:r>
        <w:rPr>
          <w:rFonts w:hint="eastAsia" w:ascii="黑体" w:hAnsi="黑体" w:eastAsia="黑体"/>
          <w:sz w:val="24"/>
          <w:szCs w:val="21"/>
        </w:rPr>
        <w:t>保护工作</w:t>
      </w:r>
      <w:bookmarkEnd w:id="11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销售人员也向我们教授了对电热水壶的日常保护措施，以便增加电热水壶的使用寿命。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1）为延长水壶的使用寿命，应定期清洁壶内的矿物沉淀物。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2）进行清洗时，一定要先断开电源。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3）请不要将水壶底座泡在水中。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4）将醋和水按1：2比例混合倒入水壶中，然后接通电源，让水壶工作并等待它自动跳断。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5）让混合液在水壶中保存24小时后将混合液倒掉，再装入清水到一定的位置，再工作。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6）倒掉这些水就会将水垢和醋精带走，最后用清水清洗壶内部，如有必要请重复以上操作。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7）在电水壶的使用过程中，如发生故障，应把壶从加热度底盘上拿出，倒掉壶中水，然后让其冷却至常温方可进行故障检测或清洗。</w:t>
      </w: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ascii="宋体" w:hAnsi="宋体"/>
          <w:sz w:val="24"/>
          <w:szCs w:val="21"/>
        </w:rPr>
      </w:pPr>
      <w:bookmarkStart w:id="12" w:name="_Toc535019539"/>
      <w:r>
        <w:rPr>
          <w:rFonts w:ascii="宋体" w:hAnsi="宋体"/>
          <w:sz w:val="24"/>
          <w:szCs w:val="21"/>
        </w:rPr>
        <w:t xml:space="preserve">3 </w:t>
      </w:r>
      <w:r>
        <w:rPr>
          <w:rFonts w:hint="eastAsia" w:ascii="宋体" w:hAnsi="宋体"/>
          <w:sz w:val="24"/>
          <w:szCs w:val="21"/>
        </w:rPr>
        <w:t>调研活动</w:t>
      </w:r>
      <w:bookmarkEnd w:id="12"/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本次的调研对象是美的电热水壶M</w:t>
      </w:r>
      <w:r>
        <w:rPr>
          <w:rFonts w:ascii="宋体" w:hAnsi="宋体"/>
          <w:sz w:val="24"/>
          <w:szCs w:val="21"/>
        </w:rPr>
        <w:t>K-SH15Colour102</w:t>
      </w:r>
      <w:r>
        <w:rPr>
          <w:rFonts w:hint="eastAsia" w:ascii="宋体" w:hAnsi="宋体"/>
          <w:sz w:val="24"/>
          <w:szCs w:val="21"/>
        </w:rPr>
        <w:t>,该电热水壶是由广东美的生活电器制造有限公司所产，由不锈钢和ABS工程塑料所做，双层壶身形成中空的隔热层，有效防止烫伤；上盖更有聚水环，能开盖防溅；壶身净重也只有1kg；功率达到1</w:t>
      </w:r>
      <w:r>
        <w:rPr>
          <w:rFonts w:ascii="宋体" w:hAnsi="宋体"/>
          <w:sz w:val="24"/>
          <w:szCs w:val="21"/>
        </w:rPr>
        <w:t>800</w:t>
      </w:r>
      <w:r>
        <w:rPr>
          <w:rFonts w:hint="eastAsia" w:ascii="宋体" w:hAnsi="宋体"/>
          <w:sz w:val="24"/>
          <w:szCs w:val="21"/>
        </w:rPr>
        <w:t>w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容量有1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L超大容量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采用电热水壶最常用的加热方式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底盘加热，更有自动断电的功能，价格也较实惠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调研对象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美的电热水壶M</w:t>
      </w:r>
      <w:r>
        <w:rPr>
          <w:rFonts w:ascii="宋体" w:hAnsi="宋体"/>
          <w:sz w:val="24"/>
          <w:szCs w:val="21"/>
        </w:rPr>
        <w:t>K-SH15Colour102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090420" cy="2785110"/>
            <wp:effectExtent l="0" t="0" r="5080" b="15240"/>
            <wp:docPr id="103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955" cy="278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384810</wp:posOffset>
            </wp:positionV>
            <wp:extent cx="4910455" cy="3686175"/>
            <wp:effectExtent l="0" t="0" r="4445" b="9525"/>
            <wp:wrapTopAndBottom/>
            <wp:docPr id="103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667" cy="36861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1"/>
        </w:rPr>
        <w:t>商场美的电热水壶种类丰富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观察电热水壶构成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97455" cy="3327400"/>
            <wp:effectExtent l="0" t="0" r="17145" b="6350"/>
            <wp:docPr id="103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707" cy="332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73960" cy="3295650"/>
            <wp:effectExtent l="0" t="0" r="2540" b="0"/>
            <wp:docPr id="103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172" cy="32960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bookmarkStart w:id="13" w:name="_Toc535019540"/>
      <w:r>
        <w:rPr>
          <w:rFonts w:hint="eastAsia" w:ascii="黑体" w:eastAsia="黑体"/>
          <w:sz w:val="32"/>
          <w:szCs w:val="32"/>
        </w:rPr>
        <w:t>结束语</w:t>
      </w:r>
      <w:bookmarkEnd w:id="13"/>
    </w:p>
    <w:p>
      <w:pPr>
        <w:spacing w:line="360" w:lineRule="auto"/>
        <w:jc w:val="center"/>
        <w:rPr>
          <w:rFonts w:ascii="宋体" w:hAnsi="宋体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几次专题一的学习，初步了解到了计算机控制系统，计算机控制系统的组成，以及PID控制等相关计算机控制技术的基础知识。和队友一起的调研，也更加深入了解到计算机控制和我们的生活息息相关，可以说在现代生活中，计算机控制系统给我们带来了极大的便利。电热水壶作为我们的调研对象，也更加了解到其背后的原理以及构成，不再仅仅局限于会使用电热水壶。本次调研活动也体现了中南大学的校训--经世致用，知行合一的深刻内涵，只有实践才能更加理解理论内容，才能把书本知识变为实际有用的知识。感谢队友的相互学习，共同参与调研活动，感谢凌老师几周的讲座，使认识到计算机控制一角，为以后更深入的学习奠定一定的基础。</w:t>
      </w: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4"/>
        <w:ind w:firstLine="0" w:firstLineChars="0"/>
        <w:jc w:val="center"/>
        <w:outlineLvl w:val="0"/>
        <w:rPr>
          <w:rFonts w:eastAsia="黑体"/>
          <w:sz w:val="32"/>
        </w:rPr>
      </w:pPr>
      <w:bookmarkStart w:id="14" w:name="_Toc535019541"/>
      <w:r>
        <w:rPr>
          <w:rFonts w:hint="eastAsia" w:eastAsia="黑体"/>
          <w:sz w:val="32"/>
        </w:rPr>
        <w:t>参考文献</w:t>
      </w:r>
      <w:bookmarkEnd w:id="14"/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楷体_GB2312" w:eastAsia="楷体_GB2312"/>
          <w:color w:val="000000"/>
          <w:kern w:val="0"/>
          <w:szCs w:val="21"/>
        </w:rPr>
      </w:pPr>
      <w:bookmarkStart w:id="15" w:name="_neb732D6215_B76D_407F_833D_3AFE26E3A66D"/>
      <w:r>
        <w:rPr>
          <w:rFonts w:hint="eastAsia" w:ascii="楷体_GB2312" w:eastAsia="楷体_GB2312"/>
          <w:color w:val="000000"/>
          <w:kern w:val="0"/>
          <w:szCs w:val="21"/>
        </w:rPr>
        <w:t>[1]</w:t>
      </w:r>
      <w:bookmarkEnd w:id="15"/>
      <w:r>
        <w:rPr>
          <w:rFonts w:hint="eastAsia" w:ascii="楷体_GB2312" w:eastAsia="楷体_GB2312"/>
          <w:color w:val="000000"/>
          <w:kern w:val="0"/>
          <w:szCs w:val="21"/>
        </w:rPr>
        <w:t xml:space="preserve"> R. Azuma, A Survey of Augmented Reality Presence: Teleoperators and Virtual Environments, pp. 355–385, August 1997.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"http://www.cs.unc.edu/~azuma/ARpresence.pdf"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http://www.cs.unc.edu/~azuma/ARpresence.pdf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[2] 鄢雨田. 电热水壶结构的设计与创新[J]. 产业与科技论坛, 2016, 15(9):51-52.</w:t>
      </w:r>
    </w:p>
    <w:p>
      <w:pPr>
        <w:autoSpaceDE w:val="0"/>
        <w:autoSpaceDN w:val="0"/>
        <w:adjustRightInd w:val="0"/>
        <w:spacing w:line="360" w:lineRule="auto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[3] 连小卫. 电热水壶行业状况与核心部件温控器[J]. 现代家电, 2006(10):68-68.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[4] 仲高艳, 林小艺, 徐翔. 用于电热水壶的电子式温控器的研制[J]. 电子器件, 2006, 29(3):808-812.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[5]</w:t>
      </w:r>
      <w:r>
        <w:rPr>
          <w:rFonts w:hint="eastAsia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刘丹, 张桢, 付贵鑫. 电热水壶专利技术现状及其发展趋势分析[J]. 家电科技, 2011(12):38-42.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[6] 聂茹. 基于PID的电热水壶温度系统的设计与实现[J]. 电子设计工程, 2014(21):45-47.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[7] 佚名. 计算机控制系统分析与设计[M]. 1988.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[8] 赵武. 计算机控制系统的比较与研究[J]. 机电工程技术, 2004, 33(12):12-14.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[9]</w:t>
      </w:r>
      <w:r>
        <w:rPr>
          <w:rFonts w:hint="eastAsia" w:ascii="楷体_GB2312" w:eastAsia="楷体_GB2312"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聂建华, 陶永华. 新型 PID 控制及其应用──第三讲　智能PID控制[J]. 工业仪表与自动化装置, 1997(6):57-61.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[10] 王蕾, 宋文忠. PID控制[J]. 自动化仪表, 2004, 25(4):1-6.</w:t>
      </w:r>
    </w:p>
    <w:bookmarkEnd w:id="7"/>
    <w:p>
      <w:pPr>
        <w:spacing w:line="360" w:lineRule="auto"/>
        <w:rPr>
          <w:rFonts w:ascii="楷体_GB2312" w:hAnsi="Times" w:eastAsia="楷体_GB2312"/>
          <w:color w:val="000000"/>
          <w:kern w:val="0"/>
          <w:szCs w:val="21"/>
        </w:rPr>
      </w:pPr>
    </w:p>
    <w:p/>
    <w:p/>
    <w:sectPr>
      <w:footerReference r:id="rId6" w:type="default"/>
      <w:pgSz w:w="11906" w:h="16838"/>
      <w:pgMar w:top="172" w:right="1134" w:bottom="1418" w:left="1701" w:header="57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Times">
    <w:altName w:val="Times New Roma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eastAsia="zh-CN"/>
      </w:rPr>
    </w:pPr>
    <w:r>
      <w:rPr>
        <w:rFonts w:hint="eastAsia"/>
        <w:lang w:eastAsia="zh-CN"/>
      </w:rPr>
      <w:t>Ⅰ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>
    <w:pPr>
      <w:pStyle w:val="5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0"/>
      </w:pBdr>
      <w:tabs>
        <w:tab w:val="left" w:pos="1485"/>
        <w:tab w:val="center" w:pos="4153"/>
        <w:tab w:val="right" w:pos="8306"/>
      </w:tabs>
      <w:snapToGrid w:val="0"/>
      <w:rPr>
        <w:rFonts w:ascii="黑体" w:eastAsia="黑体"/>
        <w:sz w:val="18"/>
        <w:szCs w:val="18"/>
      </w:rPr>
    </w:pPr>
    <w:r>
      <w:rPr>
        <w:rFonts w:ascii="华文楷体" w:hAnsi="华文楷体" w:eastAsia="华文楷体"/>
        <w:b/>
        <w:bCs/>
        <w:kern w:val="0"/>
        <w:sz w:val="72"/>
        <w:szCs w:val="72"/>
      </w:rPr>
      <w:drawing>
        <wp:inline distT="0" distB="0" distL="0" distR="0">
          <wp:extent cx="1097280" cy="281940"/>
          <wp:effectExtent l="0" t="0" r="7620" b="3810"/>
          <wp:docPr id="4097" name="图片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59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280" cy="281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 w:ascii="黑体" w:eastAsia="黑体"/>
        <w:szCs w:val="21"/>
      </w:rPr>
      <w:t xml:space="preserve">                           </w:t>
    </w:r>
    <w:r>
      <w:rPr>
        <w:rFonts w:hint="eastAsia" w:ascii="黑体" w:eastAsia="黑体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09C3"/>
    <w:rsid w:val="085405C0"/>
    <w:rsid w:val="173379E2"/>
    <w:rsid w:val="1D421A95"/>
    <w:rsid w:val="204E4599"/>
    <w:rsid w:val="23871FB6"/>
    <w:rsid w:val="2A4C112E"/>
    <w:rsid w:val="2A7B44AD"/>
    <w:rsid w:val="2C9D4B20"/>
    <w:rsid w:val="304E4B82"/>
    <w:rsid w:val="34F86903"/>
    <w:rsid w:val="3FD109C3"/>
    <w:rsid w:val="4D0A5225"/>
    <w:rsid w:val="4E28428E"/>
    <w:rsid w:val="5053226F"/>
    <w:rsid w:val="64F8329E"/>
    <w:rsid w:val="68B10D10"/>
    <w:rsid w:val="68E507C7"/>
    <w:rsid w:val="713C3701"/>
    <w:rsid w:val="75002E2A"/>
    <w:rsid w:val="763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99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宋体"/>
      <w:b w:val="0"/>
      <w:bCs w:val="0"/>
      <w:color w:val="2F5496"/>
      <w:kern w:val="0"/>
      <w:sz w:val="32"/>
      <w:szCs w:val="32"/>
    </w:rPr>
  </w:style>
  <w:style w:type="paragraph" w:customStyle="1" w:styleId="12">
    <w:name w:val="初标2"/>
    <w:basedOn w:val="1"/>
    <w:qFormat/>
    <w:uiPriority w:val="0"/>
    <w:pPr>
      <w:spacing w:line="360" w:lineRule="auto"/>
      <w:jc w:val="left"/>
      <w:outlineLvl w:val="1"/>
    </w:pPr>
    <w:rPr>
      <w:rFonts w:eastAsia="黑体"/>
      <w:bCs/>
      <w:kern w:val="0"/>
      <w:sz w:val="24"/>
    </w:rPr>
  </w:style>
  <w:style w:type="paragraph" w:customStyle="1" w:styleId="13">
    <w:name w:val="初正文"/>
    <w:basedOn w:val="1"/>
    <w:qFormat/>
    <w:uiPriority w:val="99"/>
    <w:pPr>
      <w:spacing w:line="360" w:lineRule="auto"/>
      <w:ind w:firstLine="480" w:firstLineChars="200"/>
    </w:pPr>
    <w:rPr>
      <w:rFonts w:hAnsi="宋体"/>
      <w:kern w:val="0"/>
      <w:sz w:val="24"/>
      <w:szCs w:val="20"/>
    </w:rPr>
  </w:style>
  <w:style w:type="paragraph" w:customStyle="1" w:styleId="14">
    <w:name w:val="正文1"/>
    <w:basedOn w:val="1"/>
    <w:qFormat/>
    <w:uiPriority w:val="0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2019-03-19T01:44:00Z</dcterms:created>
  <dc:creator>张计科</dc:creator>
  <cp:lastModifiedBy>张计科</cp:lastModifiedBy>
  <dcterms:modified xsi:type="dcterms:W3CDTF">2019-03-23T12:03:22Z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