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Spec="center" w:tblpY="1023"/>
        <w:tblW w:w="10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384"/>
        <w:gridCol w:w="1305"/>
        <w:gridCol w:w="1218"/>
        <w:gridCol w:w="830"/>
        <w:gridCol w:w="467"/>
        <w:gridCol w:w="874"/>
        <w:gridCol w:w="926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住院医师规范化培训评估指标——外科（胸心外科方向）专业基地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12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1768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培训基地（医院）名称：${orgName}</w:t>
            </w:r>
          </w:p>
        </w:tc>
        <w:tc>
          <w:tcPr>
            <w:tcW w:w="5227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所属省（区、市）：${orgCityName}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评估项目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评估内容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现场评估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方式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评分标准</w:t>
            </w:r>
          </w:p>
        </w:tc>
        <w:tc>
          <w:tcPr>
            <w:tcW w:w="46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分值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自评得分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专家评分</w:t>
            </w:r>
          </w:p>
        </w:tc>
        <w:tc>
          <w:tcPr>
            <w:tcW w:w="912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扣分原因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一级指标</w:t>
            </w: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二级指标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三级指标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★为核心指标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6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12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1.基本条件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（18分）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1.1专业基地所在医院条件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1.1.1总床位数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三级甲等综合医院外科床位总数≥200张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检查相关文件复印件，需加盖医院公章 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符合标准，得满分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"D:\\Download\\湖北西医\\evaluationInfo_0600.files\\evaluationInfo_0600392.png"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"D:\\Download\\湖北西医\\evaluationInfo_0600.files\\evaluationInfo_0600562.png"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"D:\\Download\\湖北西医\\evaluationInfo_0600.files\\evaluationInfo_0600730.png"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6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1.1.2年收治病人数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胸外科≥300人次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心血管外科≥200人次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检查相关统计报表复印件，需加盖医院公章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符合标准，得1分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1.1.3年门诊量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胸外科≥1000人次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心血管外科≥1000人次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符合标准，得1分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1.1.4年急诊量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胸外科≥60人次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心血管外科≥30人次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符合标准，得1分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1.1.5科室和实验室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必备科室:普通外科、骨科、泌尿外科、胸心外科、麻醉科、外科重症监护治疗室(SICU)、神经外科、医院门诊、急诊科、内科、中心手术室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辅助科室：放射科、超声科、核医学科、病理科、检验医学科、输血科，外科实验室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查看相关文件，实地考查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必备科室缺1个科室，不得分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辅助科室缺2个科室，不得分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1.1.6轮转科室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普通外科(包括门、急诊)、骨科(包括门、急诊)、泌尿外科、胸心外科、 神经外科、 麻醉科、外科重症监护室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1.查看各亚专业（专科）设置名称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2.查看培训对象轮转计划和轮转登记手册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3.实地考查，访谈培训对象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科室齐全，得满分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1.1.7疾病种类及数量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符合《住院医师规范化培训基地认定标准（试行）》和《住院医师规范化培训内容与标准（试行）》外科（胸心外科方向）专业细则要求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核对上一年度各亚专业（专科）收治疾病种类及数量统计报表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符合要求（含协同单位），得满分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疾病种类及数量≥规定数的90%，得1分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疾病种类及数量≥规定数的85%，得0.5分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疾病种类及数量＜规定数的85%，不得分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1.1.8技能操作和手术种类及数量★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核对上一年度各亚专业（专科）技能操作、手术种类及数量的统计报表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符合要求（含协同单位），得满分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技能操作和手术种类及数量≥规定数的90%，得2分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技能操作和手术种类及数量≥规定数的85%，得1分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技能操作和手术种类及数量＜规定数的85%，不得分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1.1.9医院设备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X射线机、数字减影血管造影机、CT、MRI、放射治疗机、彩色B超(带 Doppler等探头)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检查设备清单复印件，需加盖医院公章，实地考查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1.1.10专业基地设备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1.纤维胃镜、结肠镜、肝脏介入治疗设备、腹腔镜、胆道镜等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2.手术显微镜、关节镜、 C形臂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3.支气管镜、胸腔镜、多导监护仪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4.膀胱镜、电切镜、输尿管镜、经皮肾镜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5.脑电图仪、层流手术间、神经外科手术用显微镜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6.血液、生化、免疫、尿液检验设备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7.氧饱和度监测仪、肺功能仪、呼吸机、指测血糖仪、输液泵、微量泵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8.体外循环机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9.麻醉机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检查设备清单复印件，需加盖医院公章，实地考查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1.2协同单位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1.2.1协同数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协同数量不应超过3个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查看原始资料，核实相关信息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1.2.2协同床位数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各亚专业（专科）床位数（参照《住院医师规范化培训基地认定标准（试行）》本专业细则要求）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1.2.3轮转时间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在协同亚专业（专科）轮转时间不超过3个月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2.师资条件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（17分）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2.1师资情况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2.1.1带教医师与培训对象比例★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每名带教医师同时带教本专业培训对象不超过3名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查看原始资料，访谈培训对象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2.1.2带教医师条件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医学本科及以上学历,主治医师专业技术职务3年以上，从事胸心外科专业工作5年以上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查看人事部门提供的师资状况统计表，包括姓名、毕业时间、毕业学校、学历学位、专业技术职务、 专业技术职务任职时间、工作时间，需加盖人事部门公章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其中1名带教医师不符合要求，不得分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2.1.3带教医师组成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各亚专业（专科）有主任医师≥1人，副主任医师≥1人，主治医师≥2人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1个亚专业（专科）不达标，不得分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2.1.4专业基地负责人条件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医学本科及以上学历，主任医师专业技术职务，从事胸心外科专业的医疗、科研和教学工作超过15年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1项不符合条件，不得分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2.2师资建设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2.2.1师资培训★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带教医师均参加过院级师资培训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各亚专业（专科）至少1名带教医师参加过省级及以上师资培训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查看培训资料、名单和培训证书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2项培训均满足，得满分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1项满足，得1分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2.2.2师资评价★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每年度至少组织1次对带教医师教学工作进行评价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查看原始资料，访谈带教医师和培训对象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有评价方案，原始记录详实，得满分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有评价记录无方案，得2分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有方案无记录，得1分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2.2.3激励制度★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建立带教医师激励机制，将教学工作与绩效考评、奖金、评优等挂钩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查看相关材料，访谈带教医师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有激励机制，并与奖金、评优挂钩，得满分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有激励机制，未与奖金、评优挂钩，得2分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3.过程管理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（30分）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3.1培训制度与落实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3.1.1主任职责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实行专业基地负责人负责制，并切实落实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查看相关文件，访谈各类人员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职责明确，履职认真，得1分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3.1.2教学主任★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设置专职教学主任岗位，专门负责本专业基地教学工作的组织实施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职责明确，履职认真，得4分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3.1.3教学秘书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设置专职教学秘书岗位，落实本专业基地教学工作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有教学秘书，履职认真，得1分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3.1.4教学小组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成立教学小组，明确小组职责，定期组织研究教学工作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查看教学小组名单、职责和研究教学工作记录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有教学小组，履职认真，得1分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3.1.5轮转计划★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按规定落实轮转计划和要求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查看2～3培训对象轮转手册等原始资料，访谈培训对象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有，且严格落实，得满分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3.1.6考勤制度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有考勤规章制度规定，有专人负责，并严格执行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查看考勤规章制度，并抽查2～3名培训对象考勤记录原始资料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有，且严格落实，得满分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3.2培训活动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3.2.1入科教育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规范实施，包括科室情况、科室纪律、培养计划与要求、医德医风、医患沟通等内容的入科教育， 并有专人组织实施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提供本年度入科教育原始资料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有，且严格落实，得1分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3.2.2教学查房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开展规范的教学查房，至少2周1次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提供本年度原始资料，访谈培训对象，核实落实情况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开展次数达标，且认真规范，得满分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3.2.3小讲课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开展规范的小讲课活动，至少1周1次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开展次数达标，且认真规范，得满分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3.2.4疑难病例讨论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开展规范的疑难病例讨论，至少2周1次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开展次数达标，且认真规范，得满分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3.3过程考核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3.3.1出科考核★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理论考核(如临床病例分析)试题、技能操作考核评分标准、培训对象测评结果、考勤记录等原始资料齐全， 真实规范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随机抽查访谈本院、委培、社会招收培训对象各1～2名，检查近1年原始资料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考核项目全面，且认真规范，得满分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仅有技能操作考核，得2分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仅有理论考试，得2分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仅有测评结果和考勤记录，得1分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3.4培训强度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3.4.1管理病床数★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病房：日管床数≥5张(在带教医师指导下独立于其他培训对象管理床位)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查看轮转手册等相关材料，随机抽查访谈本院、委培、社会招收培训对象各1～2名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管床数达到要求，得满分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管床数≥3张，得2分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管床数≥2，得1分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管床数＜2张，或未安排，不得分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3.4.2门急诊工作量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门诊：日诊治数≥20人次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急诊：日急诊数≥10人次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门急诊工作量达到要求，得满分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门急诊量≥规定数的80%，得2分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门急诊量≥规定数的60%，得1分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门急诊量＜规定数60%，或未安排，不得分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4.质量控制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（35分）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4.1带教医师教学质量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4.1.1查房质量★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主任或带教医师组织规范的教学查房，悉心指导培训对象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随机抽查1～2名带教医师教学查房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教学查房评分表见附表2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≥90分得满分，≥80分得4分，≥70分得2分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4.1.2技能操作和手术安排情况★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每个轮转科室均按照《住院医师规范化培训内容与标准（试行）》本专业培训细则要求执行， 为每名培训对象安排并完成规定的技能操作和手术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随机抽查5～10名培训对象技能操作和手术记录，了解实际情况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满意率≥90%，得满分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满意率≥80%，得2分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满意率＜80%，不得分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4.1.3技能操作和手术带教情况★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带教医师协助并指导培训对象完成技能操作或手术，带教严格规范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随机抽查1～2名带教医师指导培训对象（二年级以上）进行技能操作或手术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1.培训对象操作前是否与患者交流、沟通情况 1分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2.培训对象操作中存在问题及时进行指导 1分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3.培训对象操作结束后是否进行提问 1分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4.对培训对象的操作的总体评价（优、缺点点评） 2分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4.2培训对象学习效果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4.2.1病历书写★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培训对象病历书写规范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随机抽查1～2名培训对象运行病历，结合病历提问题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病历书写评分表见附表3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≥90分得满分，≥80分得3分，≥70分得2分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4.2.2技能操作和手术★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培训对象技能操作或手术情况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随机抽查1～2名二年级以上培训对象进行技能操作或常见手术操作（术者、助手），查看其掌握情况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技能操作评分表见附表4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≥90分得满分，≥80分得5分，≥70分得3分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7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4.2.3完成培训内容与要求★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按照本专业《住院医师规范化培训内容与标准（试行）》细则，核实培训内容的完成情况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随机抽查访谈本院、委培、社会招收培训对象各2～3名，查看轮转登记手册、出科考核等原始资料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完成率≥90%，得满分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完成率≥85%，得5分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完成率≥80%，得3分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完成率＜80%，不得分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716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100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${ownerScoreTotal}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${speScoreTotal}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存在问题请详细填写：</w:t>
            </w:r>
          </w:p>
        </w:tc>
        <w:tc>
          <w:tcPr>
            <w:tcW w:w="6532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instrText xml:space="preserve">INCLUDEPICTURE \d "D:\\Download\\湖北西医\\evaluationInfo_0600.files\\evaluationInfo_06007612.png" \* MERGEFORMATINET </w:instrTex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2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${speContent}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备注：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　　1.一级指标4项，二级指标10项，三级指标37项。三级指标中，核心指标15项、计68分，一般指标22项、计32分，共100分。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　　2.随机抽查对象优先选择委托培训对象和面向社会招收的培训对象，如果没有，可考虑本基地培训对象。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　　3.现场评估时详细填写存在的问题和扣分原因。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  <w:jc w:val="center"/>
        </w:trPr>
        <w:tc>
          <w:tcPr>
            <w:tcW w:w="24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专家签字： </w:t>
            </w:r>
          </w:p>
        </w:tc>
        <w:tc>
          <w:tcPr>
            <w:tcW w:w="4737" w:type="dxa"/>
            <w:gridSpan w:val="4"/>
            <w:shd w:val="clear" w:color="auto" w:fill="auto"/>
            <w:vAlign w:val="center"/>
          </w:tcPr>
          <w:tbl>
            <w:tblPr>
              <w:tblStyle w:val="6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3179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${evaluationDate}</w:t>
            </w:r>
          </w:p>
        </w:tc>
      </w:tr>
    </w:tbl>
    <w:p>
      <w:pPr>
        <w:jc w:val="both"/>
        <w:rPr>
          <w:rFonts w:ascii="宋体" w:hAnsi="宋体"/>
          <w:b/>
          <w:color w:val="000000"/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17"/>
    <w:rsid w:val="001F16DB"/>
    <w:rsid w:val="00275A6A"/>
    <w:rsid w:val="003D17E3"/>
    <w:rsid w:val="009039D6"/>
    <w:rsid w:val="00A04465"/>
    <w:rsid w:val="00A53417"/>
    <w:rsid w:val="00B51488"/>
    <w:rsid w:val="00F00E9E"/>
    <w:rsid w:val="02104701"/>
    <w:rsid w:val="0328539C"/>
    <w:rsid w:val="070103DE"/>
    <w:rsid w:val="07F47514"/>
    <w:rsid w:val="089622E5"/>
    <w:rsid w:val="10D9739F"/>
    <w:rsid w:val="121603A4"/>
    <w:rsid w:val="1325774D"/>
    <w:rsid w:val="1498574A"/>
    <w:rsid w:val="16731849"/>
    <w:rsid w:val="17D20105"/>
    <w:rsid w:val="1E4C3B26"/>
    <w:rsid w:val="1F8B1202"/>
    <w:rsid w:val="1FA45DDE"/>
    <w:rsid w:val="21A35A6C"/>
    <w:rsid w:val="25464493"/>
    <w:rsid w:val="28653761"/>
    <w:rsid w:val="2CEB696E"/>
    <w:rsid w:val="35B16D67"/>
    <w:rsid w:val="35CF1900"/>
    <w:rsid w:val="3A6E1C9D"/>
    <w:rsid w:val="3B6F2C0A"/>
    <w:rsid w:val="3E496AB6"/>
    <w:rsid w:val="408D78C9"/>
    <w:rsid w:val="44A503C0"/>
    <w:rsid w:val="44AA1444"/>
    <w:rsid w:val="4B58121B"/>
    <w:rsid w:val="4CB701C3"/>
    <w:rsid w:val="50CD5B0B"/>
    <w:rsid w:val="52B007F4"/>
    <w:rsid w:val="54E36553"/>
    <w:rsid w:val="55C821A4"/>
    <w:rsid w:val="578735B4"/>
    <w:rsid w:val="57D93395"/>
    <w:rsid w:val="5D4A2017"/>
    <w:rsid w:val="5DDD146F"/>
    <w:rsid w:val="5EC77A58"/>
    <w:rsid w:val="5FFD572B"/>
    <w:rsid w:val="619012B7"/>
    <w:rsid w:val="65E43914"/>
    <w:rsid w:val="66214BD4"/>
    <w:rsid w:val="683708FE"/>
    <w:rsid w:val="69FF389D"/>
    <w:rsid w:val="6B835B6E"/>
    <w:rsid w:val="6DE61922"/>
    <w:rsid w:val="70CC0A9D"/>
    <w:rsid w:val="73A25A50"/>
    <w:rsid w:val="73FE47A6"/>
    <w:rsid w:val="79E41D48"/>
    <w:rsid w:val="7A37456E"/>
    <w:rsid w:val="7FF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TML 预设格式1"/>
    <w:basedOn w:val="1"/>
    <w:qFormat/>
    <w:uiPriority w:val="0"/>
    <w:pPr>
      <w:jc w:val="left"/>
    </w:pPr>
    <w:rPr>
      <w:rFonts w:hint="eastAsia" w:ascii="宋体" w:hAnsi="宋体"/>
      <w:kern w:val="0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3987</Words>
  <Characters>6842</Characters>
  <Lines>1</Lines>
  <Paragraphs>1</Paragraphs>
  <TotalTime>0</TotalTime>
  <ScaleCrop>false</ScaleCrop>
  <LinksUpToDate>false</LinksUpToDate>
  <CharactersWithSpaces>6951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2017-02-24T07:35:00Z</dcterms:created>
  <dc:creator>wgf</dc:creator>
  <cp:lastModifiedBy>pdkj</cp:lastModifiedBy>
  <dcterms:modified xsi:type="dcterms:W3CDTF">2022-04-11T07:44:28Z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6B6FE1C6B9B848A9943E8A5A1FE29931</vt:lpwstr>
  </property>
</Properties>
</file>