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Spec="center" w:tblpY="1023"/>
        <w:tblW w:w="10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216"/>
        <w:gridCol w:w="1384"/>
        <w:gridCol w:w="1305"/>
        <w:gridCol w:w="1218"/>
        <w:gridCol w:w="830"/>
        <w:gridCol w:w="467"/>
        <w:gridCol w:w="874"/>
        <w:gridCol w:w="926"/>
        <w:gridCol w:w="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32"/>
                <w:szCs w:val="32"/>
              </w:rPr>
            </w:pPr>
            <w:r>
              <w:rPr>
                <w:sz w:val="32"/>
                <w:szCs w:val="32"/>
              </w:rPr>
              <w:t>住院医师规范化培训评估指标——外科（泌尿外科）专业基地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  <w:jc w:val="center"/>
        </w:trPr>
        <w:tc>
          <w:tcPr>
            <w:tcW w:w="5121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tabs>
                <w:tab w:val="right" w:pos="1768"/>
              </w:tabs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培训基地（医院）名称：${orgName}</w:t>
            </w:r>
          </w:p>
        </w:tc>
        <w:tc>
          <w:tcPr>
            <w:tcW w:w="5227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所属省（区、市）：${orgCityName}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评估项目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评估内容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现场评估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方式</w:t>
            </w:r>
          </w:p>
        </w:tc>
        <w:tc>
          <w:tcPr>
            <w:tcW w:w="830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评分标准</w:t>
            </w:r>
          </w:p>
        </w:tc>
        <w:tc>
          <w:tcPr>
            <w:tcW w:w="467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分值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自评得分</w:t>
            </w:r>
          </w:p>
        </w:tc>
        <w:tc>
          <w:tcPr>
            <w:tcW w:w="92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专家评分</w:t>
            </w:r>
          </w:p>
        </w:tc>
        <w:tc>
          <w:tcPr>
            <w:tcW w:w="912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扣分原因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一级指标</w:t>
            </w: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二级指标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三级指标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1"/>
                <w:szCs w:val="21"/>
              </w:rPr>
              <w:t>★为核心指标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30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467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874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2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12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1.基本条件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（18分）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1.1专业基地所在医院条件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1.1.1总床位数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三级甲等综合医院外科床位总数≥200张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检查相关文件复印件，需加盖医院公章 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"D:\\Download\\湖北西医\\evaluationInfo_0600.files\\evaluationInfo_0600392.png"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"D:\\Download\\湖北西医\\evaluationInfo_0600.files\\evaluationInfo_0600562.png"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2" descr="IMG_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 descr="IMG_25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begin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instrText xml:space="preserve">INCLUDEPICTURE \d "D:\\Download\\湖北西医\\evaluationInfo_0600.files\\evaluationInfo_0600730.png" \* MERGEFORMATINET </w:instrText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separate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6" descr="IMG_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IMG_25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1.1.2年收治病人数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≥600人次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检查相关统计报表复印件，需加盖医院公章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1.1.3年门诊量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≥10000人次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1.1.4年急诊量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≥9500人次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符合标准，得1分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1.1.5科室和实验室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必备科室:普通外科、骨科、泌尿外科、胸心外科、麻醉科、外科重症监护治疗室(SICU)、神经外科、医院门诊、急诊科、内科、中心手术室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辅助科室：放射科、超声科、核医学科、病理科、检验医学科、输血科，外科实验室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查看相关文件，实地考查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必备科室缺1个科室，不得分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辅助科室缺2个科室，不得分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1.1.6轮转科室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普通外科(包括门、急诊)、骨科(包括门、急诊)、泌尿外科、胸心外科、 神经外科、 麻醉科、外科重症监护室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1.查看亚专业（专科）设置名称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2.查看培训对象轮转计划和轮转登记手册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3.实地考查，访谈培训对象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科室齐全，得满分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缺1个科室，不得分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1.1.7疾病种类及数量</w:t>
            </w:r>
          </w:p>
        </w:tc>
        <w:tc>
          <w:tcPr>
            <w:tcW w:w="1305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符合《住院医师规范化培训基地认定标准（试行）》和《住院医师规范化培训内容与标准（试行）》 外科（泌尿外科方向）专业细则要求，详见附表1-1至1-6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核对上一年度各亚专业（专科）收治疾病种类及数量统计报表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疾病种类及数量≥规定数的90%，得1分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疾病种类及数量≥规定数的85%，得0.5分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疾病种类及数量＜规定数的85%，不得分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${2022-1.1.7speReason}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1.1.8技能操作和手术种类及数量★</w:t>
            </w:r>
          </w:p>
        </w:tc>
        <w:tc>
          <w:tcPr>
            <w:tcW w:w="1305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核对上一年度各亚专业（专科）技能操作、手术种类及数量的统计报表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符合要求（含协同单位），得满分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技能操作和手术种类及数量≥规定数的90%，得2分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技能操作和手术种类及数量≥规定数的85%，得1分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技能操作和手术种类及数量＜规定数的85%，不得分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${2022-1.1.8speReason}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1.1.9医院设备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X射线机、数字减影血管造影机、CT、MRI、放射治疗机、彩色B超(带 Doppler等探头)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${2022-1.1.9speReason}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1.1.10专业基地设备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1.纤维胃镜、结肠镜、肝脏介入治疗设备、腹腔镜、胆道镜等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2.手术显微镜、关节镜、 C形臂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3.支气管镜、胸腔镜、多导监护仪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4.膀胱镜、电切镜、输尿管镜、经皮肾镜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5.脑电图仪、层流手术间、神经外科手术用显微镜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6.血液、生化、免疫、尿液检验设备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7.氧饱和度监测仪、肺功能仪、呼吸机、指测血糖仪、输液泵、微量泵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8.体外循环机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9.麻醉机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检查设备清单复印件，需加盖医院公章，实地考查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缺1项，不得分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${2022-1.1.10speReason}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1.2协同单位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1.2.1协同数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协同数量不应超过3个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查看原始资料，核实相关信息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1.2.2协同床位数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各亚专业（专科）床位数（参照《住院医师规范化培训基地认定标准（试行）》本专业细则要求）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1.2.3轮转时间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在协同亚专业（专科）轮转时间不超过3个月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满足要求，得1分（无协同单位的专业基地，此处不失分）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${2022-1.2.3speReason}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2.师资条件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（17分）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2.1师资情况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2.1.1带教医师与培训对象比例★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每名带教医师同时带教本专业培训对象不超过3名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不达标准，不得分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2.1.2带教医师条件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医学本科及以上学历,主治医师专业技术职务3年以上，从事外科专业工作5年以上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查看人事部门提供的师资状况统计表，包括姓名、毕业时间、毕业学校、学历学位、专业技术职务、 专业技术职务任职时间、工作时间，需加盖人事部门公章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其中1名带教医师不符合要求，不得分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2.1.3带教医师组成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各亚专业（专科）有主任医师≥1人，副主任医师≥1人，主治医师≥2人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1个亚专业（专科）不达标，不得分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2.1.4专业基地负责人条件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医学本科及以上学历，主任医师专业技术职务，从事泌尿外科专业的医疗、科研和教学工作超过15年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1项不符合条件，不得分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2.2师资建设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2.2.1师资培训★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带教医师均参加过院级师资培训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各亚专业（专科）至少1名带教医师参加过省级及以上师资培训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查看培训资料、名单和培训证书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2项培训均满足，得满分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1项满足，得1分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2.2.2师资评价★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每年度至少组织1次对带教医师教学工作进行评价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查看原始资料，访谈带教医师和培训对象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有评价方案，原始记录详实，得满分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有评价记录无方案，得2分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有方案无记录，得1分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2.2.3激励制度★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建立带教医师激励机制，将教学工作与绩效考评、奖金、评优等挂钩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查看相关材料，访谈带教医师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有激励机制，并与奖金、评优挂钩，得满分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有激励机制，未与奖金、评优挂钩，得1分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${2022-2.2.3speReason}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3.过程管理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（30分）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3.1培训制度与落实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3.1.1主任职责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实行专业基地负责人负责制，并切实落实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查看相关文件，访谈各类人员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3.1.2教学主任★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设置专职教学主任岗位，专门负责本专业基地教学工作的组织实施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职责明确，履职认真，得4分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无岗位职责，或履职不认真，不得分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3.1.3教学秘书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设置专职教学秘书岗位，落实本专业基地教学工作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有教学秘书，履职认真，得1分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3.1.4教学小组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成立教学小组，明确小组职责，定期组织研究教学工作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查看教学小组名单、职责和研究教学工作记录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有教学小组，履职认真，得1分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无，或履职不认真，不得分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3.1.5轮转计划★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按规定落实轮转计划和要求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查看2～3培训对象轮转手册等原始资料，访谈培训对象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${2022-3.1.5speReason}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3.1.6考勤制度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有考勤规章制度规定，有专人负责，并严格执行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查看考勤规章制度，并抽查2～3名培训对象考勤记录原始资料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${2022-3.1.6speReason}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3.2培训活动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3.2.1入科教育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规范实施，包括科室情况、科室纪律、培养计划与要求、医德医风、医患沟通等内容的入科教育，并有专人组织实施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提供本年度入科教育原始资料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有，且严格落实，得1分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未严格落实，不得分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3.2.2教学查房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开展规范的教学查房，至少2周1次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提供本年度原始资料，访谈培训对象，核实落实情况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3.2.3小讲课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开展规范的小讲课活动，至少1周1次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3.2.4疑难病例讨论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开展规范的疑难病例讨论，至少每月1次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开展次数达标，且认真规范，得满分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未开展或不达标，不得分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2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${2022-3.2.4speReason}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3.3过程考核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3.3.1出科考核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理论考核(如临床病例分析)试题、技能操作考核评分标准、培训对象测评结果、考勤记录等原始资料齐全，真实规范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随机抽查访谈本院、委培、社会招收培训对象各1～2名，检查近1年原始资料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考核项目全面，且认真规范，得满分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仅有技能操作考核，得2分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仅有理论考试，得1分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仅有测评结果和考勤记录，得1分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${2022-3.3.1speReason}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3.4培训强度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3.4.1管理病床数★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病房：日管床数≥5张(在带教医师指导下独立于其他培训对象管理床位) 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查看轮转手册等相关材料，随机抽查访谈本院、委培、社会招收培训对象各1～2名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管床数≥3张，得2分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管床数≥2，得1分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管床数＜2张，或未安排，不得分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3.4.2门急诊工作量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门诊：日诊治数≥20人次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急诊：日急诊数≥10人次 </w:t>
            </w:r>
          </w:p>
        </w:tc>
        <w:tc>
          <w:tcPr>
            <w:tcW w:w="1218" w:type="dxa"/>
            <w:vMerge w:val="continue"/>
            <w:shd w:val="clear" w:color="auto" w:fill="auto"/>
            <w:vAlign w:val="center"/>
          </w:tcPr>
          <w:p>
            <w:pPr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门急诊工作量达到要求，得满分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门急诊量≥规定数的60%，得1分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门急诊量＜规定数60%，或未安排，不得分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3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kern w:val="2"/>
                <w:sz w:val="13"/>
                <w:szCs w:val="13"/>
                <w:lang w:val="en-US" w:eastAsia="zh-CN" w:bidi="ar-SA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${2022-3.4.2speReason}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4.质量控制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（35分）</w:t>
            </w: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4.1带教医师教学质量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4.1.1查房质量★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主任或带教医师组织规范的教学查房，悉心指导培训对象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随机抽查1～2名带教医师教学查房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教学查房评分表见附表2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≥90分得满分，≥80分得3分，≥70分得2分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4.1.2技能操作和手术完成情况★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每个轮转科室均按照《住院医师规范化培训内容与标准》本专业培训细则要求执行， 为每名培训对象安排并完成规定的技能操作和手术（见附件4）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随机抽查5～10名培训对象，由评估专家根据本专业实际需求确定手术或技能操作项目， 查看技能操作或手术记录，掌握实际情况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5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4.1.3技能操作和手术带教情况★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带教医师协助并指导培训对象完成技能操作或手术，带教严格规范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随机抽查1～2名带教医师指导培训对象（二年级以上）进行技能操作或手术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1.培训对象操作前是否与患者交流、沟通情况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2.培训对象操作中存在问题及时进行指导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3.培训对象操作结束后是否进行提问 1分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4.对培训对象的操作的总体评价（优、缺点点评） 2分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5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${2022-4.1.3speReason}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restart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4.2培训对象学习效果</w:t>
            </w: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4.2.1病历书写★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培训对象病历书写规范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随机抽查1～2名培训对象运行病历，结合病历提问题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病历书写评分表见附表3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≥90分得满分，≥80分得3分，≥70分得2分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${2022-4.2.1speReason}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4.2.2技能操作和手术★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培训对象技能操作或手术情况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随机抽查1～2名二年级以上培训对象进行技能操作或常见手术操作（术者、助手），查看其掌握情况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技能操作评分表见附表4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≥90分得满分，≥80分得5分，≥70分得3分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≥60分得1分，＜60分不得分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8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${2022-4.2.2speReason}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6" w:hRule="atLeast"/>
          <w:jc w:val="center"/>
        </w:trPr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216" w:type="dxa"/>
            <w:vMerge w:val="continue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</w:p>
        </w:tc>
        <w:tc>
          <w:tcPr>
            <w:tcW w:w="13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4.2.3完成培训内容与要求★</w:t>
            </w:r>
          </w:p>
        </w:tc>
        <w:tc>
          <w:tcPr>
            <w:tcW w:w="130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按照本专业《住院医师规范化培训内容与标准（试行）》细则，核实培训内容的完成情况 </w:t>
            </w: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随机抽查访谈本院、委培、社会招收培训对象各2～3名，查看轮转登记手册、出科考核等原始资料 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完成率≥90%，得满分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完成率≥85%，得4分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>完成率≥80%，得2分</w:t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br w:type="textWrapping"/>
            </w:r>
            <w:r>
              <w:rPr>
                <w:rFonts w:hint="eastAsia" w:ascii="仿宋" w:hAnsi="仿宋" w:eastAsia="仿宋" w:cs="仿宋"/>
                <w:sz w:val="13"/>
                <w:szCs w:val="13"/>
              </w:rPr>
              <w:t xml:space="preserve">完成率＜80%，不得分 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sz w:val="13"/>
                <w:szCs w:val="13"/>
              </w:rPr>
              <w:t>6</w:t>
            </w:r>
            <w:bookmarkStart w:id="0" w:name="_GoBack"/>
            <w:bookmarkEnd w:id="0"/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${2022-4.2.3ownerScore}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${2022-4.2.3speScore}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仿宋" w:hAnsi="仿宋" w:eastAsia="仿宋" w:cs="仿宋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${2022-4.2.3speReason}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7169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仿宋" w:hAnsi="仿宋" w:eastAsia="仿宋" w:cs="仿宋"/>
                <w:b/>
                <w:bCs/>
                <w:kern w:val="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合计</w:t>
            </w:r>
          </w:p>
        </w:tc>
        <w:tc>
          <w:tcPr>
            <w:tcW w:w="46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100</w:t>
            </w:r>
          </w:p>
        </w:tc>
        <w:tc>
          <w:tcPr>
            <w:tcW w:w="87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${ownerScoreTotal}</w:t>
            </w:r>
          </w:p>
        </w:tc>
        <w:tc>
          <w:tcPr>
            <w:tcW w:w="9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  <w:r>
              <w:rPr>
                <w:rFonts w:hint="eastAsia" w:ascii="仿宋" w:hAnsi="仿宋" w:eastAsia="仿宋" w:cs="仿宋"/>
                <w:kern w:val="0"/>
                <w:sz w:val="15"/>
                <w:szCs w:val="15"/>
              </w:rPr>
              <w:t>${speScoreTotal}</w:t>
            </w:r>
          </w:p>
        </w:tc>
        <w:tc>
          <w:tcPr>
            <w:tcW w:w="91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仿宋" w:hAnsi="仿宋" w:eastAsia="仿宋" w:cs="仿宋"/>
                <w:b/>
                <w:bCs/>
                <w:kern w:val="0"/>
                <w:sz w:val="15"/>
                <w:szCs w:val="15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3816" w:type="dxa"/>
            <w:gridSpan w:val="3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存在问题请详细填写：</w:t>
            </w:r>
          </w:p>
        </w:tc>
        <w:tc>
          <w:tcPr>
            <w:tcW w:w="6532" w:type="dxa"/>
            <w:gridSpan w:val="7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begin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instrText xml:space="preserve">INCLUDEPICTURE \d "D:\\Download\\湖北西医\\evaluationInfo_0600.files\\evaluationInfo_06007612.png" \* MERGEFORMATINET </w:instrTex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separate"/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2" descr="IMG_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IMG_259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fldChar w:fldCharType="end"/>
            </w:r>
            <w:r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  <w:t>${speContent}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  <w:jc w:val="center"/>
        </w:trPr>
        <w:tc>
          <w:tcPr>
            <w:tcW w:w="10348" w:type="dxa"/>
            <w:gridSpan w:val="10"/>
            <w:shd w:val="clear" w:color="auto" w:fill="auto"/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备注：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1.一级指标4项，二级指标10项，三级指标37项。三级指标中，核心指标15项、计68分，一般指标22项、计32分，共100分。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2.指标中所有规章制度，专指住院医师规范化培训相关制度。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>　　3.随机抽查对象优先选择委托培训对象和面向社会招收的培训对象，如果没有，可考虑本基地培训对象。</w:t>
            </w:r>
            <w:r>
              <w:rPr>
                <w:rFonts w:ascii="宋体" w:hAnsi="宋体" w:eastAsia="宋体" w:cs="宋体"/>
                <w:sz w:val="24"/>
                <w:szCs w:val="24"/>
              </w:rPr>
              <w:br w:type="textWrapping"/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　　4.现场评估时详细填写存在的问题和扣分原因。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" w:hRule="atLeast"/>
          <w:jc w:val="center"/>
        </w:trPr>
        <w:tc>
          <w:tcPr>
            <w:tcW w:w="2432" w:type="dxa"/>
            <w:gridSpan w:val="2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 xml:space="preserve">专家签字： </w:t>
            </w:r>
          </w:p>
        </w:tc>
        <w:tc>
          <w:tcPr>
            <w:tcW w:w="4737" w:type="dxa"/>
            <w:gridSpan w:val="4"/>
            <w:shd w:val="clear" w:color="auto" w:fill="auto"/>
            <w:vAlign w:val="center"/>
          </w:tcPr>
          <w:tbl>
            <w:tblPr>
              <w:tblStyle w:val="6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default"/>
                    </w:rPr>
                  </w:pPr>
                  <w:r>
                    <w:rPr>
                      <w:rFonts w:hint="default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/>
              </w:rPr>
            </w:pPr>
          </w:p>
        </w:tc>
        <w:tc>
          <w:tcPr>
            <w:tcW w:w="3179" w:type="dxa"/>
            <w:gridSpan w:val="4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jc w:val="right"/>
              <w:rPr>
                <w:rFonts w:hint="eastAsia" w:ascii="仿宋" w:hAnsi="仿宋" w:eastAsia="仿宋" w:cs="仿宋"/>
                <w:kern w:val="0"/>
                <w:sz w:val="13"/>
                <w:szCs w:val="13"/>
              </w:rPr>
            </w:pPr>
            <w:r>
              <w:rPr>
                <w:rFonts w:hint="eastAsia" w:ascii="仿宋" w:hAnsi="仿宋" w:eastAsia="仿宋" w:cs="仿宋"/>
                <w:kern w:val="0"/>
                <w:sz w:val="24"/>
                <w:szCs w:val="24"/>
              </w:rPr>
              <w:t>${evaluationDate}</w:t>
            </w:r>
          </w:p>
        </w:tc>
      </w:tr>
    </w:tbl>
    <w:p>
      <w:pPr>
        <w:jc w:val="both"/>
        <w:rPr>
          <w:rFonts w:ascii="宋体" w:hAnsi="宋体"/>
          <w:b/>
          <w:color w:val="000000"/>
          <w:sz w:val="32"/>
          <w:szCs w:val="32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417"/>
    <w:rsid w:val="001F16DB"/>
    <w:rsid w:val="00275A6A"/>
    <w:rsid w:val="003D17E3"/>
    <w:rsid w:val="009039D6"/>
    <w:rsid w:val="00A04465"/>
    <w:rsid w:val="00A53417"/>
    <w:rsid w:val="00B51488"/>
    <w:rsid w:val="00F00E9E"/>
    <w:rsid w:val="02104701"/>
    <w:rsid w:val="0328539C"/>
    <w:rsid w:val="070103DE"/>
    <w:rsid w:val="07F47514"/>
    <w:rsid w:val="089622E5"/>
    <w:rsid w:val="10D9739F"/>
    <w:rsid w:val="121603A4"/>
    <w:rsid w:val="1325774D"/>
    <w:rsid w:val="1498574A"/>
    <w:rsid w:val="16731849"/>
    <w:rsid w:val="17D20105"/>
    <w:rsid w:val="1E4C3B26"/>
    <w:rsid w:val="1F8B1202"/>
    <w:rsid w:val="1FA45DDE"/>
    <w:rsid w:val="1FEB76BE"/>
    <w:rsid w:val="21A35A6C"/>
    <w:rsid w:val="25464493"/>
    <w:rsid w:val="28653761"/>
    <w:rsid w:val="2CEB696E"/>
    <w:rsid w:val="35B16D67"/>
    <w:rsid w:val="35CF1900"/>
    <w:rsid w:val="3B6F2C0A"/>
    <w:rsid w:val="3E496AB6"/>
    <w:rsid w:val="408D78C9"/>
    <w:rsid w:val="44A503C0"/>
    <w:rsid w:val="44AA1444"/>
    <w:rsid w:val="4B58121B"/>
    <w:rsid w:val="4CB701C3"/>
    <w:rsid w:val="50CD5B0B"/>
    <w:rsid w:val="52B007F4"/>
    <w:rsid w:val="54E36553"/>
    <w:rsid w:val="55C821A4"/>
    <w:rsid w:val="578735B4"/>
    <w:rsid w:val="57D93395"/>
    <w:rsid w:val="5D4A2017"/>
    <w:rsid w:val="5DDD146F"/>
    <w:rsid w:val="5EC77A58"/>
    <w:rsid w:val="5FFD572B"/>
    <w:rsid w:val="619012B7"/>
    <w:rsid w:val="65E43914"/>
    <w:rsid w:val="66214BD4"/>
    <w:rsid w:val="683708FE"/>
    <w:rsid w:val="69FF389D"/>
    <w:rsid w:val="6B835B6E"/>
    <w:rsid w:val="6DE61922"/>
    <w:rsid w:val="70CC0A9D"/>
    <w:rsid w:val="73A25A50"/>
    <w:rsid w:val="73FE47A6"/>
    <w:rsid w:val="79E41D48"/>
    <w:rsid w:val="7A37456E"/>
    <w:rsid w:val="7FFE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TML 预设格式1"/>
    <w:basedOn w:val="1"/>
    <w:qFormat/>
    <w:uiPriority w:val="0"/>
    <w:pPr>
      <w:jc w:val="left"/>
    </w:pPr>
    <w:rPr>
      <w:rFonts w:hint="eastAsia" w:ascii="宋体" w:hAnsi="宋体"/>
      <w:kern w:val="0"/>
      <w:sz w:val="24"/>
      <w:szCs w:val="24"/>
    </w:rPr>
  </w:style>
  <w:style w:type="character" w:customStyle="1" w:styleId="9">
    <w:name w:val="页眉 字符"/>
    <w:basedOn w:val="7"/>
    <w:link w:val="3"/>
    <w:qFormat/>
    <w:uiPriority w:val="0"/>
    <w:rPr>
      <w:rFonts w:ascii="Calibri" w:hAnsi="Calibri"/>
      <w:kern w:val="2"/>
      <w:sz w:val="18"/>
      <w:szCs w:val="18"/>
    </w:rPr>
  </w:style>
  <w:style w:type="character" w:customStyle="1" w:styleId="10">
    <w:name w:val="页脚 字符"/>
    <w:basedOn w:val="7"/>
    <w:link w:val="2"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3987</Words>
  <Characters>6842</Characters>
  <Lines>1</Lines>
  <Paragraphs>1</Paragraphs>
  <TotalTime>1</TotalTime>
  <ScaleCrop>false</ScaleCrop>
  <LinksUpToDate>false</LinksUpToDate>
  <CharactersWithSpaces>6951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2017-02-24T07:35:00Z</dcterms:created>
  <dc:creator>wgf</dc:creator>
  <cp:lastModifiedBy>pdkj</cp:lastModifiedBy>
  <dcterms:modified xsi:type="dcterms:W3CDTF">2022-04-11T07:51:35Z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F509CA4F95A04B6D8F28C4F7FB3A4F59</vt:lpwstr>
  </property>
</Properties>
</file>