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Spec="center" w:tblpY="1023"/>
        <w:tblW w:w="103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16"/>
        <w:gridCol w:w="1384"/>
        <w:gridCol w:w="1305"/>
        <w:gridCol w:w="1218"/>
        <w:gridCol w:w="830"/>
        <w:gridCol w:w="467"/>
        <w:gridCol w:w="874"/>
        <w:gridCol w:w="926"/>
        <w:gridCol w:w="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32"/>
                <w:szCs w:val="32"/>
              </w:rPr>
            </w:pPr>
            <w:r>
              <w:rPr>
                <w:sz w:val="36"/>
                <w:szCs w:val="36"/>
              </w:rPr>
              <w:t>住院医师规范化培训评估指标——儿外科专业基地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12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tabs>
                <w:tab w:val="right" w:pos="1768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培训基地（医院）名称：${orgName}</w:t>
            </w:r>
          </w:p>
        </w:tc>
        <w:tc>
          <w:tcPr>
            <w:tcW w:w="5227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所属省（区、市）：${orgCityName}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评估项目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评估内容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现场评估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方式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评分标准</w:t>
            </w:r>
          </w:p>
        </w:tc>
        <w:tc>
          <w:tcPr>
            <w:tcW w:w="46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分值</w:t>
            </w:r>
          </w:p>
        </w:tc>
        <w:tc>
          <w:tcPr>
            <w:tcW w:w="874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自评得分</w:t>
            </w:r>
          </w:p>
        </w:tc>
        <w:tc>
          <w:tcPr>
            <w:tcW w:w="9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专家评分</w:t>
            </w:r>
          </w:p>
        </w:tc>
        <w:tc>
          <w:tcPr>
            <w:tcW w:w="912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扣分原因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一级指标</w:t>
            </w: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二级指标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三级指标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★为核心指标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6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12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1.基本条件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（18分）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1.1专业基地所在医院条件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1.1.1总床位数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三级甲等综合医院儿外科床位总数≥50张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专科儿童医院儿外科≥100张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检查相关文件复印件，需加盖医院公章 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"D:\\Download\\湖北西医\\evaluationInfo_0600.files\\evaluationInfo_0600392.png"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"D:\\Download\\湖北西医\\evaluationInfo_0600.files\\evaluationInfo_0600562.png"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"D:\\Download\\湖北西医\\evaluationInfo_0600.files\\evaluationInfo_0600730.png"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6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1.1.2年收治病人数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儿童医院≥3000人次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综合医院≥1500人次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检查相关统</w:t>
            </w:r>
            <w:bookmarkStart w:id="0" w:name="_GoBack"/>
            <w:bookmarkEnd w:id="0"/>
            <w:r>
              <w:rPr>
                <w:rFonts w:hint="eastAsia" w:ascii="仿宋" w:hAnsi="仿宋" w:eastAsia="仿宋" w:cs="仿宋"/>
                <w:sz w:val="13"/>
                <w:szCs w:val="13"/>
              </w:rPr>
              <w:t>计报表复印件，需加盖医院公章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1.1.3年门诊量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儿童医院≥50000人次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综合医院≥25000人次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1.1.4年急诊量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儿童医院≥15000人次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综合医院≥7500人次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1.1.5科室和实验室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门诊部、急诊科、影像科、病理科、检验科、重症监护室、儿内科、手术室、麻醉科、中心实验室、输血科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查看相关文件，实地考查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1.1.6轮转科室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综合医院：成人普通外科、成人胸心外科、成人泌尿外科、成人骨科，小儿普通外科、小儿骨科、 小儿泌尿外科、小儿心胸外科、小儿神经外科、新生儿外科、小儿肿瘤外科、小儿麻醉科或儿科重症监护（PICU）、 小儿烧伤整形科、小儿医学影像科或病理科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儿童医院：除成人外科部分之外的其他小儿外科部分的相应专业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1.查看各亚专业（专科）设置名称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2.查看培训对象轮转计划和轮转登记手册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3.实地考查，访谈培训对象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科室齐全，得满分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1.1.7疾病种类及数量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符合《住院医师规范化培训基地认定标准（试行）》和《住院医师规范化培训内容与标准（试行）》儿外科专业细则要求，详见附表1-1至1-6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核对上一年度各亚专业（专科）收治疾病种类及数量统计报表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符合要求（含协同单位），得满分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疾病种类及数量≥规定数的90%，得1分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疾病种类及数量≥规定数的85%，得0.5分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疾病种类及数量＜规定数的85%，不得分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1.1.8技能操作和手术种类及数量★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符合《住院医师规范化培训基地认定标准（试行）》和《住院医师规范化培训内容与标准（试行）》儿外科专业细则要求，详见附表1-1至1-6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核对上一年度各亚专业（专科）技能操作、手术种类及数量的统计报表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符合要求（含协同单位），得满分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技能操作和手术种类及数量≥规定数的90%，得2分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技能操作和手术种类及数量≥规定数的85%，得1分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技能操作和手术种类及数量＜规定数的85%，不得分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1.1.9医院设备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X射线机、C形臂X线机、空气灌肠机、B超机、CT、MRI、心脏彩色超声、脑电图机、纤维胃镜、纤维肠镜、纤维支气管镜、 腹腔镜、胸腔镜、膀胱镜、尿道镜、尿动力学检查设备、24小时pH监测、胃肠动力检查设备、手术显微镜、体外循环机、 自体血液回收机、麻醉机、呼吸机、监护仪、心肺脑复苏急救设备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检查设备清单复印件，需加盖医院公章，实地考查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缺1项，不得分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${2022-1.1.9ownerScore}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${2022-1.1.9speScore}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${2022-1.1.9speReason}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1.1.10专业基地设备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心电图、暖箱、新生儿辐射式抢救台、蓝光箱、雾化吸入装置、血气分析仪、输液泵、监护仪、中心供氧接口或氧气筒、常用急救设备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检查设备清单复印件，需加盖医院公章，实地考查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缺1项，不得分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${2022-1.1.10ownerScore}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${2022-1.1.10speScore}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${2022-1.1.10speReason}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1.2协同单位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1.2.1协同数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协同数量不应超过3个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查看原始资料，核实相关信息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1.2.2协同床位数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各亚专业（专科）床位数（参照《住院医师规范化培训基地认定标准（试行）》本专业细则要求）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1.2.3轮转时间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在协同亚专业（专科）轮转时间不超过3个月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2.师资条件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（17分）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2.1师资情况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2.1.1带教医师与培训对象比例★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每2名带教医师同时带教本专业培训对象不超过1名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查看原始资料，访谈培训对象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2.1.2带教医师条件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医学本科及以上学历,主治医师专业技术职务3年以上，从事本专业工作≥5年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查看人事部门提供的师资状况统计表，包括姓名、毕业时间、毕业学校、学历学位、专业技术职务、 专业技术职务任职时间、工作时间，需加盖人事部门公章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其中1名带教医师不符合要求，不得分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2.1.3带教医师组成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各亚专业（专科）主任医师≥1人，副主任医师≥1人，主治医师≥2人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1个亚专业（专科）不达标，不得分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2.1.4专业基地负责人条件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医学本科及以上学历，主任医师专业技术职务，从事儿外科专业的医疗、科研和教学工作≥15年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1项不符合条件，不得分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2.2师资建设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2.2.1师资培训★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带教医师均参加过院级师资培训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各亚专业（专科）至少1名带教医师参加过省级及以上师资培训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查看培训资料、名单和培训证书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2项培训均满足，得满分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1项满足，得1分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2.2.2师资评价★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每年度至少组织1次对带教医师教学工作进行评价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查看原始资料，访谈带教医师和培训对象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有评价方案，原始记录详实，得满分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有评价记录无方案，得2分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有方案无记录，得1分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2.2.3激励制度★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建立带教医师激励机制，将教学工作与绩效考评、奖金、评优等挂钩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查看相关材料，访谈带教医师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有激励机制，并与奖金、评优挂钩，得满分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有激励机制，未与奖金、评优挂钩，得2分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3.过程管理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（30分）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3.1培训制度与落实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3.1.1主任职责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实行专业基地负责人负责制，并切实落实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查看相关文件，访谈各类人员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职责明确，履职认真，得1分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3.1.2教学主任★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设置专职教学主任岗位，专门负责本专业基地教学工作的组织实施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职责明确，履职认真，得4分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3.1.3教学秘书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设置专职教学秘书岗位，落实本专业基地教学工作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有教学秘书，履职认真，得1分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3.1.4教学小组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成立教学小组，明确小组职责，定期组织研究教学工作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查看教学小组名单、职责和研究教学工作记录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有教学小组，履职认真，得1分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3.1.5轮转计划★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按规定落实轮转计划和要求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查看2～3培训对象轮转手册等原始资料，访谈培训对象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有，且严格落实，得满分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3.1.6考勤制度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有考勤规章制度规定，有专人负责，并严格执行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查看考勤规章制度，并抽查2～3名培训对象考勤记录原始资料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有，且严格落实，得满分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3.2培训活动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3.2.1入科教育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规范实施，包括科室情况、科室纪律、培养计划与要求、医德医风、医患沟通等内容的入科教育， 并有专人组织实施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提供本年度入科教育原始资料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有，且严格落实，得1分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3.2.2教学查房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开展规范的教学查房，至少2周1次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提供本年度原始资料，访谈培训对象，核实落实情况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开展次数达标，且认真规范，得满分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未开展或不达标，不得分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3.2.3小讲课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开展规范的小讲课活动，至少1周1次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开展次数达标，且认真规范，得满分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未开展或不达标，不得分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3.2.4疑难病例讨论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开展规范的疑难病例讨论，至少2周1次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开展次数达标，且认真规范，得满分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未开展或不达标，不得分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3.3过程考核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3.3.1出科考核★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理论考核(如临床病例分析)试题、技能操作考核评分标准、培训对象测评结果、考勤记录等原始资料齐全，真实规范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随机抽查访谈本院、委培、社会招收培训对象各1～2名，检查近1年原始资料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考核项目全面，且认真规范，得满分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仅有技能操作考核，得2分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仅有理论考试，得1分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仅有测评结果和考勤记录，得1分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3.4培训强度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3.4.1管理病床数★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病房：日管床数≥8张(在带教医师指导下独立于其他培训对象管理床位)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查看轮转手册等相关材料，随机抽查访谈本院、委培、社会招收培训对象各1～2名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管床数达到要求，得满分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管床数≥6张，得2分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管床数≥5，得1分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管床数＜5张，或未安排，不得分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3.4.2门急诊工作量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门诊：日诊治数≥40人次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急诊：日急诊数≥20人次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门急诊工作量达到要求，得满分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门急诊量≥规定数的80%，得2分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门急诊量≥规定数的60%，得1分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门急诊量＜规定数60%，或未安排，不得分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4.质量控制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（35分）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4.1带教医师教学质量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4.1.1查房质量★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主任或带教医师组织规范的教学查房，悉心指导培训对象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随机抽查1～2名带教医师教学查房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教学查房评分表见附表2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≥90分得满分，≥80分得3分，≥70分得2分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4.1.2技能操作和手术安排情况★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每个轮转科室均按照《住院医师规范化培训内容与标准（试行）》本专业培训细则要求执行， 为每名培训对象安排并完成规定的技能操作和手术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随机抽查5～10名培训对象技能操作和手术记录，了解实际情况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完成率≥90%，得满分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完成率≥80%，得4分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4.1.3技能操作和手术带教情况★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带教医师协助并指导培训对象完成技能操作或手术，带教严格规范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随机抽查1～2名带教医师指导培训对象（二年级以上）进行技能操作或手术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1.培训对象操作前是否与患者交流、沟通情况 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2.培训对象操作中存在问题及时进行指导 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3.培训对象操作结束后是否进行提问 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4.对培训对象的操作的总体评价（优、缺点点评） 2分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5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4.2培训对象学习效果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4.2.1病历书写★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培训对象病历书写规范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随机抽查1～2名培训对象运行病历，结合病历提问题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病历书写评分表见附表3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≥90分得满分，≥80分得3分，≥70分得2分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4.2.2技能操作和手术★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培训对象技能操作或手术情况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随机抽查1～2名二年级以上培训对象进行技能操作或常见手术操作（术者、助手），查看其掌握情况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技能操作评分表见附表4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≥90分得满分，≥80分得5分，≥70分得3分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4.2.3完成培训内容与要求★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按照本专业《住院医师规范化培训内容与标准（试行）》细则，核实培训内容的完成情况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随机抽查访谈本院、委培、社会招收培训对象各2～3名，查看轮转登记手册、出科考核等原始资料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完成率≥90%，得满分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完成率≥85%，得5分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完成率≥80%，得3分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6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  <w:jc w:val="center"/>
        </w:trPr>
        <w:tc>
          <w:tcPr>
            <w:tcW w:w="7169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合计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100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${ownerScoreTotal}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${speScoreTotal}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存在问题请详细填写：</w:t>
            </w:r>
          </w:p>
        </w:tc>
        <w:tc>
          <w:tcPr>
            <w:tcW w:w="6532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instrText xml:space="preserve">INCLUDEPICTURE \d "D:\\Download\\湖北西医\\evaluationInfo_0600.files\\evaluationInfo_06007612.png" \* MERGEFORMATINET </w:instrTex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2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${speContent}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备注：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　　1.一级指标4项，二级指标10项，三级指标37项。三级指标中，核心指标15项、计68分，一般指标24项、计32分，共100分。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　　2.随机抽查对象优先选择委托培训对象和面向社会招收的培训对象，如果没有，可考虑本基地培训对象。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　　3.现场评估时详细填写存在的问题和扣分原因。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  <w:jc w:val="center"/>
        </w:trPr>
        <w:tc>
          <w:tcPr>
            <w:tcW w:w="243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专家签字： </w:t>
            </w:r>
          </w:p>
        </w:tc>
        <w:tc>
          <w:tcPr>
            <w:tcW w:w="4737" w:type="dxa"/>
            <w:gridSpan w:val="4"/>
            <w:shd w:val="clear" w:color="auto" w:fill="auto"/>
            <w:vAlign w:val="center"/>
          </w:tcPr>
          <w:tbl>
            <w:tblPr>
              <w:tblStyle w:val="6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3179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${evaluationDate}</w:t>
            </w:r>
          </w:p>
        </w:tc>
      </w:tr>
    </w:tbl>
    <w:p>
      <w:pPr>
        <w:jc w:val="both"/>
        <w:rPr>
          <w:rFonts w:ascii="宋体" w:hAnsi="宋体"/>
          <w:b/>
          <w:color w:val="000000"/>
          <w:sz w:val="32"/>
          <w:szCs w:val="3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17"/>
    <w:rsid w:val="001F16DB"/>
    <w:rsid w:val="00275A6A"/>
    <w:rsid w:val="003D17E3"/>
    <w:rsid w:val="009039D6"/>
    <w:rsid w:val="00A04465"/>
    <w:rsid w:val="00A53417"/>
    <w:rsid w:val="00B51488"/>
    <w:rsid w:val="00F00E9E"/>
    <w:rsid w:val="02104701"/>
    <w:rsid w:val="0328539C"/>
    <w:rsid w:val="070103DE"/>
    <w:rsid w:val="07F47514"/>
    <w:rsid w:val="089622E5"/>
    <w:rsid w:val="10D9739F"/>
    <w:rsid w:val="121603A4"/>
    <w:rsid w:val="1325774D"/>
    <w:rsid w:val="1498574A"/>
    <w:rsid w:val="16731849"/>
    <w:rsid w:val="17D20105"/>
    <w:rsid w:val="1E4C3B26"/>
    <w:rsid w:val="1F8B1202"/>
    <w:rsid w:val="1FA45DDE"/>
    <w:rsid w:val="1FEB76BE"/>
    <w:rsid w:val="21A35A6C"/>
    <w:rsid w:val="248F216B"/>
    <w:rsid w:val="25464493"/>
    <w:rsid w:val="28653761"/>
    <w:rsid w:val="2CEB696E"/>
    <w:rsid w:val="35B16D67"/>
    <w:rsid w:val="35CF1900"/>
    <w:rsid w:val="3B6F2C0A"/>
    <w:rsid w:val="3E496AB6"/>
    <w:rsid w:val="408D78C9"/>
    <w:rsid w:val="44A503C0"/>
    <w:rsid w:val="44AA1444"/>
    <w:rsid w:val="4B58121B"/>
    <w:rsid w:val="4CB701C3"/>
    <w:rsid w:val="50CD5B0B"/>
    <w:rsid w:val="52B007F4"/>
    <w:rsid w:val="54E36553"/>
    <w:rsid w:val="55C821A4"/>
    <w:rsid w:val="578735B4"/>
    <w:rsid w:val="57D93395"/>
    <w:rsid w:val="5D4A2017"/>
    <w:rsid w:val="5DDD146F"/>
    <w:rsid w:val="5EC77A58"/>
    <w:rsid w:val="5FFD572B"/>
    <w:rsid w:val="619012B7"/>
    <w:rsid w:val="65E43914"/>
    <w:rsid w:val="66214BD4"/>
    <w:rsid w:val="683708FE"/>
    <w:rsid w:val="69FF389D"/>
    <w:rsid w:val="6B835B6E"/>
    <w:rsid w:val="6DE61922"/>
    <w:rsid w:val="6F920057"/>
    <w:rsid w:val="70CC0A9D"/>
    <w:rsid w:val="73A25A50"/>
    <w:rsid w:val="73FE47A6"/>
    <w:rsid w:val="79E41D48"/>
    <w:rsid w:val="7A37456E"/>
    <w:rsid w:val="7FFE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TML 预设格式1"/>
    <w:basedOn w:val="1"/>
    <w:qFormat/>
    <w:uiPriority w:val="0"/>
    <w:pPr>
      <w:jc w:val="left"/>
    </w:pPr>
    <w:rPr>
      <w:rFonts w:hint="eastAsia" w:ascii="宋体" w:hAnsi="宋体"/>
      <w:kern w:val="0"/>
      <w:sz w:val="24"/>
      <w:szCs w:val="24"/>
    </w:rPr>
  </w:style>
  <w:style w:type="character" w:customStyle="1" w:styleId="9">
    <w:name w:val="页眉 字符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3939</Words>
  <Characters>6790</Characters>
  <Lines>1</Lines>
  <Paragraphs>1</Paragraphs>
  <TotalTime>0</TotalTime>
  <ScaleCrop>false</ScaleCrop>
  <LinksUpToDate>false</LinksUpToDate>
  <CharactersWithSpaces>6900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2017-02-24T07:35:00Z</dcterms:created>
  <dc:creator>wgf</dc:creator>
  <cp:lastModifiedBy>pdkj</cp:lastModifiedBy>
  <dcterms:modified xsi:type="dcterms:W3CDTF">2022-04-11T08:55:02Z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0AA1A46C4F4A4E02B6E5C2405651698D</vt:lpwstr>
  </property>
</Properties>
</file>