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住院医师规范化培训评估指标——眼科专业基地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三级甲等综合医院眼科床位总数≥40张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≥1500人次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3"/>
                <w:szCs w:val="13"/>
              </w:rPr>
              <w:t>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≥40000人次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必备科室：眼科显微手术训练室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相关科室：内科、外科、耳鼻喉科、口腔科、放射科、麻醉科、病理科、检验科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眼科门诊及病房（含白内障、青光眼、玻璃体视网膜、视光和屈光手术、斜视、角膜和眼表、眼整形、眼眶病和眼外伤等）神经内科、内分泌科、急诊科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1.查看各亚专业（专科）设置名称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2.查看培训对象轮转计划和轮转登记手册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符合《住院医师规范化培训基地认定标准（试行）》和《住院医师规范化培训内容与标准（试行）》眼科专业细则要求，详见附表1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核对上一年度各亚专业（专科）收治疾病种类统计报表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核对上一年度各亚专业（专科）技能操作、手术种类及数量的统计报表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X射线机、数字减影血管造影机、CT、MRI、放射治疗机、彩色B超(带 Doppler等探头)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依据《住院医师规范化培训基地认定标准（试行）》眼科专业基地细则的要求，见附表2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每名带教医师同时带教本专业培训对象不超过1名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各亚专业（专科）应有主任医师≥1人，副主任医师≥2人，主治医师≥4人 </w:t>
            </w:r>
          </w:p>
        </w:tc>
        <w:tc>
          <w:tcPr>
            <w:tcW w:w="1218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医学本科及以上学历,主任医师专业技术职务,从事眼科的医疗、科研和教学工作超过15年 </w:t>
            </w:r>
          </w:p>
        </w:tc>
        <w:tc>
          <w:tcPr>
            <w:tcW w:w="1218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带教医师均参加过院级师资培训，亚专业（专科）至少1名带教医师参加过省级及以上师资培训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有激励机制，并与奖金、评优挂钩，得满分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查看教学小组名单、职责和研究教学工作记录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查看考勤规章制度，并抽查2～3名培训对象考勤记录原始资料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规范实施，包括科室情况、科室纪律、培养计划与要求、医德医风、医患沟通等内容的入科教育，并有专人组织实施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开展规范的教学查房，至少2周1次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随机抽查访谈本院、委培、社会招收培训对象各1～2名，检查本年度原始资料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3.4.1管理床位数★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病房：日管床数≥5张(在带教医师指导下独立于其他培训对象管理床位)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管床数达到要求，得满分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管床数≥3张，得2分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管床数≥2，得1分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管床数＜2张，或未安排，不得分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门诊：日诊治数≥30人次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急诊：日急诊数≥10人次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门急诊工作量达到要求，得满分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教学查房评分表见附表2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 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每个轮转科室均能按照《住院医师规范化培训内容与标准（试行）》本专业培训细则要求执行，为每名培训对象安排并完成规定的技能操作和手术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随机抽查5～10名培训对象技能操作和手术记录，了解实际情况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随机抽查1～2名带教医师指导培训对象（二年级以上）进行技能操作或手术情况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 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随机抽查1～2名二年级以上培训对象进行技能操作或常见手术操作（术者、助手），查看其掌握情况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技能操作评分表见附表4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4.2.3现场理论考核★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完成率≥85%，得5分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完成率≥80%，得3分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4BA654A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4101</Words>
  <Characters>6941</Characters>
  <Lines>1</Lines>
  <Paragraphs>1</Paragraphs>
  <TotalTime>1</TotalTime>
  <ScaleCrop>false</ScaleCrop>
  <LinksUpToDate>false</LinksUpToDate>
  <CharactersWithSpaces>7037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2022-04-12T01:48:01Z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D1DCE0AFA3554982AD322C35B8997E4B</vt:lpwstr>
  </property>
</Properties>
</file>