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住院医师规范化培训评估指标——口腔外科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</w:rPr>
              <w:t>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1.1.1牙科综合治疗台数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牙科综合治疗台数≥20台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急诊科、心电监护室或配备心电监护设备的急诊科、放射（影像）科[综合性医院的放射科内有从事口腔放射（影像）工作的专业人员]、病理科（综合性医院的病理科内有侧重口腔病理诊断工作的专业人员）、检验科、药剂科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牙体牙髓科、儿童口腔科、口腔颌面外科、口腔正畸科、口腔预防科、牙周科、口腔黏膜科、口腔修复科、口腔颌面影像科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1.查看各亚专业(专科)设置名称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符合《住院医师规范化培训基地认定标准（试行）》和《住院医师规范化培训内容与标准（试行）》口腔全科专业细则要求，详见附表1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核对上一年度各亚专业(专科)技能操作和手术种类及数量的统计报表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、牙髓活力测定所需设备、根管治疗所需器械、银汞调合机、光敏树脂充填照射灯、牙周探针、超声洁牙机、龈上和龈下深刮器、牙科印模制取托盘、牙科模型制作设备及技工设备、常用牙科器械、材料、药品以及口腔诊室应必备的器械和材料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各亚专业(专科)床位数(参照《住院医师规范化培训基地认证标准》口腔全科细则要求)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口腔医学本科及以上学历,主治医师专业技术职务3年以上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具有中、高级专业技术职务人员数应大于基地总医师数的50%，高级专业技术职务人员≥3名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提供本年度原始资料、访谈培训对象，核实落实情况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按照专业基地培训对象临床操作能够达到《住院医师规范化培训内容与标准（试行）》口腔全科培训细则的要求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技能操作达要求，得满分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技能操作≥规定数的70%，得1分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＜70%，或未安排独立操作，不得分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4.1.1临床教学质量★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针对培训对象开展规范的临床教学，悉心指导培训对象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随机抽查1～2名带教医师临床教学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教学技能评分表见附表2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4.1.2技能操作或手术安排情况★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4.2.2技能操作或手术★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技能操作评分表见附件附表4-1、附表4-2、附表4-3、附表4-4、附表4-5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2C92AA0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2A87C62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56C7CAF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3655</Words>
  <Characters>6218</Characters>
  <Lines>1</Lines>
  <Paragraphs>1</Paragraphs>
  <TotalTime>1</TotalTime>
  <ScaleCrop>false</ScaleCrop>
  <LinksUpToDate>false</LinksUpToDate>
  <CharactersWithSpaces>6307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2022-04-12T06:47:45Z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A9AF1853D82247DE80FEF0D5259D672A</vt:lpwstr>
  </property>
</Properties>
</file>