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rFonts w:hint="default"/>
                <w:sz w:val="36"/>
                <w:szCs w:val="36"/>
              </w:rPr>
              <w:t>住院医师规范化培训评估指标——口腔修复科</w:t>
            </w:r>
            <w:bookmarkStart w:id="0" w:name="_GoBack"/>
            <w:bookmarkEnd w:id="0"/>
            <w:r>
              <w:rPr>
                <w:rFonts w:hint="default"/>
                <w:sz w:val="36"/>
                <w:szCs w:val="36"/>
              </w:rPr>
              <w:t>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1.1.1牙科综合治疗台数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牙科综合治疗台数≥20台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≥30000人次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:急诊科、心电监护室或配备心电监护设备的急诊科、放射（影像）科[综合性医院的放射科内有从事口腔放射（影像）工作的专业人员]、病理科（综合性医院的病理科内有侧重口腔病理诊断工作的专业人员）、检验科、药剂科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查看相关文件，实地考查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牙体牙髓科、儿童口腔科、口腔颌面外科、口腔正畸科、口腔预防科、牙周科、口腔黏膜科、口腔修复科、口腔颌面影像科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1.查看各亚专业(专科)设置名称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2.查看培训对象轮转计划和登记手册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符合《住院医师规范化培训基地认定标准（试行）》和《住院医师规范化培训内容与标准（试行）》口腔全科专业细则要求，详见附表1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核对上一年度各亚专业(专科)收治疾病种类及数量统计报表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核对上一年度各亚专业(专科)技能操作和手术种类及数量的统计报表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、牙髓活力测定所需设备、根管治疗所需器械、银汞调合机、光敏树脂充填照射灯、牙周探针、超声洁牙机、龈上和龈下深刮器、牙科印模制取托盘、牙科模型制作设备及技工设备、常用牙科器械、材料、药品以及口腔诊室应必备的器械和材料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各亚专业(专科)床位数(参照《住院医师规范化培训基地认证标准》口腔全科细则要求)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达到标准，得满分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口腔医学本科及以上学历,主治医师专业技术职务3年以上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具有中、高级专业技术职务人员数应大于基地总医师数的50%，高级专业技术职务人员≥3名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1个亚专业(专科)不达标，不得分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医学本科及以上学历，主任医师专业技术职务，从事本专业的医疗、科研和教学工作超过15年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有评价记录，无方案，得2分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有方案，无评价记录，得1分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有机制，并与奖金、评优等挂钩，得满分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查看2～3名培训对象轮转手册等原始资料，访谈培训对象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提供本年度原始资料、访谈培训对象，核实落实情况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3.4.1培训强度★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按照专业基地培训对象临床操作能够达到《住院医师规范化培训内容与标准（试行）》口腔全科培训细则的要求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技能操作达要求，得满分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技能操作≥规定数的70%，得1分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＜70%，或未安排独立操作，不得分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4.1.1临床教学质量★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针对培训对象开展规范的临床教学，悉心指导培训对象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随机抽查1～2名带教医师临床教学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教学技能评分表见附表2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4.1.2技能操作或手术安排情况★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每个轮转科室均能按照《住院医师规范化培训内容与标准》本专业细则要求执行，为每名培训对象安排并完成规定的技能操作种类和数量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随机抽查5～10名培训对象技能操作记录，了解实际情况况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满意率≥80%，得4分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随机抽查1～2名带教医师指导培训对象(二年级以上)进行技能操作情况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3.培训对象操作结束后提问1分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4.2.2技能操作或手术★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技能操作评分表见附件附表4-1、附表4-2、附表4-3、附表4-4、附表4-5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3.随机抽查对象优先选择委托培训对象和面向社会招收的培训对象，如果没有，可考虑本基地培训对象。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2C92AA0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2A87C62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6FDB795C"/>
    <w:rsid w:val="70CC0A9D"/>
    <w:rsid w:val="73A25A50"/>
    <w:rsid w:val="73FE156B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3655</Words>
  <Characters>6218</Characters>
  <Lines>1</Lines>
  <Paragraphs>1</Paragraphs>
  <TotalTime>1</TotalTime>
  <ScaleCrop>false</ScaleCrop>
  <LinksUpToDate>false</LinksUpToDate>
  <CharactersWithSpaces>6307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2022-04-12T06:48:24Z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A9AF1853D82247DE80FEF0D5259D672A</vt:lpwstr>
  </property>
</Properties>
</file>