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eastAsia="黑体" w:cs="Times New Roman"/>
          <w:b/>
          <w:bCs/>
          <w:sz w:val="32"/>
          <w:szCs w:val="32"/>
        </w:rPr>
      </w:pPr>
      <w:r>
        <w:rPr>
          <w:rFonts w:hint="eastAsia" w:ascii="黑体" w:eastAsia="黑体" w:cs="黑体"/>
          <w:b/>
          <w:bCs/>
          <w:sz w:val="32"/>
          <w:szCs w:val="32"/>
        </w:rPr>
        <w:t>七、单位和政府提供的支撑条件及保障措施</w:t>
      </w:r>
    </w:p>
    <w:tbl>
      <w:tblPr>
        <w:tblStyle w:val="5"/>
        <w:tblW w:w="8946" w:type="dxa"/>
        <w:tblInd w:w="-106" w:type="dxa"/>
        <w:tblBorders>
          <w:top w:val="single" w:color="auto" w:sz="6" w:space="0"/>
          <w:left w:val="none" w:color="auto" w:sz="0" w:space="0"/>
          <w:bottom w:val="single" w:color="auto" w:sz="6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6"/>
      </w:tblGrid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66" w:hRule="atLeast"/>
        </w:trPr>
        <w:tc>
          <w:tcPr>
            <w:tcW w:w="894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${supportCondition^p}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${supportCondition}</w:t>
            </w:r>
          </w:p>
        </w:tc>
      </w:tr>
    </w:tbl>
    <w:p>
      <w:pPr>
        <w:spacing w:line="360" w:lineRule="auto"/>
        <w:ind w:right="567"/>
        <w:outlineLvl w:val="0"/>
        <w:rPr>
          <w:rFonts w:ascii="黑体" w:eastAsia="黑体" w:cs="Times New Roman"/>
          <w:b/>
          <w:bCs/>
          <w:sz w:val="32"/>
          <w:szCs w:val="32"/>
        </w:rPr>
      </w:pPr>
    </w:p>
    <w:p>
      <w:pPr>
        <w:spacing w:line="360" w:lineRule="auto"/>
        <w:ind w:right="567"/>
        <w:outlineLvl w:val="0"/>
        <w:rPr>
          <w:rFonts w:ascii="黑体" w:eastAsia="黑体" w:cs="Times New Roman"/>
          <w:b/>
          <w:bCs/>
          <w:sz w:val="32"/>
          <w:szCs w:val="32"/>
        </w:rPr>
      </w:pPr>
      <w:r>
        <w:rPr>
          <w:rFonts w:hint="eastAsia" w:ascii="黑体" w:eastAsia="黑体" w:cs="黑体"/>
          <w:b/>
          <w:bCs/>
          <w:sz w:val="32"/>
          <w:szCs w:val="32"/>
        </w:rPr>
        <w:t>八、学科建设经费来源与支出预算</w:t>
      </w:r>
    </w:p>
    <w:tbl>
      <w:tblPr>
        <w:tblStyle w:val="5"/>
        <w:tblW w:w="9073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2976"/>
        <w:gridCol w:w="226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9073" w:type="dxa"/>
            <w:gridSpan w:val="4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经费支出预算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828" w:type="dxa"/>
            <w:gridSpan w:val="2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支出科目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金额（万元）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宋体"/>
              </w:rPr>
              <w:t>计算根据及简要理由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852" w:type="dxa"/>
            <w:vMerge w:val="restart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设备材料费用</w:t>
            </w:r>
          </w:p>
        </w:tc>
        <w:tc>
          <w:tcPr>
            <w:tcW w:w="2976" w:type="dxa"/>
            <w:vAlign w:val="center"/>
          </w:tcPr>
          <w:p>
            <w:pPr>
              <w:rPr>
                <w:rFonts w:cs="Times New Roman"/>
              </w:rPr>
            </w:pPr>
            <w:r>
              <w:t>1</w:t>
            </w:r>
            <w:r>
              <w:rPr>
                <w:rFonts w:hint="eastAsia" w:cs="宋体"/>
              </w:rPr>
              <w:t>、设备费</w:t>
            </w:r>
          </w:p>
        </w:tc>
        <w:tc>
          <w:tcPr>
            <w:tcW w:w="2268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${expenseBudget1}</w:t>
            </w:r>
          </w:p>
        </w:tc>
        <w:tc>
          <w:tcPr>
            <w:tcW w:w="2977" w:type="dxa"/>
          </w:tcPr>
          <w:p>
            <w:pPr>
              <w:tabs>
                <w:tab w:val="left" w:pos="735"/>
              </w:tabs>
              <w:rPr>
                <w:rFonts w:cs="Times New Roman"/>
              </w:rPr>
            </w:pPr>
            <w:r>
              <w:rPr>
                <w:rFonts w:cs="Times New Roman"/>
              </w:rPr>
              <w:t>${expenseBudgetReason1}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852" w:type="dxa"/>
            <w:vMerge w:val="continue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cs="Times New Roman"/>
              </w:rPr>
            </w:pPr>
            <w:r>
              <w:t>2</w:t>
            </w:r>
            <w:r>
              <w:rPr>
                <w:rFonts w:hint="eastAsia" w:cs="宋体"/>
              </w:rPr>
              <w:t>、材料费</w:t>
            </w:r>
          </w:p>
        </w:tc>
        <w:tc>
          <w:tcPr>
            <w:tcW w:w="2268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${expenseBudget2}</w:t>
            </w:r>
          </w:p>
        </w:tc>
        <w:tc>
          <w:tcPr>
            <w:tcW w:w="2977" w:type="dxa"/>
          </w:tcPr>
          <w:p>
            <w:pPr>
              <w:tabs>
                <w:tab w:val="left" w:pos="1050"/>
              </w:tabs>
              <w:rPr>
                <w:rFonts w:cs="Times New Roman"/>
              </w:rPr>
            </w:pPr>
            <w:r>
              <w:rPr>
                <w:rFonts w:cs="Times New Roman"/>
              </w:rPr>
              <w:t>${expenseBudgetReason2}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52" w:type="dxa"/>
            <w:vMerge w:val="continue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cs="Times New Roman"/>
              </w:rPr>
            </w:pPr>
            <w:r>
              <w:t>3</w:t>
            </w:r>
            <w:r>
              <w:rPr>
                <w:rFonts w:hint="eastAsia" w:cs="宋体"/>
              </w:rPr>
              <w:t>、测试化验加工费</w:t>
            </w:r>
          </w:p>
        </w:tc>
        <w:tc>
          <w:tcPr>
            <w:tcW w:w="2268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${expenseBudget3}</w:t>
            </w:r>
          </w:p>
        </w:tc>
        <w:tc>
          <w:tcPr>
            <w:tcW w:w="2977" w:type="dxa"/>
          </w:tcPr>
          <w:p>
            <w:pPr>
              <w:tabs>
                <w:tab w:val="left" w:pos="1185"/>
              </w:tabs>
              <w:rPr>
                <w:rFonts w:cs="Times New Roman"/>
              </w:rPr>
            </w:pPr>
            <w:r>
              <w:rPr>
                <w:rFonts w:cs="Times New Roman"/>
              </w:rPr>
              <w:t>${expenseBudgetReason3}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852" w:type="dxa"/>
            <w:vMerge w:val="restart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人才培养与交流费用</w:t>
            </w:r>
          </w:p>
        </w:tc>
        <w:tc>
          <w:tcPr>
            <w:tcW w:w="2976" w:type="dxa"/>
            <w:vAlign w:val="center"/>
          </w:tcPr>
          <w:p>
            <w:pPr>
              <w:rPr>
                <w:rFonts w:cs="Times New Roman"/>
              </w:rPr>
            </w:pPr>
            <w:r>
              <w:t>4</w:t>
            </w:r>
            <w:r>
              <w:rPr>
                <w:rFonts w:hint="eastAsia" w:cs="宋体"/>
              </w:rPr>
              <w:t>、差旅费</w:t>
            </w:r>
          </w:p>
        </w:tc>
        <w:tc>
          <w:tcPr>
            <w:tcW w:w="2268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${expenseBudget4}</w:t>
            </w:r>
          </w:p>
        </w:tc>
        <w:tc>
          <w:tcPr>
            <w:tcW w:w="2977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${expenseBudgetReason4}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52" w:type="dxa"/>
            <w:vMerge w:val="continue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cs="Times New Roman"/>
              </w:rPr>
            </w:pPr>
            <w:r>
              <w:t>5</w:t>
            </w:r>
            <w:r>
              <w:rPr>
                <w:rFonts w:hint="eastAsia" w:cs="宋体"/>
              </w:rPr>
              <w:t>、会议费</w:t>
            </w:r>
          </w:p>
        </w:tc>
        <w:tc>
          <w:tcPr>
            <w:tcW w:w="2268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${expenseBudget5}</w:t>
            </w:r>
          </w:p>
        </w:tc>
        <w:tc>
          <w:tcPr>
            <w:tcW w:w="2977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${expenseBudgetReason5}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852" w:type="dxa"/>
            <w:vMerge w:val="continue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cs="Times New Roman"/>
              </w:rPr>
            </w:pPr>
            <w:r>
              <w:t>6</w:t>
            </w:r>
            <w:r>
              <w:rPr>
                <w:rFonts w:hint="eastAsia" w:cs="宋体"/>
              </w:rPr>
              <w:t>、合作、协作研究与交流费</w:t>
            </w:r>
          </w:p>
        </w:tc>
        <w:tc>
          <w:tcPr>
            <w:tcW w:w="2268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${expenseBudget6}</w:t>
            </w:r>
          </w:p>
        </w:tc>
        <w:tc>
          <w:tcPr>
            <w:tcW w:w="2977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${expenseBudgetReason6}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852" w:type="dxa"/>
            <w:vMerge w:val="continue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cs="Times New Roman"/>
              </w:rPr>
            </w:pPr>
            <w:r>
              <w:t>7</w:t>
            </w:r>
            <w:r>
              <w:rPr>
                <w:rFonts w:hint="eastAsia" w:cs="宋体"/>
              </w:rPr>
              <w:t>、出版</w:t>
            </w:r>
            <w:r>
              <w:t>/</w:t>
            </w:r>
            <w:r>
              <w:rPr>
                <w:rFonts w:hint="eastAsia" w:cs="宋体"/>
              </w:rPr>
              <w:t>文献</w:t>
            </w:r>
            <w:r>
              <w:t>/</w:t>
            </w:r>
            <w:r>
              <w:rPr>
                <w:rFonts w:hint="eastAsia" w:cs="宋体"/>
              </w:rPr>
              <w:t>信息传播</w:t>
            </w:r>
            <w:r>
              <w:t>/</w:t>
            </w:r>
            <w:r>
              <w:rPr>
                <w:rFonts w:hint="eastAsia" w:cs="宋体"/>
              </w:rPr>
              <w:t>知识产权事务费</w:t>
            </w:r>
          </w:p>
        </w:tc>
        <w:tc>
          <w:tcPr>
            <w:tcW w:w="2268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${expenseBudget7}</w:t>
            </w:r>
          </w:p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2977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${expenseBudgetReason7}</w:t>
            </w:r>
          </w:p>
          <w:p>
            <w:pPr>
              <w:tabs>
                <w:tab w:val="left" w:pos="660"/>
              </w:tabs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852" w:type="dxa"/>
            <w:vMerge w:val="continue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cs="Times New Roman"/>
              </w:rPr>
            </w:pPr>
            <w:r>
              <w:t>8</w:t>
            </w:r>
            <w:r>
              <w:rPr>
                <w:rFonts w:hint="eastAsia" w:cs="宋体"/>
              </w:rPr>
              <w:t>、人员劳务费</w:t>
            </w:r>
          </w:p>
        </w:tc>
        <w:tc>
          <w:tcPr>
            <w:tcW w:w="2268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${expenseBudget8}</w:t>
            </w:r>
          </w:p>
        </w:tc>
        <w:tc>
          <w:tcPr>
            <w:tcW w:w="2977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${expenseBudgetReason8}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852" w:type="dxa"/>
            <w:vMerge w:val="continue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cs="Times New Roman"/>
              </w:rPr>
            </w:pPr>
            <w:r>
              <w:t>9</w:t>
            </w:r>
            <w:r>
              <w:rPr>
                <w:rFonts w:hint="eastAsia" w:cs="宋体"/>
              </w:rPr>
              <w:t>、专家咨询费</w:t>
            </w:r>
          </w:p>
        </w:tc>
        <w:tc>
          <w:tcPr>
            <w:tcW w:w="2268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${expenseBudget9}</w:t>
            </w:r>
          </w:p>
        </w:tc>
        <w:tc>
          <w:tcPr>
            <w:tcW w:w="2977" w:type="dxa"/>
          </w:tcPr>
          <w:p>
            <w:pPr>
              <w:tabs>
                <w:tab w:val="left" w:pos="1020"/>
              </w:tabs>
              <w:rPr>
                <w:rFonts w:cs="Times New Roman"/>
              </w:rPr>
            </w:pPr>
            <w:r>
              <w:rPr>
                <w:rFonts w:cs="Times New Roman"/>
              </w:rPr>
              <w:t>${expenseBudgetReason9}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852" w:type="dxa"/>
            <w:vMerge w:val="restart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建设支撑费</w:t>
            </w:r>
          </w:p>
        </w:tc>
        <w:tc>
          <w:tcPr>
            <w:tcW w:w="2976" w:type="dxa"/>
            <w:vAlign w:val="center"/>
          </w:tcPr>
          <w:p>
            <w:pPr>
              <w:rPr>
                <w:rFonts w:cs="Times New Roman"/>
              </w:rPr>
            </w:pPr>
            <w:r>
              <w:t>10</w:t>
            </w:r>
            <w:r>
              <w:rPr>
                <w:rFonts w:hint="eastAsia" w:cs="宋体"/>
              </w:rPr>
              <w:t>、燃料动力费</w:t>
            </w:r>
          </w:p>
        </w:tc>
        <w:tc>
          <w:tcPr>
            <w:tcW w:w="2268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${expenseBudget10}</w:t>
            </w:r>
          </w:p>
        </w:tc>
        <w:tc>
          <w:tcPr>
            <w:tcW w:w="2977" w:type="dxa"/>
          </w:tcPr>
          <w:p>
            <w:pPr>
              <w:tabs>
                <w:tab w:val="left" w:pos="735"/>
              </w:tabs>
              <w:rPr>
                <w:rFonts w:cs="Times New Roman"/>
              </w:rPr>
            </w:pPr>
            <w:r>
              <w:rPr>
                <w:rFonts w:cs="Times New Roman"/>
              </w:rPr>
              <w:t>${expenseBudgetReason10}</w:t>
            </w:r>
            <w:r>
              <w:rPr>
                <w:rFonts w:cs="Times New Roma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852" w:type="dxa"/>
            <w:vMerge w:val="continue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cs="Times New Roman"/>
              </w:rPr>
            </w:pPr>
            <w:r>
              <w:t>11</w:t>
            </w:r>
            <w:r>
              <w:rPr>
                <w:rFonts w:hint="eastAsia" w:cs="宋体"/>
              </w:rPr>
              <w:t>、维修费</w:t>
            </w:r>
          </w:p>
        </w:tc>
        <w:tc>
          <w:tcPr>
            <w:tcW w:w="2268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${expenseBudget11}</w:t>
            </w:r>
          </w:p>
        </w:tc>
        <w:tc>
          <w:tcPr>
            <w:tcW w:w="2977" w:type="dxa"/>
          </w:tcPr>
          <w:p>
            <w:pPr>
              <w:tabs>
                <w:tab w:val="left" w:pos="600"/>
              </w:tabs>
              <w:rPr>
                <w:rFonts w:cs="Times New Roman"/>
              </w:rPr>
            </w:pPr>
            <w:r>
              <w:rPr>
                <w:rFonts w:cs="Times New Roman"/>
              </w:rPr>
              <w:t>${expenseBudgetReason11}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852" w:type="dxa"/>
            <w:vMerge w:val="continue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cs="Times New Roman"/>
              </w:rPr>
            </w:pPr>
            <w:r>
              <w:t xml:space="preserve">12 </w:t>
            </w:r>
            <w:r>
              <w:rPr>
                <w:rFonts w:hint="eastAsia" w:cs="宋体"/>
              </w:rPr>
              <w:t>、办公及印刷费</w:t>
            </w:r>
          </w:p>
        </w:tc>
        <w:tc>
          <w:tcPr>
            <w:tcW w:w="2268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${expenseBudget12}</w:t>
            </w:r>
          </w:p>
        </w:tc>
        <w:tc>
          <w:tcPr>
            <w:tcW w:w="2977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${expenseBudgetReason12}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852" w:type="dxa"/>
            <w:vMerge w:val="continue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cs="Times New Roman"/>
              </w:rPr>
            </w:pPr>
            <w:r>
              <w:t>13</w:t>
            </w:r>
            <w:r>
              <w:rPr>
                <w:rFonts w:hint="eastAsia" w:cs="宋体"/>
              </w:rPr>
              <w:t>、水电气燃料费</w:t>
            </w:r>
          </w:p>
        </w:tc>
        <w:tc>
          <w:tcPr>
            <w:tcW w:w="2268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${expenseBudget13}</w:t>
            </w:r>
          </w:p>
        </w:tc>
        <w:tc>
          <w:tcPr>
            <w:tcW w:w="2977" w:type="dxa"/>
          </w:tcPr>
          <w:p>
            <w:pPr>
              <w:tabs>
                <w:tab w:val="left" w:pos="705"/>
              </w:tabs>
              <w:rPr>
                <w:rFonts w:cs="Times New Roman"/>
              </w:rPr>
            </w:pPr>
            <w:r>
              <w:rPr>
                <w:rFonts w:cs="Times New Roman"/>
              </w:rPr>
              <w:t>${expenseBudgetReason13}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852" w:type="dxa"/>
            <w:vMerge w:val="continue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cs="Times New Roman"/>
              </w:rPr>
            </w:pPr>
            <w:r>
              <w:t>14</w:t>
            </w:r>
            <w:r>
              <w:rPr>
                <w:rFonts w:hint="eastAsia" w:cs="宋体"/>
              </w:rPr>
              <w:t>、物业管理费</w:t>
            </w:r>
          </w:p>
        </w:tc>
        <w:tc>
          <w:tcPr>
            <w:tcW w:w="2268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${expenseBudget14}</w:t>
            </w:r>
          </w:p>
        </w:tc>
        <w:tc>
          <w:tcPr>
            <w:tcW w:w="2977" w:type="dxa"/>
          </w:tcPr>
          <w:p>
            <w:pPr>
              <w:tabs>
                <w:tab w:val="left" w:pos="735"/>
              </w:tabs>
              <w:rPr>
                <w:rFonts w:cs="Times New Roman"/>
              </w:rPr>
            </w:pPr>
            <w:r>
              <w:rPr>
                <w:rFonts w:cs="Times New Roman"/>
              </w:rPr>
              <w:t>${expenseBudgetReason14}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852" w:type="dxa"/>
            <w:vMerge w:val="continue"/>
            <w:vAlign w:val="center"/>
          </w:tcPr>
          <w:p>
            <w:pPr>
              <w:rPr>
                <w:rFonts w:cs="Times New Roman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cs="Times New Roman"/>
              </w:rPr>
            </w:pPr>
            <w:r>
              <w:t>15</w:t>
            </w:r>
            <w:r>
              <w:rPr>
                <w:rFonts w:hint="eastAsia" w:cs="宋体"/>
              </w:rPr>
              <w:t>、图书资料费</w:t>
            </w:r>
          </w:p>
        </w:tc>
        <w:tc>
          <w:tcPr>
            <w:tcW w:w="2268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${expenseBudget15}</w:t>
            </w:r>
          </w:p>
        </w:tc>
        <w:tc>
          <w:tcPr>
            <w:tcW w:w="2977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${expenseBudgetReason15}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828" w:type="dxa"/>
            <w:gridSpan w:val="2"/>
            <w:vAlign w:val="center"/>
          </w:tcPr>
          <w:p>
            <w:pPr>
              <w:rPr>
                <w:rFonts w:cs="Times New Roman"/>
              </w:rPr>
            </w:pPr>
            <w:r>
              <w:t>16</w:t>
            </w:r>
            <w:r>
              <w:rPr>
                <w:rFonts w:hint="eastAsia" w:cs="宋体"/>
              </w:rPr>
              <w:t>、其他</w:t>
            </w:r>
          </w:p>
        </w:tc>
        <w:tc>
          <w:tcPr>
            <w:tcW w:w="2268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${expenseBudget16}</w:t>
            </w:r>
          </w:p>
        </w:tc>
        <w:tc>
          <w:tcPr>
            <w:tcW w:w="2977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${expenseBudgetReason16}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828" w:type="dxa"/>
            <w:gridSpan w:val="2"/>
            <w:vAlign w:val="center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合计</w:t>
            </w:r>
          </w:p>
        </w:tc>
        <w:tc>
          <w:tcPr>
            <w:tcW w:w="2268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${expenseBudgetTotal}</w:t>
            </w:r>
          </w:p>
        </w:tc>
        <w:tc>
          <w:tcPr>
            <w:tcW w:w="2977" w:type="dxa"/>
          </w:tcPr>
          <w:p>
            <w:pPr>
              <w:rPr>
                <w:rFonts w:cs="Times New Roman"/>
              </w:rPr>
            </w:pPr>
            <w:r>
              <w:rPr>
                <w:rFonts w:cs="Times New Roman"/>
              </w:rPr>
              <w:t>${expenseBudgetReasonTotal}</w:t>
            </w:r>
          </w:p>
        </w:tc>
      </w:tr>
    </w:tbl>
    <w:p>
      <w:pPr>
        <w:rPr>
          <w:rFonts w:ascii="黑体" w:eastAsia="黑体" w:cs="Times New Roman"/>
          <w:b/>
          <w:bCs/>
          <w:sz w:val="32"/>
          <w:szCs w:val="32"/>
        </w:rPr>
      </w:pPr>
    </w:p>
    <w:tbl>
      <w:tblPr>
        <w:tblStyle w:val="5"/>
        <w:tblW w:w="9076" w:type="dxa"/>
        <w:tblInd w:w="-318" w:type="dxa"/>
        <w:tblBorders>
          <w:top w:val="single" w:color="auto" w:sz="6" w:space="0"/>
          <w:left w:val="none" w:color="auto" w:sz="0" w:space="0"/>
          <w:bottom w:val="single" w:color="auto" w:sz="6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1092"/>
        <w:gridCol w:w="1675"/>
        <w:gridCol w:w="2126"/>
        <w:gridCol w:w="1984"/>
        <w:gridCol w:w="1512"/>
      </w:tblGrid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0" w:hRule="atLeast"/>
        </w:trPr>
        <w:tc>
          <w:tcPr>
            <w:tcW w:w="68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</w:p>
          <w:p>
            <w:pPr>
              <w:rPr>
                <w:rFonts w:ascii="宋体" w:cs="Times New Roman"/>
              </w:rPr>
            </w:pPr>
          </w:p>
          <w:p>
            <w:pPr>
              <w:rPr>
                <w:rFonts w:ascii="宋体" w:cs="Times New Roman"/>
              </w:rPr>
            </w:pPr>
          </w:p>
          <w:p>
            <w:pPr>
              <w:rPr>
                <w:rFonts w:ascii="宋体" w:cs="Times New Roman"/>
              </w:rPr>
            </w:pPr>
          </w:p>
          <w:p>
            <w:pPr>
              <w:rPr>
                <w:rFonts w:ascii="宋体" w:cs="Times New Roman"/>
              </w:rPr>
            </w:pPr>
            <w:r>
              <w:rPr>
                <w:rFonts w:ascii="宋体" w:cs="宋体"/>
              </w:rPr>
              <w:t>2</w:t>
            </w:r>
            <w:r>
              <w:rPr>
                <w:rFonts w:hint="eastAsia" w:ascii="宋体" w:cs="宋体"/>
              </w:rPr>
              <w:t>、配套经费</w:t>
            </w:r>
          </w:p>
          <w:p>
            <w:pPr>
              <w:rPr>
                <w:rFonts w:ascii="宋体" w:cs="Times New Roman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05" w:firstLineChars="50"/>
              <w:jc w:val="center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年度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所在单位</w:t>
            </w:r>
          </w:p>
          <w:p>
            <w:pPr>
              <w:jc w:val="center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（万元）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区县配套</w:t>
            </w:r>
          </w:p>
          <w:p>
            <w:pPr>
              <w:jc w:val="center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（万元）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其他渠道来源</w:t>
            </w:r>
          </w:p>
          <w:p>
            <w:pPr>
              <w:jc w:val="center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（万元）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合计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687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</w:p>
          <w:p>
            <w:pPr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第一年</w:t>
            </w:r>
          </w:p>
          <w:p>
            <w:pPr>
              <w:rPr>
                <w:rFonts w:ascii="宋体" w:cs="Times New Roman"/>
              </w:rPr>
            </w:pP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${expenditureOrg1}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${expenditureCounty1}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${expenditureOtherSource1}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${expenditureTotal1}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687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</w:p>
          <w:p>
            <w:pPr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第二年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${expenditureOrg2}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${expenditureCounty2}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${expenditureOtherSource2}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${expenditureTotal2}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2" w:hRule="atLeast"/>
        </w:trPr>
        <w:tc>
          <w:tcPr>
            <w:tcW w:w="687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</w:p>
          <w:p>
            <w:pPr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第三年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${expenditureOrg3}</w:t>
            </w:r>
          </w:p>
          <w:p>
            <w:pPr>
              <w:rPr>
                <w:rFonts w:ascii="宋体" w:cs="Times New Roman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${expenditureCounty3}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${expenditureOtherSource3}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${expenditureTotal3}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4" w:hRule="atLeast"/>
        </w:trPr>
        <w:tc>
          <w:tcPr>
            <w:tcW w:w="687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三年合计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${expenditureOrg4}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${expenditureCounty4}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${expenditureOtherSource4}</w:t>
            </w:r>
          </w:p>
        </w:tc>
        <w:tc>
          <w:tcPr>
            <w:tcW w:w="1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  <w:r>
              <w:rPr>
                <w:rFonts w:ascii="宋体" w:cs="Times New Roman"/>
              </w:rPr>
              <w:t>${expenditureTotal4}</w:t>
            </w:r>
          </w:p>
        </w:tc>
      </w:tr>
    </w:tbl>
    <w:p>
      <w:pPr>
        <w:jc w:val="center"/>
        <w:rPr>
          <w:rFonts w:ascii="黑体" w:eastAsia="黑体" w:cs="Times New Roman"/>
          <w:b/>
          <w:bCs/>
          <w:sz w:val="32"/>
          <w:szCs w:val="32"/>
        </w:rPr>
      </w:pPr>
    </w:p>
    <w:p>
      <w:pPr>
        <w:jc w:val="center"/>
        <w:rPr>
          <w:rFonts w:ascii="黑体" w:eastAsia="黑体" w:cs="Times New Roman"/>
          <w:b/>
          <w:bCs/>
          <w:sz w:val="32"/>
          <w:szCs w:val="32"/>
        </w:rPr>
      </w:pPr>
    </w:p>
    <w:p>
      <w:pPr>
        <w:jc w:val="center"/>
        <w:rPr>
          <w:rFonts w:ascii="黑体" w:eastAsia="黑体" w:cs="Times New Roman"/>
          <w:b/>
          <w:bCs/>
          <w:sz w:val="32"/>
          <w:szCs w:val="32"/>
        </w:rPr>
      </w:pPr>
    </w:p>
    <w:p>
      <w:pPr>
        <w:widowControl/>
        <w:numPr>
          <w:ilvl w:val="0"/>
          <w:numId w:val="1"/>
        </w:numPr>
        <w:adjustRightInd w:val="0"/>
        <w:textAlignment w:val="baseline"/>
        <w:rPr>
          <w:rFonts w:ascii="AdobeSongStd-Light" w:hAnsi="AdobeSongStd-Light" w:eastAsia="AdobeSongStd-Light" w:cs="Times New Roman"/>
          <w:sz w:val="40"/>
          <w:szCs w:val="40"/>
        </w:rPr>
      </w:pPr>
      <w:r>
        <w:rPr>
          <w:rFonts w:hint="eastAsia" w:ascii="AdobeSongStd-Light" w:hAnsi="AdobeSongStd-Light" w:eastAsia="AdobeSongStd-Light" w:cs="AdobeSongStd-Light"/>
          <w:sz w:val="40"/>
          <w:szCs w:val="40"/>
        </w:rPr>
        <w:t>余杭区医学重点学科合同书有关指标</w:t>
      </w:r>
    </w:p>
    <w:tbl>
      <w:tblPr>
        <w:tblStyle w:val="5"/>
        <w:tblW w:w="9081" w:type="dxa"/>
        <w:jc w:val="center"/>
        <w:tblInd w:w="1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2308"/>
        <w:gridCol w:w="2230"/>
        <w:gridCol w:w="1985"/>
        <w:gridCol w:w="2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081" w:type="dxa"/>
            <w:gridSpan w:val="5"/>
            <w:vAlign w:val="center"/>
          </w:tcPr>
          <w:p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学科临床指标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838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指标名称</w:t>
            </w:r>
          </w:p>
        </w:tc>
        <w:tc>
          <w:tcPr>
            <w:tcW w:w="2230" w:type="dxa"/>
            <w:vAlign w:val="center"/>
          </w:tcPr>
          <w:p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建设前一年</w:t>
            </w:r>
          </w:p>
          <w:p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${title1Year1}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年度）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预计建设后（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${title1Year2}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年）</w:t>
            </w:r>
          </w:p>
        </w:tc>
        <w:tc>
          <w:tcPr>
            <w:tcW w:w="2028" w:type="dxa"/>
            <w:vAlign w:val="center"/>
          </w:tcPr>
          <w:p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预期增幅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restart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</w:rPr>
              <w:t>医疗服务指标</w:t>
            </w:r>
          </w:p>
        </w:tc>
        <w:tc>
          <w:tcPr>
            <w:tcW w:w="2308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</w:rPr>
              <w:t>年出院人数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</w:rPr>
              <w:t>年门诊人次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</w:rPr>
              <w:t>业务收入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${index1Row3Cell1}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${index1Row3Cell2}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${index1Row3Cell3}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</w:rPr>
              <w:t>床位数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${index1Row4Cell1}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${index1Row4Cell2}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${index1Row4Cell3}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</w:rPr>
              <w:t>平均住院日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${index1Row5Cell1}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${index1Row5Cell2}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${index1Row5Cell3}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</w:rPr>
              <w:t>年均手术量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${index1Row6Cell1}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${index1Row6Cell2}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${index1Row6Cell3}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</w:rPr>
              <w:t>急危重症比例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${index1Row7Cell1}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${index1Row7Cell2}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${index1Row7Cell3}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</w:rPr>
              <w:t>疑难症比例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${index1Row8Cell1}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${index1Row8Cell2}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${index1Row8Cell3}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</w:rPr>
              <w:t>治愈好转率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${index1Row9Cell1}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${index1Row9Cell2}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${index1Row9Cell3}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restart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</w:rPr>
              <w:t>合理用药指标</w:t>
            </w:r>
          </w:p>
        </w:tc>
        <w:tc>
          <w:tcPr>
            <w:tcW w:w="2308" w:type="dxa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基本药物占处方用药比例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${index1Row10Cell1}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${index1Row10Cell2}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${index1Row10Cell3}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continue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门诊患者抗菌药物使用比例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${index1Row11Cell1}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${index1Row11Cell2}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${index1Row11Cell3}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住院患者抗菌药物使用比例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${index1Row12Cell1}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${index1Row12Cell2}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${index1Row12Cell3}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抗菌药物使用强度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b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${index1Row13Cell1}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${index1Row13Cell2}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${index1Row13Cell3}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restart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相关病区质量指标</w:t>
            </w:r>
          </w:p>
        </w:tc>
        <w:tc>
          <w:tcPr>
            <w:tcW w:w="2308" w:type="dxa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诊断符合率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${index1Row14Cell1}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${index1Row14Cell2}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${index1Row14Cell3}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临床主要诊断、病理诊断符合率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${index1Row15Cell1}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${index1Row15Cell2}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${index1Row15Cell3}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甲级病案率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${index1Row16Cell1}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${index1Row16Cell2}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${index1Row16Cell3}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出院患者随访率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${index1Row17Cell1}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${index1Row17Cell2}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${index1Row17Cell3}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择期手术患者术前平均住院日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${index1Row18Cell1}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${index1Row18Cell2}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${index1Row18Cell3}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基础护理合格率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${index1Row19Cell1}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${index1Row19Cell2}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${index1Row19Cell3}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危重患者护理合格率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${index1Row20Cell1}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${index1Row20Cell2}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${index1Row20Cell3}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院内感染率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${index1Row21Cell1}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${index1Row21Cell2}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${index1Row21Cell3}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病床周转率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${index1Row22Cell1}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${index1Row22Cell2}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${index1Row22Cell3}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病床周转次数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${index1Row23Cell1}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${index1Row23Cell2}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${index1Row23Cell3}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药品收入占业务收入比例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${index1Row24Cell1}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${index1Row24Cell2}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${index1Row24Cell3}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restart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</w:rPr>
              <w:t>门诊质量指标</w:t>
            </w:r>
          </w:p>
        </w:tc>
        <w:tc>
          <w:tcPr>
            <w:tcW w:w="2308" w:type="dxa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年均专家出诊人次所占比例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${index1Row25Cell1}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${index1Row25Cell2}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${index1Row25Cell3}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年门诊人均费用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${index1Row26Cell1}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${index1Row26Cell2}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${index1Row26Cell3}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日均专病门诊数量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${index1Row27Cell1}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${index1Row27Cell2}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${index1Row27Cell3}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3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2308" w:type="dxa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门诊预约挂号比例</w:t>
            </w:r>
          </w:p>
        </w:tc>
        <w:tc>
          <w:tcPr>
            <w:tcW w:w="2230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${index1Row28Cell1}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${index1Row28Cell2}</w:t>
            </w:r>
          </w:p>
        </w:tc>
        <w:tc>
          <w:tcPr>
            <w:tcW w:w="202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${index1Row28Cell3}</w:t>
            </w:r>
          </w:p>
        </w:tc>
      </w:tr>
    </w:tbl>
    <w:p>
      <w:pPr>
        <w:rPr>
          <w:rFonts w:ascii="黑体" w:eastAsia="黑体" w:cs="Times New Roman"/>
          <w:b/>
          <w:bCs/>
        </w:rPr>
      </w:pPr>
    </w:p>
    <w:p>
      <w:pPr>
        <w:rPr>
          <w:rFonts w:ascii="黑体" w:eastAsia="黑体" w:cs="Times New Roman"/>
          <w:b/>
          <w:bCs/>
        </w:rPr>
      </w:pPr>
    </w:p>
    <w:p>
      <w:pPr>
        <w:rPr>
          <w:rFonts w:ascii="黑体" w:eastAsia="黑体" w:cs="Times New Roman"/>
          <w:b/>
          <w:bCs/>
        </w:rPr>
      </w:pPr>
    </w:p>
    <w:p>
      <w:pPr>
        <w:rPr>
          <w:rFonts w:ascii="黑体" w:eastAsia="黑体" w:cs="Times New Roman"/>
          <w:b/>
          <w:bCs/>
        </w:rPr>
      </w:pPr>
    </w:p>
    <w:tbl>
      <w:tblPr>
        <w:tblStyle w:val="5"/>
        <w:tblW w:w="9054" w:type="dxa"/>
        <w:jc w:val="center"/>
        <w:tblInd w:w="10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824"/>
        <w:gridCol w:w="2126"/>
        <w:gridCol w:w="226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054" w:type="dxa"/>
            <w:gridSpan w:val="5"/>
            <w:vAlign w:val="center"/>
          </w:tcPr>
          <w:p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学科科研指标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34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指标名称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申报前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年（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${title2Year1}-${title2Year2}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2268" w:type="dxa"/>
            <w:vAlign w:val="center"/>
          </w:tcPr>
          <w:p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建设期内（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${title2Year3}-${title2Year4}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预期增幅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作为第一单位承担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</w:rPr>
              <w:t>科研项目</w:t>
            </w:r>
          </w:p>
          <w:p>
            <w:pPr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</w:rPr>
              <w:t>数量</w:t>
            </w:r>
          </w:p>
        </w:tc>
        <w:tc>
          <w:tcPr>
            <w:tcW w:w="1824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国家级项目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${index2Row1Cell1}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${index2Row1Cell2}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省部级项目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${index2Row2Cell1}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${index2Row2Cell2}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${index2Row2Cell3}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厅局级项目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${index2Row3Cell1}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${index2Row3Cell2}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${index2Row3Cell3}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市级项目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${index2Row4Cell1}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${index2Row4Cell2}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${index2Row4Cell3}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区级项目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${index2Row5Cell1}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${index2Row5Cell2}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${index2Row5Cell3}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拟设计申报课题名称</w:t>
            </w:r>
          </w:p>
        </w:tc>
        <w:tc>
          <w:tcPr>
            <w:tcW w:w="6520" w:type="dxa"/>
            <w:gridSpan w:val="3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作为联合单位承担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</w:rPr>
              <w:t>科研项目</w:t>
            </w:r>
          </w:p>
          <w:p>
            <w:pPr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</w:rPr>
              <w:t>数量</w:t>
            </w:r>
          </w:p>
        </w:tc>
        <w:tc>
          <w:tcPr>
            <w:tcW w:w="1824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国家级项目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${index2Row7Cell1}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${index2Row7Cell2}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${index2Row7Cell3}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省部级项目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${index2Row8Cell1}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${index2Row8Cell2}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${index2Row8Cell3}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厅局级项目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${index2Row9Cell1}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${index2Row9Cell2}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${index2Row9Cell3}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市级项目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${index2Row10Cell1}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${index2Row10Cell2}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${index2Row10Cell3}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区级项目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${index2Row11Cell1}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${index2Row11Cell2}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${index2Row11Cell3}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拟参与课题名称</w:t>
            </w:r>
          </w:p>
        </w:tc>
        <w:tc>
          <w:tcPr>
            <w:tcW w:w="6520" w:type="dxa"/>
            <w:gridSpan w:val="3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</w:rPr>
              <w:t>预期总经费</w:t>
            </w:r>
          </w:p>
        </w:tc>
        <w:tc>
          <w:tcPr>
            <w:tcW w:w="1824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申报前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年（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${title3Year1}-${title3Year2}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建设期内（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${title3Year3}-${title3Year4}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预期增幅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>
            <w:pPr>
              <w:widowControl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${index2Row13Cell0}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ascii="宋体" w:cs="Times New Roman"/>
                <w:kern w:val="0"/>
                <w:sz w:val="24"/>
                <w:szCs w:val="24"/>
              </w:rPr>
              <w:t>${index2Row13Cell1}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ascii="宋体" w:cs="Times New Roman"/>
                <w:kern w:val="0"/>
                <w:sz w:val="24"/>
                <w:szCs w:val="24"/>
              </w:rPr>
              <w:t>${index2Row13Cell2}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${index2Row13Cell3}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围绕主攻方向发表文章</w:t>
            </w:r>
          </w:p>
        </w:tc>
        <w:tc>
          <w:tcPr>
            <w:tcW w:w="1824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申报前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年（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${title4Year1}-${title4Year2}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建设期内（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${title4Year3}-${title4Year4}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预期增幅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仿宋_GB2312"/>
                <w:sz w:val="24"/>
                <w:szCs w:val="24"/>
              </w:rPr>
              <w:t>SCI</w:t>
            </w: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论文数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${index2Row14Cell1}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${index2Row14Cell2}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${index2Row14Cell3}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中华级论文数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${index2Row15Cell1}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${index2Row15Cell2}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${index2Row15Cell3}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其他论文数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${index2Row16Cell1}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${index2Row16Cell2}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${index2Row16Cell3}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学科成员人均论文数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${index2Row17Cell1}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${index2Row17Cell2}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${index2Row17Cell3}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0" w:type="dxa"/>
            <w:vMerge w:val="restart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获得专利和专著</w:t>
            </w:r>
          </w:p>
        </w:tc>
        <w:tc>
          <w:tcPr>
            <w:tcW w:w="1824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申报前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年（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${title5Year1}-${title5Year2}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建设期内（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${title5Year3}-${title5Year4}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预期增幅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</w:rPr>
              <w:t>专利数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${index2Row18Cell1}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${index2Row18Cell2}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${index2Row18Cell3}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1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专著数量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${index2Row19Cell1}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${index2Row19Cell2}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${index2Row19Cell3}</w:t>
            </w:r>
          </w:p>
        </w:tc>
      </w:tr>
    </w:tbl>
    <w:p>
      <w:pPr>
        <w:rPr>
          <w:rFonts w:ascii="黑体" w:eastAsia="黑体" w:cs="Times New Roman"/>
          <w:b/>
          <w:bCs/>
        </w:rPr>
      </w:pPr>
    </w:p>
    <w:p>
      <w:pPr>
        <w:rPr>
          <w:rFonts w:ascii="黑体" w:eastAsia="黑体" w:cs="Times New Roman"/>
          <w:b/>
          <w:bCs/>
        </w:rPr>
      </w:pPr>
    </w:p>
    <w:tbl>
      <w:tblPr>
        <w:tblStyle w:val="5"/>
        <w:tblW w:w="8933" w:type="dxa"/>
        <w:jc w:val="center"/>
        <w:tblInd w:w="13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559"/>
        <w:gridCol w:w="2155"/>
        <w:gridCol w:w="2301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933" w:type="dxa"/>
            <w:gridSpan w:val="5"/>
            <w:vAlign w:val="center"/>
          </w:tcPr>
          <w:p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学科人才培养指标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1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指标名称</w:t>
            </w:r>
          </w:p>
        </w:tc>
        <w:tc>
          <w:tcPr>
            <w:tcW w:w="2155" w:type="dxa"/>
            <w:vAlign w:val="center"/>
          </w:tcPr>
          <w:p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申报前一年（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${title6Year1}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年）</w:t>
            </w:r>
          </w:p>
        </w:tc>
        <w:tc>
          <w:tcPr>
            <w:tcW w:w="2301" w:type="dxa"/>
            <w:vAlign w:val="center"/>
          </w:tcPr>
          <w:p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三年后（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${title6Year2}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年）</w:t>
            </w:r>
          </w:p>
        </w:tc>
        <w:tc>
          <w:tcPr>
            <w:tcW w:w="2067" w:type="dxa"/>
            <w:vAlign w:val="center"/>
          </w:tcPr>
          <w:p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预期增幅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%</w:t>
            </w:r>
          </w:p>
          <w:p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%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，不需统计，系统自动生成）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1" w:type="dxa"/>
            <w:vMerge w:val="restart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</w:rPr>
              <w:t>人才培养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团队人数</w:t>
            </w:r>
          </w:p>
        </w:tc>
        <w:tc>
          <w:tcPr>
            <w:tcW w:w="2155" w:type="dxa"/>
            <w:vAlign w:val="center"/>
          </w:tcPr>
          <w:p>
            <w:pPr>
              <w:widowControl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${index3Row1Cell1}</w:t>
            </w:r>
          </w:p>
        </w:tc>
        <w:tc>
          <w:tcPr>
            <w:tcW w:w="2301" w:type="dxa"/>
            <w:vAlign w:val="center"/>
          </w:tcPr>
          <w:p>
            <w:pPr>
              <w:widowControl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${index3Row1Cell2}</w:t>
            </w:r>
          </w:p>
        </w:tc>
        <w:tc>
          <w:tcPr>
            <w:tcW w:w="2067" w:type="dxa"/>
            <w:vAlign w:val="center"/>
          </w:tcPr>
          <w:p>
            <w:pPr>
              <w:widowControl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${index3Row1Cell3}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1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高级职称数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${index3Row2Cell1}</w:t>
            </w:r>
          </w:p>
        </w:tc>
        <w:tc>
          <w:tcPr>
            <w:tcW w:w="2301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${index3Row2Cell2}</w:t>
            </w:r>
          </w:p>
        </w:tc>
        <w:tc>
          <w:tcPr>
            <w:tcW w:w="2067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${index3Row2Cell3}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1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副高级职称数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${index3Row3Cell1}</w:t>
            </w:r>
          </w:p>
        </w:tc>
        <w:tc>
          <w:tcPr>
            <w:tcW w:w="2301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${index3Row3Cell2}</w:t>
            </w:r>
          </w:p>
        </w:tc>
        <w:tc>
          <w:tcPr>
            <w:tcW w:w="2067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${index3Row3Cell3}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1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硕士数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${index3Row4Cell1}</w:t>
            </w:r>
          </w:p>
        </w:tc>
        <w:tc>
          <w:tcPr>
            <w:tcW w:w="2301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${index3Row4Cell2}</w:t>
            </w:r>
          </w:p>
        </w:tc>
        <w:tc>
          <w:tcPr>
            <w:tcW w:w="2067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${index3Row4Cell3}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1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博士数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${index3Row5Cell1}</w:t>
            </w:r>
          </w:p>
        </w:tc>
        <w:tc>
          <w:tcPr>
            <w:tcW w:w="2301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${index3Row5Cell2}</w:t>
            </w:r>
          </w:p>
        </w:tc>
        <w:tc>
          <w:tcPr>
            <w:tcW w:w="2067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${index3Row5Cell3}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1" w:type="dxa"/>
            <w:vMerge w:val="restart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主办或承办学术会议或</w:t>
            </w:r>
            <w:r>
              <w:rPr>
                <w:rFonts w:hint="eastAsia" w:ascii="仿宋_GB2312" w:hAnsi="宋体" w:eastAsia="仿宋_GB2312" w:cs="仿宋_GB2312"/>
                <w:kern w:val="0"/>
                <w:sz w:val="24"/>
                <w:szCs w:val="24"/>
              </w:rPr>
              <w:t>继续医学教育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申报前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年（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${title7Year1}-${title7Year2}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2301" w:type="dxa"/>
            <w:vAlign w:val="center"/>
          </w:tcPr>
          <w:p>
            <w:pPr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建设期内（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${title7Year3}- ${title7Year4}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2067" w:type="dxa"/>
            <w:vAlign w:val="center"/>
          </w:tcPr>
          <w:p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预期增幅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1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国家级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${index3Row6Cell1}</w:t>
            </w:r>
          </w:p>
        </w:tc>
        <w:tc>
          <w:tcPr>
            <w:tcW w:w="2301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${index3Row6Cell2}</w:t>
            </w:r>
          </w:p>
        </w:tc>
        <w:tc>
          <w:tcPr>
            <w:tcW w:w="2067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${index3Row6Cell3}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1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省级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${index3Row7Cell1}</w:t>
            </w:r>
          </w:p>
        </w:tc>
        <w:tc>
          <w:tcPr>
            <w:tcW w:w="2301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${index3Row7Cell2}</w:t>
            </w:r>
          </w:p>
        </w:tc>
        <w:tc>
          <w:tcPr>
            <w:tcW w:w="2067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${index3Row7Cell3}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1" w:type="dxa"/>
            <w:vMerge w:val="continue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市级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${index3Row8Cell1}</w:t>
            </w:r>
          </w:p>
        </w:tc>
        <w:tc>
          <w:tcPr>
            <w:tcW w:w="2301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${index3Row8Cell2}</w:t>
            </w:r>
          </w:p>
        </w:tc>
        <w:tc>
          <w:tcPr>
            <w:tcW w:w="2067" w:type="dxa"/>
            <w:vAlign w:val="center"/>
          </w:tcPr>
          <w:p>
            <w:pPr>
              <w:rPr>
                <w:rFonts w:ascii="仿宋_GB2312" w:hAnsi="宋体" w:eastAsia="仿宋_GB2312" w:cs="Times New Roman"/>
                <w:sz w:val="24"/>
                <w:szCs w:val="24"/>
              </w:rPr>
            </w:pPr>
            <w:r>
              <w:rPr>
                <w:rFonts w:ascii="仿宋_GB2312" w:hAnsi="宋体" w:eastAsia="仿宋_GB2312" w:cs="Times New Roman"/>
                <w:sz w:val="24"/>
                <w:szCs w:val="24"/>
              </w:rPr>
              <w:t>${index3Row8Cell3}</w:t>
            </w:r>
          </w:p>
        </w:tc>
      </w:tr>
    </w:tbl>
    <w:p>
      <w:pPr>
        <w:rPr>
          <w:rFonts w:ascii="黑体" w:eastAsia="黑体" w:cs="Times New Roman"/>
          <w:b/>
          <w:bCs/>
        </w:rPr>
      </w:pPr>
    </w:p>
    <w:p>
      <w:pPr>
        <w:rPr>
          <w:rFonts w:ascii="黑体" w:eastAsia="黑体" w:cs="Times New Roman"/>
          <w:b/>
          <w:bCs/>
        </w:rPr>
      </w:pPr>
    </w:p>
    <w:p>
      <w:pPr>
        <w:rPr>
          <w:rFonts w:ascii="黑体" w:eastAsia="黑体" w:cs="Times New Roman"/>
          <w:b/>
          <w:bCs/>
        </w:rPr>
      </w:pPr>
    </w:p>
    <w:p>
      <w:pPr>
        <w:rPr>
          <w:rFonts w:ascii="AdobeSongStd-Light" w:hAnsi="AdobeSongStd-Light" w:eastAsia="AdobeSongStd-Light" w:cs="Times New Roman"/>
          <w:sz w:val="40"/>
          <w:szCs w:val="40"/>
        </w:rPr>
      </w:pPr>
      <w:r>
        <w:rPr>
          <w:rFonts w:hint="eastAsia" w:ascii="黑体" w:eastAsia="黑体" w:cs="黑体"/>
          <w:b/>
          <w:bCs/>
          <w:sz w:val="32"/>
          <w:szCs w:val="32"/>
        </w:rPr>
        <w:t>十、所在单位推荐意见</w:t>
      </w:r>
    </w:p>
    <w:tbl>
      <w:tblPr>
        <w:tblStyle w:val="5"/>
        <w:tblW w:w="8947" w:type="dxa"/>
        <w:tblInd w:w="-106" w:type="dxa"/>
        <w:tblBorders>
          <w:top w:val="single" w:color="auto" w:sz="6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7"/>
      </w:tblGrid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4" w:hRule="atLeast"/>
        </w:trPr>
        <w:tc>
          <w:tcPr>
            <w:tcW w:w="894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单位评价推荐意见：</w:t>
            </w:r>
          </w:p>
          <w:p>
            <w:pPr>
              <w:rPr>
                <w:rFonts w:ascii="宋体" w:cs="Times New Roman"/>
              </w:rPr>
            </w:pPr>
          </w:p>
          <w:p>
            <w:pPr>
              <w:rPr>
                <w:rFonts w:ascii="宋体" w:cs="Times New Roman"/>
              </w:rPr>
            </w:pPr>
          </w:p>
          <w:p>
            <w:pPr>
              <w:rPr>
                <w:rFonts w:ascii="宋体" w:cs="Times New Roman"/>
              </w:rPr>
            </w:pPr>
          </w:p>
          <w:p>
            <w:pPr>
              <w:rPr>
                <w:rFonts w:ascii="宋体" w:cs="Times New Roman"/>
              </w:rPr>
            </w:pPr>
          </w:p>
          <w:p>
            <w:pPr>
              <w:rPr>
                <w:rFonts w:ascii="宋体" w:cs="Times New Roman"/>
              </w:rPr>
            </w:pPr>
          </w:p>
          <w:p>
            <w:pPr>
              <w:ind w:firstLine="3465" w:firstLineChars="1650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单位负责人（签章）单位公章</w:t>
            </w:r>
          </w:p>
          <w:p>
            <w:pPr>
              <w:ind w:firstLine="4095" w:firstLineChars="1950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年</w:t>
            </w:r>
            <w:r>
              <w:rPr>
                <w:rFonts w:ascii="宋体" w:cs="宋体"/>
              </w:rPr>
              <w:t xml:space="preserve">   </w:t>
            </w:r>
            <w:r>
              <w:rPr>
                <w:rFonts w:hint="eastAsia" w:ascii="宋体" w:cs="宋体"/>
              </w:rPr>
              <w:t>月</w:t>
            </w:r>
            <w:r>
              <w:rPr>
                <w:rFonts w:ascii="宋体" w:cs="宋体"/>
              </w:rPr>
              <w:t xml:space="preserve">    </w:t>
            </w:r>
            <w:r>
              <w:rPr>
                <w:rFonts w:hint="eastAsia" w:ascii="宋体" w:cs="宋体"/>
              </w:rPr>
              <w:t>日</w:t>
            </w:r>
          </w:p>
          <w:p>
            <w:pPr>
              <w:rPr>
                <w:rFonts w:ascii="宋体" w:cs="Times New Roman"/>
              </w:rPr>
            </w:pPr>
            <w:bookmarkStart w:id="0" w:name="_GoBack"/>
            <w:bookmarkEnd w:id="0"/>
          </w:p>
        </w:tc>
      </w:tr>
    </w:tbl>
    <w:p>
      <w:pPr>
        <w:rPr>
          <w:rFonts w:ascii="黑体" w:eastAsia="黑体" w:cs="Times New Roman"/>
          <w:b/>
          <w:bCs/>
        </w:rPr>
      </w:pPr>
    </w:p>
    <w:p>
      <w:pPr>
        <w:rPr>
          <w:rFonts w:ascii="黑体" w:eastAsia="黑体" w:cs="Times New Roman"/>
          <w:b/>
          <w:bCs/>
        </w:rPr>
      </w:pPr>
    </w:p>
    <w:p>
      <w:pPr>
        <w:rPr>
          <w:rFonts w:ascii="黑体" w:eastAsia="黑体" w:cs="Times New Roman"/>
          <w:b/>
          <w:bCs/>
        </w:rPr>
      </w:pPr>
    </w:p>
    <w:p>
      <w:pPr>
        <w:rPr>
          <w:rFonts w:ascii="黑体" w:eastAsia="黑体" w:cs="Times New Roman"/>
          <w:b/>
          <w:bCs/>
          <w:sz w:val="32"/>
          <w:szCs w:val="32"/>
        </w:rPr>
      </w:pPr>
      <w:r>
        <w:rPr>
          <w:rFonts w:hint="eastAsia" w:ascii="黑体" w:eastAsia="黑体" w:cs="黑体"/>
          <w:b/>
          <w:bCs/>
          <w:sz w:val="32"/>
          <w:szCs w:val="32"/>
        </w:rPr>
        <w:t>十一、上级主管部门意见</w:t>
      </w:r>
    </w:p>
    <w:p>
      <w:pPr>
        <w:jc w:val="center"/>
        <w:rPr>
          <w:rFonts w:ascii="黑体" w:eastAsia="黑体" w:cs="Times New Roman"/>
          <w:b/>
          <w:bCs/>
          <w:sz w:val="32"/>
          <w:szCs w:val="32"/>
        </w:rPr>
      </w:pPr>
    </w:p>
    <w:tbl>
      <w:tblPr>
        <w:tblStyle w:val="5"/>
        <w:tblW w:w="8947" w:type="dxa"/>
        <w:tblInd w:w="-106" w:type="dxa"/>
        <w:tblBorders>
          <w:top w:val="single" w:color="auto" w:sz="6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7"/>
      </w:tblGrid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0" w:hRule="atLeast"/>
        </w:trPr>
        <w:tc>
          <w:tcPr>
            <w:tcW w:w="8947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余杭区卫计局意见：</w:t>
            </w:r>
          </w:p>
          <w:p>
            <w:pPr>
              <w:rPr>
                <w:rFonts w:ascii="宋体" w:cs="Times New Roman"/>
              </w:rPr>
            </w:pPr>
          </w:p>
          <w:p>
            <w:pPr>
              <w:rPr>
                <w:rFonts w:ascii="宋体" w:cs="Times New Roman"/>
              </w:rPr>
            </w:pPr>
          </w:p>
          <w:p>
            <w:pPr>
              <w:rPr>
                <w:rFonts w:ascii="宋体" w:cs="Times New Roman"/>
              </w:rPr>
            </w:pPr>
          </w:p>
          <w:p>
            <w:pPr>
              <w:rPr>
                <w:rFonts w:ascii="宋体" w:cs="Times New Roman"/>
              </w:rPr>
            </w:pPr>
          </w:p>
          <w:p>
            <w:pPr>
              <w:ind w:firstLine="3990" w:firstLineChars="1900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单位负责人（签章）单位公章</w:t>
            </w:r>
          </w:p>
          <w:p>
            <w:pPr>
              <w:ind w:firstLine="4725" w:firstLineChars="2250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年</w:t>
            </w:r>
            <w:r>
              <w:rPr>
                <w:rFonts w:ascii="宋体" w:cs="宋体"/>
              </w:rPr>
              <w:t xml:space="preserve">  </w:t>
            </w:r>
            <w:r>
              <w:rPr>
                <w:rFonts w:hint="eastAsia" w:ascii="宋体" w:cs="宋体"/>
              </w:rPr>
              <w:t>月</w:t>
            </w:r>
            <w:r>
              <w:rPr>
                <w:rFonts w:ascii="宋体" w:cs="宋体"/>
              </w:rPr>
              <w:t xml:space="preserve">   </w:t>
            </w:r>
            <w:r>
              <w:rPr>
                <w:rFonts w:hint="eastAsia" w:ascii="宋体" w:cs="宋体"/>
              </w:rPr>
              <w:t>日</w:t>
            </w:r>
          </w:p>
          <w:p>
            <w:pPr>
              <w:rPr>
                <w:rFonts w:ascii="宋体" w:cs="Times New Roman"/>
              </w:rPr>
            </w:pPr>
          </w:p>
          <w:p>
            <w:pPr>
              <w:rPr>
                <w:rFonts w:ascii="宋体" w:cs="Times New Roman"/>
              </w:rPr>
            </w:pPr>
          </w:p>
          <w:p>
            <w:pPr>
              <w:rPr>
                <w:rFonts w:ascii="宋体" w:cs="Times New Roman"/>
              </w:rPr>
            </w:pP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947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余杭区科技局意见：</w:t>
            </w:r>
          </w:p>
          <w:p>
            <w:pPr>
              <w:rPr>
                <w:rFonts w:ascii="宋体" w:cs="Times New Roman"/>
              </w:rPr>
            </w:pPr>
          </w:p>
          <w:p>
            <w:pPr>
              <w:rPr>
                <w:rFonts w:ascii="宋体" w:cs="Times New Roman"/>
              </w:rPr>
            </w:pPr>
          </w:p>
          <w:p>
            <w:pPr>
              <w:rPr>
                <w:rFonts w:ascii="宋体" w:cs="Times New Roman"/>
              </w:rPr>
            </w:pPr>
          </w:p>
          <w:p>
            <w:pPr>
              <w:rPr>
                <w:rFonts w:ascii="宋体" w:cs="Times New Roman"/>
              </w:rPr>
            </w:pPr>
          </w:p>
          <w:p>
            <w:pPr>
              <w:rPr>
                <w:rFonts w:ascii="宋体" w:cs="Times New Roman"/>
              </w:rPr>
            </w:pPr>
          </w:p>
          <w:p>
            <w:pPr>
              <w:ind w:firstLine="4095" w:firstLineChars="1950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单位负责人（签章）单位公章</w:t>
            </w:r>
          </w:p>
          <w:p>
            <w:pPr>
              <w:ind w:firstLine="5145" w:firstLineChars="2450"/>
              <w:rPr>
                <w:rFonts w:ascii="宋体" w:cs="Times New Roman"/>
              </w:rPr>
            </w:pPr>
            <w:r>
              <w:rPr>
                <w:rFonts w:hint="eastAsia" w:ascii="宋体" w:cs="宋体"/>
              </w:rPr>
              <w:t>年</w:t>
            </w:r>
            <w:r>
              <w:rPr>
                <w:rFonts w:ascii="宋体" w:cs="宋体"/>
              </w:rPr>
              <w:t xml:space="preserve">  </w:t>
            </w:r>
            <w:r>
              <w:rPr>
                <w:rFonts w:hint="eastAsia" w:ascii="宋体" w:cs="宋体"/>
              </w:rPr>
              <w:t>月</w:t>
            </w:r>
            <w:r>
              <w:rPr>
                <w:rFonts w:ascii="宋体" w:cs="宋体"/>
              </w:rPr>
              <w:t xml:space="preserve">  </w:t>
            </w:r>
            <w:r>
              <w:rPr>
                <w:rFonts w:hint="eastAsia" w:ascii="宋体" w:cs="宋体"/>
              </w:rPr>
              <w:t>日</w:t>
            </w:r>
          </w:p>
          <w:p>
            <w:pPr>
              <w:rPr>
                <w:rFonts w:ascii="宋体" w:cs="Times New Roman"/>
              </w:rPr>
            </w:pPr>
          </w:p>
          <w:p>
            <w:pPr>
              <w:rPr>
                <w:rFonts w:ascii="宋体" w:cs="Times New Roman"/>
              </w:rPr>
            </w:pPr>
          </w:p>
        </w:tc>
      </w:tr>
    </w:tbl>
    <w:p>
      <w:pPr>
        <w:rPr>
          <w:rFonts w:ascii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F54A3"/>
    <w:multiLevelType w:val="singleLevel"/>
    <w:tmpl w:val="544F54A3"/>
    <w:lvl w:ilvl="0" w:tentative="0">
      <w:start w:val="9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2307"/>
    <w:rsid w:val="00003607"/>
    <w:rsid w:val="000140BF"/>
    <w:rsid w:val="000339AB"/>
    <w:rsid w:val="000F343E"/>
    <w:rsid w:val="001276FE"/>
    <w:rsid w:val="00136829"/>
    <w:rsid w:val="00170CFC"/>
    <w:rsid w:val="00191A82"/>
    <w:rsid w:val="001B70CE"/>
    <w:rsid w:val="00242307"/>
    <w:rsid w:val="00267CD1"/>
    <w:rsid w:val="002853FF"/>
    <w:rsid w:val="002C7C14"/>
    <w:rsid w:val="002F02D3"/>
    <w:rsid w:val="002F0CAA"/>
    <w:rsid w:val="002F34E2"/>
    <w:rsid w:val="0033168D"/>
    <w:rsid w:val="003365D9"/>
    <w:rsid w:val="003565C8"/>
    <w:rsid w:val="004651C6"/>
    <w:rsid w:val="00494EC6"/>
    <w:rsid w:val="004A08CB"/>
    <w:rsid w:val="004A391E"/>
    <w:rsid w:val="004C30EE"/>
    <w:rsid w:val="004C5C04"/>
    <w:rsid w:val="004D2171"/>
    <w:rsid w:val="005127C9"/>
    <w:rsid w:val="00530643"/>
    <w:rsid w:val="00536AA5"/>
    <w:rsid w:val="00547BBB"/>
    <w:rsid w:val="00596116"/>
    <w:rsid w:val="005B2505"/>
    <w:rsid w:val="005B658E"/>
    <w:rsid w:val="005C48F4"/>
    <w:rsid w:val="005C7FD5"/>
    <w:rsid w:val="006044B5"/>
    <w:rsid w:val="00617450"/>
    <w:rsid w:val="00622963"/>
    <w:rsid w:val="00735E7C"/>
    <w:rsid w:val="00782610"/>
    <w:rsid w:val="007C12A1"/>
    <w:rsid w:val="007F404D"/>
    <w:rsid w:val="008012D3"/>
    <w:rsid w:val="008033C6"/>
    <w:rsid w:val="008145BC"/>
    <w:rsid w:val="00834A37"/>
    <w:rsid w:val="00843AD0"/>
    <w:rsid w:val="00851F31"/>
    <w:rsid w:val="008822BF"/>
    <w:rsid w:val="008B2AD3"/>
    <w:rsid w:val="0098256D"/>
    <w:rsid w:val="00982B99"/>
    <w:rsid w:val="00983954"/>
    <w:rsid w:val="009B28FC"/>
    <w:rsid w:val="00A00489"/>
    <w:rsid w:val="00AE1C01"/>
    <w:rsid w:val="00B14B02"/>
    <w:rsid w:val="00B17646"/>
    <w:rsid w:val="00B74AF3"/>
    <w:rsid w:val="00B81434"/>
    <w:rsid w:val="00B85B5F"/>
    <w:rsid w:val="00B91E01"/>
    <w:rsid w:val="00C240E9"/>
    <w:rsid w:val="00C26F0E"/>
    <w:rsid w:val="00C67241"/>
    <w:rsid w:val="00C85064"/>
    <w:rsid w:val="00C93482"/>
    <w:rsid w:val="00C94366"/>
    <w:rsid w:val="00CA7DEF"/>
    <w:rsid w:val="00D056B0"/>
    <w:rsid w:val="00D425BA"/>
    <w:rsid w:val="00DB1526"/>
    <w:rsid w:val="00DB7753"/>
    <w:rsid w:val="00DE24D4"/>
    <w:rsid w:val="00E325EA"/>
    <w:rsid w:val="00E83375"/>
    <w:rsid w:val="00ED59B6"/>
    <w:rsid w:val="00F224F7"/>
    <w:rsid w:val="00F27216"/>
    <w:rsid w:val="00F45459"/>
    <w:rsid w:val="00FD1D15"/>
    <w:rsid w:val="00FD55EF"/>
    <w:rsid w:val="4BC3385F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locked/>
    <w:uiPriority w:val="99"/>
    <w:rPr>
      <w:sz w:val="18"/>
      <w:szCs w:val="18"/>
    </w:rPr>
  </w:style>
  <w:style w:type="character" w:customStyle="1" w:styleId="7">
    <w:name w:val="页脚 Char"/>
    <w:link w:val="2"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893</Words>
  <Characters>5096</Characters>
  <Lines>42</Lines>
  <Paragraphs>11</Paragraphs>
  <TotalTime>0</TotalTime>
  <ScaleCrop>false</ScaleCrop>
  <LinksUpToDate>false</LinksUpToDate>
  <CharactersWithSpaces>5978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2015-06-11T02:54:00Z</dcterms:created>
  <dc:creator>dell</dc:creator>
  <cp:lastModifiedBy>www.0001.Ga</cp:lastModifiedBy>
  <dcterms:modified xsi:type="dcterms:W3CDTF">2016-07-29T02:13:05Z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