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192" w:line="384"/>
        <w:jc w:val="left"/>
        <w:rPr>
          <w:color w:val="1a73e8"/>
        </w:rPr>
      </w:pPr>
      <w:r>
        <w:rPr>
          <w:rFonts w:hint="eastAsia" w:ascii="SimHei" w:hAnsi="SimHei" w:eastAsia="SimHei" w:cs="SimHei"/>
          <w:b w:val="1"/>
          <w:color w:val="1a73e8"/>
          <w:spacing w:val="19"/>
          <w:sz w:val="18"/>
        </w:rPr>
        <w:t>小程序模块划分 · 交付边界说明</w:t>
      </w:r>
    </w:p>
    <w:p w14:paraId="5E1249B9">
      <w:pPr>
        <w:spacing w:after="120" w:line="384"/>
        <w:jc w:val="left"/>
        <w:rPr>
          <w:color w:val="1a73e8"/>
        </w:rPr>
      </w:pPr>
      <w:r>
        <w:rPr>
          <w:rFonts w:hint="eastAsia" w:ascii="SimHei" w:hAnsi="SimHei" w:eastAsia="SimHei" w:cs="SimHei"/>
          <w:b w:val="1"/>
          <w:color w:val="1a73e8"/>
          <w:sz w:val="44"/>
        </w:rPr>
        <w:t>拾光手办小程序</w:t>
      </w:r>
      <w:r>
        <w:br w:type="textWrapping"/>
      </w:r>
      <w:r>
        <w:rPr>
          <w:rFonts w:hint="eastAsia" w:ascii="SimHei" w:hAnsi="SimHei" w:eastAsia="SimHei" w:cs="SimHei"/>
          <w:b w:val="1"/>
          <w:color w:val="1a73e8"/>
          <w:sz w:val="44"/>
        </w:rPr>
        <w:t>模块划分与交付边界说明</w:t>
      </w:r>
    </w:p>
    <w:p w14:paraId="76ED7B6A">
      <w:pPr>
        <w:spacing w:after="384" w:line="384"/>
        <w:jc w:val="left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8"/>
        </w:rPr>
        <w:t>展示模块（免费开发）／付款模块（需要付费）</w:t>
      </w:r>
    </w:p>
    <w:p w14:paraId="54F6F1AD">
      <w:pPr>
        <w:spacing w:after="72" w:line="384"/>
        <w:jc w:val="left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18"/>
        </w:rPr>
        <w:t>拾光手作工作室 ｜ 2026 年 10 月 26 日 ｜ 版本 v1.0</w:t>
      </w:r>
    </w:p>
    <w:p w14:paraId="14CB57FE">
      <w:pPr>
        <w:spacing w:after="72" w:line="384"/>
        <w:jc w:val="left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18"/>
        </w:rPr>
        <w:t>适用工程：拾光手办微信小程序（WXML + WXSS + 微信云开发）</w:t>
      </w:r>
    </w:p>
    <w:p w14:paraId="6F125FCE">
      <w:pPr>
        <w:spacing w:before="240" w:after="120"/>
      </w:pPr>
      <w:r>
        <w:rPr>
          <w:rFonts w:hint="eastAsia"/>
          <w:b w:val="1"/>
        </w:rPr>
        <w:t>目录</w:t>
      </w:r>
    </w:p>
    <w:p w14:paraId="156C815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248CB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二、划分原则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36AD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以资金流为界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6FB1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定制业务整体归付款模块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A495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单一真相源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64B9A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三、总体结构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80515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四、展示模块交付清单（免费开发）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81DAD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买家端页面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7738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商家后台页面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5E9A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云函数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7D907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交付要点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7B5BE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五、付款模块交付清单（需要付费）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C8EF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买家端页面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1E124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商家后台页面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87EF6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云函数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C942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交易专用工具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80F8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5.5 交付要点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7B489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六、共享层清单（不单独计价）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E4205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七、边界与解耦机制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E70A5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开关控制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6D112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入口门控点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A51D8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一致性校验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3A6DE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八、交付与验收标准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018D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展示模块验收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58924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付款模块验收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ACFD2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九、风险与外部依赖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4A42E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资质与合规风险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035E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外部依赖风险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48839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技术耦合风险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A42F5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十、实施建议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2D9D37B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45653FE4">
      <w:pPr>
        <w:pStyle w:val="000005"/>
        <w:keepNext w:val="1"/>
        <w:keepLines w:val="1"/>
        <w:pBdr>
          <w:left w:val="single" w:color="1a73e8" w:sz="24"/>
          <w:bottom w:val="single" w:color="1a73e8" w:sz="12" w:space="3"/>
        </w:pBdr>
        <w:shd w:val="clear" w:fill="f5f7fa"/>
        <w:spacing w:before="384" w:beforeAutospacing="1" w:after="48" w:afterAutospacing="1" w:line="384"/>
        <w:ind w:left="384" w:right="384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执行摘要</w:t>
      </w:r>
    </w:p>
    <w:p w14:paraId="5A83511B">
      <w:pPr>
        <w:pBdr>
          <w:left w:val="single" w:color="1a73e8" w:sz="24"/>
        </w:pBdr>
        <w:shd w:val="clear" w:fill="f5f7fa"/>
        <w:spacing w:before="384" w:after="240" w:line="384"/>
        <w:ind w:left="384" w:right="384"/>
        <w:rPr>
          <w:color w:val="000000"/>
        </w:rPr>
      </w:pPr>
      <w:r>
        <w:rPr>
          <w:rFonts w:ascii="SimSun" w:hAnsi="SimSun" w:eastAsia="SimSun" w:cs="SimSun"/>
          <w:i w:val="1"/>
          <w:color w:val="666666"/>
          <w:sz w:val="18"/>
        </w:rPr>
        <w:t>Executive Summary</w:t>
      </w:r>
    </w:p>
    <w:p w14:paraId="7DFBB88F">
      <w:pPr>
        <w:pBdr>
          <w:left w:val="single" w:color="1a73e8" w:sz="24"/>
        </w:pBdr>
        <w:shd w:val="clear" w:fill="f5f7fa"/>
        <w:spacing w:before="384" w:after="192" w:line="384"/>
        <w:ind w:left="384" w:right="384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拾光手办微信小程序按业务性质划分为两个交付单元：展示模块（手办展示相关，免费开发）与付款模块（付款相关，需要付费），另设一个由双方共用、不单独计价的共享层。划分依据是</w:t>
      </w:r>
      <w:r>
        <w:rPr>
          <w:rFonts w:hint="eastAsia" w:ascii="SimSun" w:hAnsi="SimSun" w:eastAsia="SimSun" w:cs="SimSun"/>
          <w:b w:val="1"/>
          <w:color w:val="c62828"/>
          <w:sz w:val="24"/>
        </w:rPr>
        <w:t>是否产生真实资金流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05242B88">
      <w:pPr>
        <w:pBdr>
          <w:left w:val="single" w:color="1a73e8" w:sz="24"/>
        </w:pBdr>
        <w:shd w:val="clear" w:fill="f5f7fa"/>
        <w:spacing w:before="384" w:after="384" w:line="384"/>
        <w:ind w:left="384" w:right="384"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 xml:space="preserve">当前工程规模为 </w:t>
      </w:r>
      <w:r>
        <w:rPr>
          <w:rFonts w:hint="eastAsia" w:ascii="SimSun" w:hAnsi="SimSun" w:eastAsia="SimSun" w:cs="SimSun"/>
          <w:b w:val="1"/>
          <w:color w:val="c62828"/>
          <w:sz w:val="24"/>
        </w:rPr>
        <w:t>26 个业务页面</w:t>
      </w:r>
      <w:r>
        <w:rPr>
          <w:rFonts w:hint="eastAsia" w:ascii="SimSun" w:hAnsi="SimSun" w:eastAsia="SimSun" w:cs="SimSun"/>
          <w:color w:val="000000"/>
          <w:sz w:val="24"/>
        </w:rPr>
        <w:t>、</w:t>
      </w:r>
      <w:r>
        <w:rPr>
          <w:rFonts w:hint="eastAsia" w:ascii="SimSun" w:hAnsi="SimSun" w:eastAsia="SimSun" w:cs="SimSun"/>
          <w:b w:val="1"/>
          <w:color w:val="c62828"/>
          <w:sz w:val="24"/>
        </w:rPr>
        <w:t>11 个云函数</w:t>
      </w:r>
      <w:r>
        <w:rPr>
          <w:rFonts w:hint="eastAsia" w:ascii="SimSun" w:hAnsi="SimSun" w:eastAsia="SimSun" w:cs="SimSun"/>
          <w:color w:val="000000"/>
          <w:sz w:val="24"/>
        </w:rPr>
        <w:t>，全部完成归属登记，无遗漏、无孤立条目。该划分已在代码层落地为模块注册表，并附带一致性校验脚本，确保清单与工程永不脱节。</w:t>
      </w:r>
    </w:p>
    <w:p w14:paraId="12329C30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000000"/>
          <w:sz w:val="36"/>
        </w:rPr>
        <w:t>一、结论</w:t>
      </w:r>
      <w:bookmarkEnd w:id="1"/>
    </w:p>
    <w:p w14:paraId="6CE3F108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拾光手办微信小程序按业务性质划分为两个交付单元：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展示模块</w:t>
      </w:r>
      <w:r>
        <w:rPr>
          <w:rFonts w:hint="eastAsia" w:ascii="SimSun" w:hAnsi="SimSun" w:eastAsia="SimSun" w:cs="SimSun"/>
          <w:color w:val="000000"/>
          <w:sz w:val="24"/>
        </w:rPr>
        <w:t>（手办展示相关，免费开发）与</w:t>
      </w:r>
      <w:r>
        <w:rPr>
          <w:rFonts w:hint="eastAsia" w:ascii="SimSun" w:hAnsi="SimSun" w:eastAsia="SimSun" w:cs="SimSun"/>
          <w:b w:val="1"/>
          <w:color w:val="000000"/>
          <w:sz w:val="24"/>
        </w:rPr>
        <w:t>付款模块</w:t>
      </w:r>
      <w:r>
        <w:rPr>
          <w:rFonts w:hint="eastAsia" w:ascii="SimSun" w:hAnsi="SimSun" w:eastAsia="SimSun" w:cs="SimSun"/>
          <w:color w:val="000000"/>
          <w:sz w:val="24"/>
        </w:rPr>
        <w:t>（付款相关，需要付费），另设一个由双方共用、不单独计价的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共享层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6C587E24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划分依据是「是否产生真实资金流」：凡不涉及收款、退款、定金的展示与浏览能力归入展示模块；凡涉及下单、微信支付、定金与尾款、退款、收货地址等资金与履约环节归入付款模块。定制业务虽以「需求申请」为入口，但其报价、30% 定金与尾款构成完整资金链，故整体归入付款模块，展示模块不保留定制入口。</w:t>
      </w:r>
    </w:p>
    <w:p w14:paraId="780129B3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该划分已在代码层落地为</w:t>
      </w:r>
      <w:r>
        <w:rPr>
          <w:rFonts w:hint="eastAsia" w:ascii="SimSun" w:hAnsi="SimSun" w:eastAsia="SimSun" w:cs="SimSun"/>
          <w:b w:val="1"/>
          <w:color w:val="000000"/>
          <w:sz w:val="24"/>
        </w:rPr>
        <w:t>模块注册表</w:t>
      </w:r>
      <w:r>
        <w:rPr>
          <w:rFonts w:hint="eastAsia" w:ascii="SimSun" w:hAnsi="SimSun" w:eastAsia="SimSun" w:cs="SimSun"/>
          <w:color w:val="000000"/>
          <w:sz w:val="24"/>
        </w:rPr>
        <w:t>（miniprogram/config/modules.js），作为模块边界与开关的唯一真相源，并附带一致性校验脚本，确保清单与工程永不脱节。当前工程规模为 26 个业务页面、11 个云函数，全部完成归属登记，无遗漏、无孤立条目。</w:t>
      </w:r>
    </w:p>
    <w:p w14:paraId="015E0241">
      <w:pPr>
        <w:jc w:val="center"/>
      </w:pPr>
      <w:r>
        <w:rPr>
          <w:rFonts w:hint="eastAsia"/>
          <w:color w:val="888888"/>
          <w:sz w:val="18"/>
        </w:rPr>
        <w:t>表 1-1　交付单元总览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2F5CC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交付单元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27933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96925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云函数数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48CBE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计价口径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78780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共享层（shared）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DCCA8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00ED0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5A05F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随两侧交付，不单独计价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D9C6F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展示模块（display）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F528C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484F5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0FFB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18"/>
              </w:rPr>
              <w:t>免费开发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0F2F6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付款模块（trade）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EC50A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80E6E3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D6791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c62828"/>
                <w:sz w:val="18"/>
              </w:rPr>
              <w:t>需要付费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FDF18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18"/>
              </w:rPr>
              <w:t>合计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D8418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18"/>
              </w:rPr>
              <w:t>26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BD3D8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18"/>
              </w:rPr>
              <w:t>11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48C10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—</w:t>
            </w:r>
          </w:p>
        </w:tc>
      </w:tr>
    </w:tbl>
    <w:p w14:paraId="5663F2F3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000000"/>
          <w:sz w:val="36"/>
        </w:rPr>
        <w:t>二、划分原则</w:t>
      </w:r>
      <w:bookmarkEnd w:id="2"/>
    </w:p>
    <w:p w14:paraId="1AF8C35C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3" w:name="section-2-1"/>
      <w:r>
        <w:rPr>
          <w:rFonts w:hint="eastAsia" w:ascii="SimHei" w:hAnsi="SimHei" w:eastAsia="SimHei" w:cs="SimHei"/>
          <w:b w:val="1"/>
          <w:color w:val="1a73e8"/>
          <w:sz w:val="28"/>
        </w:rPr>
        <w:t>2.1 以资金流为界</w:t>
      </w:r>
      <w:bookmarkEnd w:id="3"/>
    </w:p>
    <w:p w14:paraId="70383404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模块归属不看页面名称，看该页面承载的主业务是否触碰资金。作品详情页含「加入购物车」「立即购买」按钮，但页面主体是作品展示，故归展示模块；其购买按钮属交易动作，随付款模块开关整体显隐。同理，「我的」页面同时挂着收藏、浏览记录（展示）与订单、收货地址（付款）两侧入口，因属用户中心骨架而归共享层。</w:t>
      </w:r>
    </w:p>
    <w:p w14:paraId="5CBB847D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4" w:name="section-2-2"/>
      <w:r>
        <w:rPr>
          <w:rFonts w:hint="eastAsia" w:ascii="SimHei" w:hAnsi="SimHei" w:eastAsia="SimHei" w:cs="SimHei"/>
          <w:b w:val="1"/>
          <w:color w:val="1a73e8"/>
          <w:sz w:val="28"/>
        </w:rPr>
        <w:t>2.2 定制业务整体归付款模块</w:t>
      </w:r>
      <w:bookmarkEnd w:id="4"/>
    </w:p>
    <w:p w14:paraId="529CC2DA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定制业务的完整链路为：提交需求 → 商家报价 → 支付定金（预算 30%）→ 制作排期 → 支付尾款 → 完成发货。其中报价确认、定金与尾款三处直接调用支付能力，是不折不扣的资金环节。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73e8" w:sz="18"/>
              <w:bottom w:val="none" w:sz="8"/>
              <w:right w:val="none" w:sz="8"/>
            </w:tcBorders>
            <w:shd w:val="clear" w:fill="f5f7fa"/>
            <w:vAlign w:val="center"/>
          </w:tcPr>
          <w:p w14:paraId="1CB8E53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4"/>
              </w:rPr>
              <w:t>若把「申请表单」留在免费侧、把「定金支付」划到付费侧，会造成同一业务流程被拆进两个交付单元、接口互相依赖，反而增加集成成本。因此定制申请、定制单列表、定制单详情三个页面连同 custom 云函数整体划入付款模块。</w:t>
            </w:r>
          </w:p>
        </w:tc>
      </w:tr>
    </w:tbl>
    <w:p w14:paraId="159F0263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5" w:name="section-2-3"/>
      <w:r>
        <w:rPr>
          <w:rFonts w:hint="eastAsia" w:ascii="SimHei" w:hAnsi="SimHei" w:eastAsia="SimHei" w:cs="SimHei"/>
          <w:b w:val="1"/>
          <w:color w:val="1a73e8"/>
          <w:sz w:val="28"/>
        </w:rPr>
        <w:t>2.3 单一真相源</w:t>
      </w:r>
      <w:bookmarkEnd w:id="5"/>
    </w:p>
    <w:p w14:paraId="24D6733C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模块归属、文件清单、开关状态集中登记在 miniprogram/config/modules.js，页面代码不各自维护归属信息。miniprogram/config/constants.js 中的 SHOW_TRADE 由该注册表的 MODULE_SWITCH.trade 派生而来，两者不会出现不一致。</w:t>
      </w:r>
    </w:p>
    <w:p w14:paraId="306C809C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新增页面或云函数时必须在注册表登记归属，否则校验脚本会报错，从机制上防止模块边界随迭代漂移。</w:t>
      </w:r>
    </w:p>
    <w:p w14:paraId="04E380E6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6" w:name="section-3"/>
      <w:r>
        <w:rPr>
          <w:rFonts w:hint="eastAsia" w:ascii="SimHei" w:hAnsi="SimHei" w:eastAsia="SimHei" w:cs="SimHei"/>
          <w:b w:val="1"/>
          <w:color w:val="000000"/>
          <w:sz w:val="36"/>
        </w:rPr>
        <w:t>三、总体结构</w:t>
      </w:r>
      <w:bookmarkEnd w:id="6"/>
    </w:p>
    <w:p w14:paraId="42E39B69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小程序在单个工程内完成解耦，采用「共享骨架 + 两个业务模块」的三层结构。共享层是两边共用的小程序骨架与基础设施；展示模块与付款模块是两个可独立开发、独立交付、独立验收的业务单元。</w:t>
      </w:r>
    </w:p>
    <w:p w14:paraId="1E481AC6">
      <w:pPr>
        <w:jc w:val="center"/>
      </w:pPr>
      <w:r>
        <w:rPr>
          <w:rFonts w:hint="eastAsia"/>
          <w:color w:val="888888"/>
          <w:sz w:val="18"/>
        </w:rPr>
        <w:t>表 3-1　三层结构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FC884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层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91D24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模块键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5809D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承载内容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5EB65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是否可独立上线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2FD4F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共享层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6E577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shared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83606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用户中心骨架、隐私合规页、登录鉴权、后台容器、通用组件与工具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9369F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否，随两侧交付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F2E85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展示模块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ED90C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display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34930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作品浏览、品牌介绍、编号防伪、海报分享、收藏与浏览历史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12C3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18"/>
              </w:rPr>
              <w:t>是，关闭付款开关即为纯展示小程序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B2E5A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付款模块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335D5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trade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95767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购物车、下单、微信支付、订单、售后退款、收货地址、定制交易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B8051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否，需依附共享层</w:t>
            </w:r>
          </w:p>
        </w:tc>
      </w:tr>
    </w:tbl>
    <w:p w14:paraId="1C01550D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7" w:name="section-4"/>
      <w:r>
        <w:rPr>
          <w:rFonts w:hint="eastAsia" w:ascii="SimHei" w:hAnsi="SimHei" w:eastAsia="SimHei" w:cs="SimHei"/>
          <w:b w:val="1"/>
          <w:color w:val="000000"/>
          <w:sz w:val="36"/>
        </w:rPr>
        <w:t>四、展示模块交付清单（免费开发）</w:t>
      </w:r>
      <w:bookmarkEnd w:id="7"/>
    </w:p>
    <w:p w14:paraId="61F7381C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展示模块面向买家的「看」这一动作：浏览作品、了解品牌、验证编号、分享海报、收藏与回看，全程不产生任何支付行为。买家端九个页面，商家后台两个页面，云函数三个。</w:t>
      </w:r>
    </w:p>
    <w:p w14:paraId="1F158737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8" w:name="section-4-1"/>
      <w:r>
        <w:rPr>
          <w:rFonts w:hint="eastAsia" w:ascii="SimHei" w:hAnsi="SimHei" w:eastAsia="SimHei" w:cs="SimHei"/>
          <w:b w:val="1"/>
          <w:color w:val="1a73e8"/>
          <w:sz w:val="28"/>
        </w:rPr>
        <w:t>4.1 买家端页面</w:t>
      </w:r>
      <w:bookmarkEnd w:id="8"/>
    </w:p>
    <w:p w14:paraId="7382D72F">
      <w:pPr>
        <w:jc w:val="center"/>
      </w:pPr>
      <w:r>
        <w:rPr>
          <w:rFonts w:hint="eastAsia"/>
          <w:color w:val="888888"/>
          <w:sz w:val="18"/>
        </w:rPr>
        <w:t>表 4-1　展示模块买家端页面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6366E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序号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DBC63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页面路径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13154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页面名称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7831C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功能要点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1D81B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65B6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pages/index/index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73B1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首页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5F51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轮播运营位、限量发售专区、新品推荐、搜索入口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01591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4A8D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pages/category/category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AA3E3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全部作品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0F46B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系列、题材、比例、价格区间多维筛选，关键词搜索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2FF4F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A5ED3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pages/detail/detail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5A721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作品详情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A73C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主图画廊、规格选择、图文详情、相关推荐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02C3C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6CD1A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pages/panorama/panorama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E7CE1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多角度全景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7820B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作品多角度环绕查看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1CB6F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F4903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pages/poster/poster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23BF5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分享海报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14756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作品图 + 名称 + 参考价 + 小程序码，保存至相册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1011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9F0389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pages/verify/verify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485BB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编号查询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02B27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编号格式校验 + 云端登记库比对防伪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2345B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111ED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pages/about/about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C9ECB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品牌介绍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383F9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工作室背景、手作工艺说明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1F9F9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91F62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pages/favorite/favorite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7589E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收藏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48D05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已收藏作品列表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2C62D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9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01ABA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pages/history/history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4DBCA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浏览历史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0EF89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最近浏览记录</w:t>
            </w:r>
          </w:p>
        </w:tc>
      </w:tr>
    </w:tbl>
    <w:p w14:paraId="767FA984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9" w:name="section-4-2"/>
      <w:r>
        <w:rPr>
          <w:rFonts w:hint="eastAsia" w:ascii="SimHei" w:hAnsi="SimHei" w:eastAsia="SimHei" w:cs="SimHei"/>
          <w:b w:val="1"/>
          <w:color w:val="1a73e8"/>
          <w:sz w:val="28"/>
        </w:rPr>
        <w:t>4.2 商家后台页面</w:t>
      </w:r>
      <w:bookmarkEnd w:id="9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5F49B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序号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2E3C9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页面路径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F110E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功能要点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D8EA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82E4F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pages/admin/product/product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E671F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商品列表、批量上下架、批量改价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06A23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5D735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pages/admin/product-edit/product-edit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5A9AD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商品新增与编辑</w:t>
            </w:r>
          </w:p>
        </w:tc>
      </w:tr>
    </w:tbl>
    <w:p w14:paraId="3DBA1DC8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0" w:name="section-4-3"/>
      <w:r>
        <w:rPr>
          <w:rFonts w:hint="eastAsia" w:ascii="SimHei" w:hAnsi="SimHei" w:eastAsia="SimHei" w:cs="SimHei"/>
          <w:b w:val="1"/>
          <w:color w:val="1a73e8"/>
          <w:sz w:val="28"/>
        </w:rPr>
        <w:t>4.3 云函数</w:t>
      </w:r>
      <w:bookmarkEnd w:id="10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D8C1D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云函数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BCB45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职责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ED36A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关键动作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3EA4A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product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376C1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商品数据与内容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FC71B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首页聚合、列表筛选、详情、批量摘要、生成小程序码、编号比对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13614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security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AA3CD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内容安全检测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49FBE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文本与图片违规检测（UGC 合规）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3CF4B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favorite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EF5A8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收藏关系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DCE5E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收藏、取消收藏、收藏列表</w:t>
            </w:r>
          </w:p>
        </w:tc>
      </w:tr>
    </w:tbl>
    <w:p w14:paraId="7931E4A7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1" w:name="section-4-4"/>
      <w:r>
        <w:rPr>
          <w:rFonts w:hint="eastAsia" w:ascii="SimHei" w:hAnsi="SimHei" w:eastAsia="SimHei" w:cs="SimHei"/>
          <w:b w:val="1"/>
          <w:color w:val="1a73e8"/>
          <w:sz w:val="28"/>
        </w:rPr>
        <w:t>4.4 交付要点</w:t>
      </w:r>
      <w:bookmarkEnd w:id="1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73e8" w:sz="18"/>
              <w:bottom w:val="none" w:sz="8"/>
              <w:right w:val="none" w:sz="8"/>
            </w:tcBorders>
            <w:shd w:val="clear" w:fill="f5f7fa"/>
            <w:vAlign w:val="center"/>
          </w:tcPr>
          <w:p w14:paraId="4167600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4"/>
              </w:rPr>
              <w:t>作品详情页的「加入购物车」「立即购买」「去定制」按钮属交易动作，由付款模块开关控制显隐，页面本身归展示模块交付。</w:t>
            </w:r>
          </w:p>
        </w:tc>
      </w:tr>
    </w:tbl>
    <w:p w14:paraId="4A02F93F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编号查询同时提供本地格式校验（即时反馈）与云端登记库比对；未登记编号明确标注「格式正确·未登记」，不冒充真品。</w:t>
      </w:r>
    </w:p>
    <w:p w14:paraId="135EAFB8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分享海报优先取真实小程序码，未发布或调用失败时自动回退占位图案，不影响海报生成。</w:t>
      </w:r>
    </w:p>
    <w:p w14:paraId="11915632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12" w:name="section-5"/>
      <w:r>
        <w:rPr>
          <w:rFonts w:hint="eastAsia" w:ascii="SimHei" w:hAnsi="SimHei" w:eastAsia="SimHei" w:cs="SimHei"/>
          <w:b w:val="1"/>
          <w:color w:val="000000"/>
          <w:sz w:val="36"/>
        </w:rPr>
        <w:t>五、付款模块交付清单（需要付费）</w:t>
      </w:r>
      <w:bookmarkEnd w:id="12"/>
    </w:p>
    <w:p w14:paraId="015866C6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付款模块面向买家的「买」这一动作，并覆盖商家侧的履约与资金处理。买家端九个页面，商家后台三个页面，云函数五个，另含一项交易专用工具。该模块涉及真实资金流，需商户号资质与云开发环境方可真正启用。</w:t>
      </w:r>
    </w:p>
    <w:p w14:paraId="376317BD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3" w:name="section-5-1"/>
      <w:r>
        <w:rPr>
          <w:rFonts w:hint="eastAsia" w:ascii="SimHei" w:hAnsi="SimHei" w:eastAsia="SimHei" w:cs="SimHei"/>
          <w:b w:val="1"/>
          <w:color w:val="1a73e8"/>
          <w:sz w:val="28"/>
        </w:rPr>
        <w:t>5.1 买家端页面</w:t>
      </w:r>
      <w:bookmarkEnd w:id="13"/>
    </w:p>
    <w:p w14:paraId="12CDD6B5">
      <w:pPr>
        <w:jc w:val="center"/>
      </w:pPr>
      <w:r>
        <w:rPr>
          <w:rFonts w:hint="eastAsia"/>
          <w:color w:val="888888"/>
          <w:sz w:val="18"/>
        </w:rPr>
        <w:t>表 5-1　付款模块买家端页面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EE38F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序号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30C48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页面路径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48618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页面名称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9F898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功能要点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BF15A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01885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pages/cart/cart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6C525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购物车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73C33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本地购物车，结算时服务端重算校验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B72F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CFB69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pages/order-confirm/order-confirm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9C376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下单确认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5876C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收货地址、运费与包邮门槛、定制定金、订单备注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7CD8C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DD5A9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pages/order-list/order-list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2C2CB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我的订单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90CA0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按订单状态分页查询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77480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AD05C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pages/order-detail/order-detail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A394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订单详情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49941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去支付、取消、确认收货、申请售后、物流轨迹时间线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15E61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1FADB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pages/address/address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CF41D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收货地址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A632C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地址列表与默认地址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1A4C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7438F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pages/address-edit/address-edit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25351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地址编辑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C88D8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新增与修改收货地址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EC298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2A374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pages/custom-apply/custom-apply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90A64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定制申请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CACA3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题材、比例、风格、特殊要求、参考图、预算与定金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EA480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BF73A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pages/custom-list/custom-list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36D33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我的定制单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98D4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定制单状态列表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9C0D4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9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2C179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pages/custom-detail/custom-detail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943E0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定制单详情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EC08A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最终报价、支付定金、支付尾款、制作排期</w:t>
            </w:r>
          </w:p>
        </w:tc>
      </w:tr>
    </w:tbl>
    <w:p w14:paraId="4BFC79CB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4" w:name="section-5-2"/>
      <w:r>
        <w:rPr>
          <w:rFonts w:hint="eastAsia" w:ascii="SimHei" w:hAnsi="SimHei" w:eastAsia="SimHei" w:cs="SimHei"/>
          <w:b w:val="1"/>
          <w:color w:val="1a73e8"/>
          <w:sz w:val="28"/>
        </w:rPr>
        <w:t>5.2 商家后台页面</w:t>
      </w:r>
      <w:bookmarkEnd w:id="14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11994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序号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C974C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页面路径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82F0D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功能要点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63635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D9B28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pages/admin/order/order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140E6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订单管理、录入发货、售后裁决（同意退款／拒绝）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376C2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D8F753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pages/admin/custom/custom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1390B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定制管理、报价、排期、完成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B3D7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3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672B6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pages/admin/dashboard/dashboard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79784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数据看板、近七日销售趋势、热销榜</w:t>
            </w:r>
          </w:p>
        </w:tc>
      </w:tr>
    </w:tbl>
    <w:p w14:paraId="4C1C093C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5" w:name="section-5-3"/>
      <w:r>
        <w:rPr>
          <w:rFonts w:hint="eastAsia" w:ascii="SimHei" w:hAnsi="SimHei" w:eastAsia="SimHei" w:cs="SimHei"/>
          <w:b w:val="1"/>
          <w:color w:val="1a73e8"/>
          <w:sz w:val="28"/>
        </w:rPr>
        <w:t>5.3 云函数</w:t>
      </w:r>
      <w:bookmarkEnd w:id="15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FAF07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云函数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0241A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职责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CBEDA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关键动作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02409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order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496C9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订单生命周期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F786D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创建、取消、确认收货、申请售后、撤销售后、物流轨迹查询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58A63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pay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86455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支付能力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CB1AA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统一下单、支付结果回调、支付成功通知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33846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address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48A3B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收货地址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01DB0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地址增删改查、默认地址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10829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custom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48BC7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定制业务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F0805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提交需求、列表、详情、取消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2664C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18"/>
              </w:rPr>
              <w:t>stats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F186B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经营统计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D8AFE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概览、销售趋势、热销榜</w:t>
            </w:r>
          </w:p>
        </w:tc>
      </w:tr>
    </w:tbl>
    <w:p w14:paraId="65CB7811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6" w:name="section-5-4"/>
      <w:r>
        <w:rPr>
          <w:rFonts w:hint="eastAsia" w:ascii="SimHei" w:hAnsi="SimHei" w:eastAsia="SimHei" w:cs="SimHei"/>
          <w:b w:val="1"/>
          <w:color w:val="1a73e8"/>
          <w:sz w:val="28"/>
        </w:rPr>
        <w:t>5.4 交易专用工具</w:t>
      </w:r>
      <w:bookmarkEnd w:id="16"/>
    </w:p>
    <w:p w14:paraId="303B9D2B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miniprogram/utils/subscribe.js 负责一次性订阅消息征订（支付成功、发货、售后结果三类通知），模板未申请时优雅跳过，不阻塞下单。</w:t>
      </w:r>
    </w:p>
    <w:p w14:paraId="403C25B7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17" w:name="section-5-5"/>
      <w:r>
        <w:rPr>
          <w:rFonts w:hint="eastAsia" w:ascii="SimHei" w:hAnsi="SimHei" w:eastAsia="SimHei" w:cs="SimHei"/>
          <w:b w:val="1"/>
          <w:color w:val="1a73e8"/>
          <w:sz w:val="28"/>
        </w:rPr>
        <w:t>5.5 交付要点</w:t>
      </w:r>
      <w:bookmarkEnd w:id="17"/>
    </w:p>
    <w:p w14:paraId="146378BE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退款归属商家后台云函数。</w:t>
      </w:r>
      <w:r>
        <w:rPr>
          <w:rFonts w:hint="eastAsia" w:ascii="SimSun" w:hAnsi="SimSun" w:eastAsia="SimSun" w:cs="SimSun"/>
          <w:color w:val="000000"/>
          <w:sz w:val="24"/>
        </w:rPr>
        <w:t>因云开发云函数之间互相调用时不透传用户身份，支付云函数无法二次校验操作者，故退款统一在具备双因子鉴权的后台云函数内执行，确保资金操作可追溯。</w:t>
      </w:r>
    </w:p>
    <w:p w14:paraId="6F4F78AE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金额一律以「分」为单位整数存储</w:t>
      </w:r>
      <w:r>
        <w:rPr>
          <w:rFonts w:hint="eastAsia" w:ascii="SimSun" w:hAnsi="SimSun" w:eastAsia="SimSun" w:cs="SimSun"/>
          <w:color w:val="000000"/>
          <w:sz w:val="24"/>
        </w:rPr>
        <w:t>，展示时换算为元，避免浮点误差。</w:t>
      </w:r>
    </w:p>
    <w:p w14:paraId="3FA34FEB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售后状态与订单主状态解耦。</w:t>
      </w:r>
      <w:r>
        <w:rPr>
          <w:rFonts w:hint="eastAsia" w:ascii="SimSun" w:hAnsi="SimSun" w:eastAsia="SimSun" w:cs="SimSun"/>
          <w:color w:val="000000"/>
          <w:sz w:val="24"/>
        </w:rPr>
        <w:t>订单主状态标记「进入售后」，售后推进到哪一步由独立子状态刻画。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73e8" w:sz="18"/>
              <w:bottom w:val="none" w:sz="8"/>
              <w:right w:val="none" w:sz="8"/>
            </w:tcBorders>
            <w:shd w:val="clear" w:fill="f5f7fa"/>
            <w:vAlign w:val="center"/>
          </w:tcPr>
          <w:p w14:paraId="0B5B0AA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4"/>
              </w:rPr>
              <w:t>定制三个业务要点已内置处理：</w:t>
            </w:r>
            <w:r>
              <w:rPr>
                <w:rFonts w:hint="eastAsia" w:ascii="SimSun" w:hAnsi="SimSun" w:eastAsia="SimSun" w:cs="SimSun"/>
                <w:color w:val="000000"/>
                <w:sz w:val="24"/>
              </w:rPr>
              <w:t>定金性质在页面明示并在支付前二次确认；限量编号与库存强绑定并写入订单商品快照；定制单支持「报价未定」状态，尾款入口按状态显隐。</w:t>
            </w:r>
          </w:p>
        </w:tc>
      </w:tr>
    </w:tbl>
    <w:p w14:paraId="2B6AB981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18" w:name="section-6"/>
      <w:r>
        <w:rPr>
          <w:rFonts w:hint="eastAsia" w:ascii="SimHei" w:hAnsi="SimHei" w:eastAsia="SimHei" w:cs="SimHei"/>
          <w:b w:val="1"/>
          <w:color w:val="000000"/>
          <w:sz w:val="36"/>
        </w:rPr>
        <w:t>六、共享层清单（不单独计价）</w:t>
      </w:r>
      <w:bookmarkEnd w:id="18"/>
    </w:p>
    <w:p w14:paraId="7A906D6F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共享层是两边共用的小程序骨架与基础设施，随两侧一并交付，不作为独立计价单元。其存在保证任一业务模块可脱离另一模块正常运行。</w:t>
      </w:r>
    </w:p>
    <w:p w14:paraId="6F022D30">
      <w:pPr>
        <w:jc w:val="center"/>
      </w:pPr>
      <w:r>
        <w:rPr>
          <w:rFonts w:hint="eastAsia"/>
          <w:color w:val="888888"/>
          <w:sz w:val="18"/>
        </w:rPr>
        <w:t>表 6-1　共享层清单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23ED7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类别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7B490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5B128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页面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69B89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pages/user/user（用户中心骨架，承载两侧入口）、pages/privacy/privacy（隐私政策与用户协议）、pages/admin/login/login（后台登录）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B054A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云函数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35E36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login（登录鉴权）、admin（后台容器）、initdb（数据初始化）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D23F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应用骨架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59B1A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app.js、app.json、app.wxss、sitemap.json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E6F13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通用组件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061FD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商品卡片、加载骨架屏、隐私弹窗等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9E073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通用工具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8201F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云调用封装、轻提示、格式化、分享、图片缩略、后台鉴权</w:t>
            </w:r>
          </w:p>
        </w:tc>
      </w:tr>
    </w:tbl>
    <w:p w14:paraId="6B5CDAB6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19" w:name="section-7"/>
      <w:r>
        <w:rPr>
          <w:rFonts w:hint="eastAsia" w:ascii="SimHei" w:hAnsi="SimHei" w:eastAsia="SimHei" w:cs="SimHei"/>
          <w:b w:val="1"/>
          <w:color w:val="000000"/>
          <w:sz w:val="36"/>
        </w:rPr>
        <w:t>七、边界与解耦机制</w:t>
      </w:r>
      <w:bookmarkEnd w:id="19"/>
    </w:p>
    <w:p w14:paraId="1B49E224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0" w:name="section-7-1"/>
      <w:r>
        <w:rPr>
          <w:rFonts w:hint="eastAsia" w:ascii="SimHei" w:hAnsi="SimHei" w:eastAsia="SimHei" w:cs="SimHei"/>
          <w:b w:val="1"/>
          <w:color w:val="1a73e8"/>
          <w:sz w:val="28"/>
        </w:rPr>
        <w:t>7.1 开关控制</w:t>
      </w:r>
      <w:bookmarkEnd w:id="20"/>
    </w:p>
    <w:p w14:paraId="2002087B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付款模块由 config/modules.js 的 MODULE_SWITCH.trade 统一控制。开关关闭后小程序退化为纯展示应用。</w:t>
      </w:r>
    </w:p>
    <w:p w14:paraId="294D5FA9">
      <w:pPr>
        <w:jc w:val="center"/>
      </w:pPr>
      <w:r>
        <w:rPr>
          <w:rFonts w:hint="eastAsia"/>
          <w:color w:val="888888"/>
          <w:sz w:val="18"/>
        </w:rPr>
        <w:t>表 7-1　开关状态对比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A9FC6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状态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06F63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tabBar 项数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9E0D5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详情页表现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4F31F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交易入口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6A2A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trade 开启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6AA00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4 项（首页／全部作品／购物车／我的）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B04AB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显示规格数量与购买按钮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58FA9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全部可见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F5E92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trade 关闭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A6A57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3 项（去掉购物车）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0E2EC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仅保留「微信咨询」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5F3F7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全部隐藏</w:t>
            </w:r>
          </w:p>
        </w:tc>
      </w:tr>
    </w:tbl>
    <w:p w14:paraId="5D35E7AE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1" w:name="section-7-2"/>
      <w:r>
        <w:rPr>
          <w:rFonts w:hint="eastAsia" w:ascii="SimHei" w:hAnsi="SimHei" w:eastAsia="SimHei" w:cs="SimHei"/>
          <w:b w:val="1"/>
          <w:color w:val="1a73e8"/>
          <w:sz w:val="28"/>
        </w:rPr>
        <w:t>7.2 入口门控点</w:t>
      </w:r>
      <w:bookmarkEnd w:id="21"/>
    </w:p>
    <w:p w14:paraId="14021D0B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展示侧进入付款侧共三个入口，均已受开关控制。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4B4A1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所在页面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94A16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门控内容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F9A8A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首页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D84B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定制入口卡片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269B5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用户中心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90335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订单、定制、收货地址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70D03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作品详情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F0D18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规格数量、加入购物车、立即购买、去定制</w:t>
            </w:r>
          </w:p>
        </w:tc>
      </w:tr>
    </w:tbl>
    <w:p w14:paraId="1DDB091B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2" w:name="section-7-3"/>
      <w:r>
        <w:rPr>
          <w:rFonts w:hint="eastAsia" w:ascii="SimHei" w:hAnsi="SimHei" w:eastAsia="SimHei" w:cs="SimHei"/>
          <w:b w:val="1"/>
          <w:color w:val="1a73e8"/>
          <w:sz w:val="28"/>
        </w:rPr>
        <w:t>7.3 一致性校验</w:t>
      </w:r>
      <w:bookmarkEnd w:id="22"/>
    </w:p>
    <w:p w14:paraId="56279D4C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scripts/check-modules.js 对模块清单与工程实际做双向对账，检查项包括：页面归属登记完整性、清单与 app.json 双向一致、页面四件套文件存在性、云函数目录存在性、工具文件存在性。校验不通过即退出报错，可纳入交付前的固定检查流程。</w:t>
      </w:r>
    </w:p>
    <w:p w14:paraId="6406EEA5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23" w:name="section-8"/>
      <w:r>
        <w:rPr>
          <w:rFonts w:hint="eastAsia" w:ascii="SimHei" w:hAnsi="SimHei" w:eastAsia="SimHei" w:cs="SimHei"/>
          <w:b w:val="1"/>
          <w:color w:val="000000"/>
          <w:sz w:val="36"/>
        </w:rPr>
        <w:t>八、交付与验收标准</w:t>
      </w:r>
      <w:bookmarkEnd w:id="23"/>
    </w:p>
    <w:p w14:paraId="227C9708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4" w:name="section-8-1"/>
      <w:r>
        <w:rPr>
          <w:rFonts w:hint="eastAsia" w:ascii="SimHei" w:hAnsi="SimHei" w:eastAsia="SimHei" w:cs="SimHei"/>
          <w:b w:val="1"/>
          <w:color w:val="1a73e8"/>
          <w:sz w:val="28"/>
        </w:rPr>
        <w:t>8.1 展示模块验收（免费交付范围）</w:t>
      </w:r>
      <w:bookmarkEnd w:id="24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5B4E8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验收项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0228F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标准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82291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独立可用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2EC24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关闭付款开关后，全部展示页正常浏览，无跳转断链、无脚本报错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7C3B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内容完整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FAC10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九个买家端页面与两个后台页面功能可用，筛选、搜索、详情、分享均正常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6BC1B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合规就绪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26C44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隐私政策与用户协议可读、首次启动弹窗确认、UGC 内容安全检测接入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BF3CC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自检通过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6DA21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模块划分、结构、接口三项校验脚本全部通过</w:t>
            </w:r>
          </w:p>
        </w:tc>
      </w:tr>
    </w:tbl>
    <w:p w14:paraId="3F1B8375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5" w:name="section-8-2"/>
      <w:r>
        <w:rPr>
          <w:rFonts w:hint="eastAsia" w:ascii="SimHei" w:hAnsi="SimHei" w:eastAsia="SimHei" w:cs="SimHei"/>
          <w:b w:val="1"/>
          <w:color w:val="1a73e8"/>
          <w:sz w:val="28"/>
        </w:rPr>
        <w:t>8.2 付款模块验收（付费交付范围）</w:t>
      </w:r>
      <w:bookmarkEnd w:id="25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7B4BB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验收项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024BE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标准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825B6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交易闭环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0E5E6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加购 → 下单 → 支付 → 发货 → 收货 → 完成全链路可走通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8646F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资金安全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83C4B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下单前服务端重算金额、支付回调幂等、退款金额不超实付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024D1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售后完整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CE43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申请售后、商家裁决、退款到账、撤销售后状态流转正确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B7BCD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定制完整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9EC0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申请、报价、定金、排期、尾款、完成全链路可走通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39348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通知可达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624ED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支付成功、发货、售后结果三类订阅消息在模板配置后可下发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DDD74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自检通过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7CC6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三项校验脚本全部通过，新增动作均已注册</w:t>
            </w:r>
          </w:p>
        </w:tc>
      </w:tr>
    </w:tbl>
    <w:p w14:paraId="2469261A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26" w:name="section-9"/>
      <w:r>
        <w:rPr>
          <w:rFonts w:hint="eastAsia" w:ascii="SimHei" w:hAnsi="SimHei" w:eastAsia="SimHei" w:cs="SimHei"/>
          <w:b w:val="1"/>
          <w:color w:val="000000"/>
          <w:sz w:val="36"/>
        </w:rPr>
        <w:t>九、风险与外部依赖</w:t>
      </w:r>
      <w:bookmarkEnd w:id="26"/>
    </w:p>
    <w:p w14:paraId="32C96407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7" w:name="section-9-1"/>
      <w:r>
        <w:rPr>
          <w:rFonts w:hint="eastAsia" w:ascii="SimHei" w:hAnsi="SimHei" w:eastAsia="SimHei" w:cs="SimHei"/>
          <w:b w:val="1"/>
          <w:color w:val="1a73e8"/>
          <w:sz w:val="28"/>
        </w:rPr>
        <w:t>9.1 资质与合规风险</w:t>
      </w:r>
      <w:bookmarkEnd w:id="27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349D8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风险点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B3C9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说明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825A9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03BA2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支付资质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7CB0C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微信支付需营业执照与商户号，个体或企业主体方可申请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30051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先以纯展示形态上线，资质就绪后再开启付款模块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B00E8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隐私合规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03DF6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收集手机号、地址、参考图等个人信息，须有明示同意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46D1C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隐私政策与用户协议已内置，条款变更时递增版本号强制重看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F715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内容合规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E91BF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用户提交的定制需求属 UGC，须做违规检测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5BCD6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已接入文本与图片检测，接口不可用时放行并记录日志</w:t>
            </w:r>
          </w:p>
        </w:tc>
      </w:tr>
    </w:tbl>
    <w:p w14:paraId="04495C56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8" w:name="section-9-2"/>
      <w:r>
        <w:rPr>
          <w:rFonts w:hint="eastAsia" w:ascii="SimHei" w:hAnsi="SimHei" w:eastAsia="SimHei" w:cs="SimHei"/>
          <w:b w:val="1"/>
          <w:color w:val="1a73e8"/>
          <w:sz w:val="28"/>
        </w:rPr>
        <w:t>9.2 外部依赖风险</w:t>
      </w:r>
      <w:bookmarkEnd w:id="28"/>
    </w:p>
    <w:p w14:paraId="13C93A7E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下列能力均已写全代码路径，采用统一的「配置门控 + 优雅降级」策略：配置到位即自动生效，未配置不弹错、不阻塞业务。因此付款模块可先行交付代码，外部资源就绪后逐项点亮。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CD83C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依赖项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E913C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用途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2ED27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未配置时表现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6F6AF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支付商户号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F019A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发起真实支付与退款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39FD0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走演示数据，不发起真实扣款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34D49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订阅消息模板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DBF7A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支付、发货、售后通知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7AC75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静默跳过，不弹订阅框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6908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快递查询服务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6CB04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物流轨迹时间线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78C6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降级为「复制单号自行查询」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0E08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小程序正式发布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291B8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真实小程序码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1CB33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回退为占位图案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5C732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编号登记库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2BFCE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防伪比对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54DC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仅做格式校验并标注未登记</w:t>
            </w:r>
          </w:p>
        </w:tc>
      </w:tr>
    </w:tbl>
    <w:p w14:paraId="66155EB6">
      <w:pPr>
        <w:pStyle w:val="000006"/>
        <w:keepNext w:val="1"/>
        <w:keepLines w:val="1"/>
        <w:spacing w:before="240" w:beforeAutospacing="1" w:after="192" w:afterAutospacing="1" w:line="384"/>
        <w:outlineLvl w:val="1"/>
        <w:rPr>
          <w:color w:val="1a73e8"/>
          <w:sz w:val="32"/>
          <w:szCs w:val="32"/>
        </w:rPr>
      </w:pPr>
      <w:bookmarkStart w:id="29" w:name="section-9-3"/>
      <w:r>
        <w:rPr>
          <w:rFonts w:hint="eastAsia" w:ascii="SimHei" w:hAnsi="SimHei" w:eastAsia="SimHei" w:cs="SimHei"/>
          <w:b w:val="1"/>
          <w:color w:val="1a73e8"/>
          <w:sz w:val="28"/>
        </w:rPr>
        <w:t>9.3 技术耦合风险</w:t>
      </w:r>
      <w:bookmarkEnd w:id="29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EF00E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风险点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0E762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说明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2E246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18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4AF9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模块边界漂移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BC951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迭代中新增页面未登记归属，边界逐渐模糊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02B23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强制登记 + 校验脚本卡点，未登记即报错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8292C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双真相源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746BD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开关散落多处导致不一致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6738F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开关收口至注册表，其余处只做派生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26FD7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跨模块跳转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DAAE9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展示侧直接跳入付款侧页面造成断链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28FC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18"/>
              </w:rPr>
              <w:t>三处入口统一门控，断链由自检脚本捕获</w:t>
            </w:r>
          </w:p>
        </w:tc>
      </w:tr>
    </w:tbl>
    <w:p w14:paraId="2A297C40">
      <w:pPr>
        <w:pStyle w:val="000005"/>
        <w:keepNext w:val="1"/>
        <w:keepLines w:val="1"/>
        <w:pBdr>
          <w:bottom w:val="single" w:color="1a73e8" w:sz="12" w:space="3"/>
        </w:pBdr>
        <w:spacing w:before="384" w:beforeAutospacing="1" w:after="192" w:afterAutospacing="1" w:line="384"/>
        <w:outlineLvl w:val="0"/>
        <w:rPr>
          <w:color w:val="000000"/>
          <w:kern w:val="44"/>
          <w:sz w:val="44"/>
          <w:szCs w:val="44"/>
        </w:rPr>
      </w:pPr>
      <w:bookmarkStart w:id="30" w:name="section-10"/>
      <w:r>
        <w:rPr>
          <w:rFonts w:hint="eastAsia" w:ascii="SimHei" w:hAnsi="SimHei" w:eastAsia="SimHei" w:cs="SimHei"/>
          <w:b w:val="1"/>
          <w:color w:val="000000"/>
          <w:sz w:val="36"/>
        </w:rPr>
        <w:t>十、实施建议</w:t>
      </w:r>
      <w:bookmarkEnd w:id="30"/>
    </w:p>
    <w:p w14:paraId="77B1FC0B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先交付展示模块。</w:t>
      </w:r>
      <w:r>
        <w:rPr>
          <w:rFonts w:hint="eastAsia" w:ascii="SimSun" w:hAnsi="SimSun" w:eastAsia="SimSun" w:cs="SimSun"/>
          <w:color w:val="000000"/>
          <w:sz w:val="24"/>
        </w:rPr>
        <w:t>以纯展示形态完成开发与上线准备，快速验证内容与用户体验，此部分不产生开发费用。</w:t>
      </w:r>
    </w:p>
    <w:p w14:paraId="31CCEE6A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付款模块按需启动。</w:t>
      </w:r>
      <w:r>
        <w:rPr>
          <w:rFonts w:hint="eastAsia" w:ascii="SimSun" w:hAnsi="SimSun" w:eastAsia="SimSun" w:cs="SimSun"/>
          <w:color w:val="000000"/>
          <w:sz w:val="24"/>
        </w:rPr>
        <w:t>待商户号资质与云开发环境就绪后，再启动付款模块开发与联调，降低前期投入与资质闲置风险。</w:t>
      </w:r>
    </w:p>
    <w:p w14:paraId="3EFBA158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外部资源并行准备。</w:t>
      </w:r>
      <w:r>
        <w:rPr>
          <w:rFonts w:hint="eastAsia" w:ascii="SimSun" w:hAnsi="SimSun" w:eastAsia="SimSun" w:cs="SimSun"/>
          <w:color w:val="000000"/>
          <w:sz w:val="24"/>
        </w:rPr>
        <w:t>支付商户号、订阅消息模板、快递查询服务的申请周期不等，建议与付款模块开发并行推进。</w:t>
      </w:r>
    </w:p>
    <w:p w14:paraId="417F8B73">
      <w:pPr>
        <w:spacing w:after="192" w:line="384"/>
        <w:ind w:firstLine="48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固定交付前检查。</w:t>
      </w:r>
      <w:r>
        <w:rPr>
          <w:rFonts w:hint="eastAsia" w:ascii="SimSun" w:hAnsi="SimSun" w:eastAsia="SimSun" w:cs="SimSun"/>
          <w:color w:val="000000"/>
          <w:sz w:val="24"/>
        </w:rPr>
        <w:t>每次交付前运行模块划分、结构、接口三项校验脚本，确保清单、结构、接口三者一致。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73e8" w:sz="18"/>
              <w:bottom w:val="none" w:sz="8"/>
              <w:right w:val="none" w:sz="8"/>
            </w:tcBorders>
            <w:shd w:val="clear" w:fill="f5f7fa"/>
            <w:vAlign w:val="center"/>
          </w:tcPr>
          <w:p w14:paraId="79D8FD8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4"/>
              </w:rPr>
              <w:t>本文档依据当前工程实际编写，模块清单与 miniprogram/config/modules.js 注册表一一对应。工程结构变更后应同步更新注册表并复跑校验脚本，本文档随版本迭代更新。</w:t>
            </w:r>
          </w:p>
        </w:tc>
      </w:tr>
    </w:tbl>
    <w:p w14:paraId="72069179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0C97408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D70DB6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6" w:semiHidden="1" w:unhideWhenUsed="1"/>
    <w:lsdException w:name="index 4" w:semiHidden="1" w:unhideWhenUsed="1"/>
    <w:lsdException w:name="Normal Indent" w:semiHidden="1" w:unhideWhenUsed="1"/>
    <w:lsdException w:name="index 3" w:semiHidden="1" w:unhideWhenUsed="1"/>
    <w:lsdException w:name="Body Text First Indent" w:semiHidden="1" w:unhideWhenUsed="1"/>
    <w:lsdException w:name="Body Text" w:semiHidden="1" w:unhideWhenUsed="1"/>
    <w:lsdException w:name="page number" w:semiHidden="1" w:unhideWhenUsed="1"/>
    <w:lsdException w:name="Strong" w:uiPriority="22" w:qFormat="1"/>
    <w:lsdException w:name="Date" w:semiHidden="1" w:unhideWhenUsed="1"/>
    <w:lsdException w:name="Body Text Indent 2" w:semiHidden="1" w:unhideWhenUsed="1"/>
    <w:lsdException w:name="Hyperlink" w:semiHidden="1" w:unhideWhenUsed="1"/>
    <w:lsdException w:name="List 4" w:semiHidden="1" w:unhideWhenUsed="1"/>
    <w:lsdException w:name="Signature" w:semiHidden="1" w:unhideWhenUsed="1"/>
    <w:lsdException w:name="Block Text" w:semiHidden="1" w:unhideWhenUsed="1"/>
    <w:lsdException w:name="toc 2" w:uiPriority="39" w:semiHidden="1" w:unhideWhenUsed="1"/>
    <w:lsdException w:name="Closing" w:semiHidden="1" w:unhideWhenUsed="1"/>
    <w:lsdException w:name="heading 2" w:uiPriority="9" w:semiHidden="1" w:unhideWhenUsed="1" w:qFormat="1"/>
    <w:lsdException w:name="line number" w:semiHidden="1" w:unhideWhenUsed="1"/>
    <w:lsdException w:name="Message Header" w:semiHidden="1" w:unhideWhenUsed="1"/>
    <w:lsdException w:name="List Bullet 4" w:semiHidden="1" w:unhideWhenUsed="1"/>
    <w:lsdException w:name="List Continue 3" w:semiHidden="1" w:unhideWhenUsed="1"/>
    <w:lsdException w:name="envelope return" w:semiHidden="1" w:unhideWhenUsed="1"/>
    <w:lsdException w:name="index 9" w:semiHidden="1" w:unhideWhenUsed="1"/>
    <w:lsdException w:name="index 2" w:semiHidden="1" w:unhideWhenUsed="1"/>
    <w:lsdException w:name="index 1" w:semiHidden="1" w:unhideWhenUsed="1"/>
    <w:lsdException w:name="table of figures" w:semiHidden="1" w:unhideWhenUsed="1"/>
    <w:lsdException w:name="toc 1" w:uiPriority="39" w:semiHidden="1" w:unhideWhenUsed="1"/>
    <w:lsdException w:name="List 3" w:semiHidden="1" w:unhideWhenUsed="1"/>
    <w:lsdException w:name="toc 4" w:uiPriority="39" w:semiHidden="1" w:unhideWhenUsed="1"/>
    <w:lsdException w:name="toc 6" w:uiPriority="39" w:semiHidden="1" w:unhideWhenUsed="1"/>
    <w:lsdException w:name="endnote reference" w:semiHidden="1" w:unhideWhenUsed="1"/>
    <w:lsdException w:name="toc 9" w:uiPriority="39" w:semiHidden="1" w:unhideWhenUsed="1"/>
    <w:lsdException w:name="heading 1" w:uiPriority="9" w:qFormat="1"/>
    <w:lsdException w:name="header" w:semiHidden="1" w:unhideWhenUsed="1"/>
    <w:lsdException w:name="heading 4" w:uiPriority="9" w:semiHidden="1" w:unhideWhenUsed="1" w:qFormat="1"/>
    <w:lsdException w:name="heading 6" w:uiPriority="9" w:semiHidden="1" w:unhideWhenUsed="1" w:qFormat="1"/>
    <w:lsdException w:name="heading 9" w:uiPriority="9" w:semiHidden="1" w:unhideWhenUsed="1" w:qFormat="1"/>
    <w:lsdException w:name="List Continue" w:semiHidden="1" w:unhideWhenUsed="1"/>
    <w:lsdException w:name="List Continue 5" w:semiHidden="1" w:unhideWhenUsed="1"/>
    <w:lsdException w:name="List Bullet 2" w:semiHidden="1" w:unhideWhenUsed="1"/>
    <w:lsdException w:name="index 5" w:semiHidden="1" w:unhideWhenUsed="1"/>
    <w:lsdException w:name="Subtitle" w:uiPriority="11" w:qFormat="1"/>
    <w:lsdException w:name="Body Text Indent" w:semiHidden="1" w:unhideWhenUsed="1"/>
    <w:lsdException w:name="Note Heading" w:semiHidden="1" w:unhideWhenUsed="1"/>
    <w:lsdException w:name="annotation text" w:semiHidden="1" w:unhideWhenUsed="1"/>
    <w:lsdException w:name="FollowedHyperlink" w:semiHidden="1" w:unhideWhenUsed="1"/>
    <w:lsdException w:name="List Number" w:semiHidden="1" w:unhideWhenUsed="1"/>
    <w:lsdException w:name="toc 5" w:uiPriority="39" w:semiHidden="1" w:unhideWhenUsed="1"/>
    <w:lsdException w:name="toa heading" w:semiHidden="1" w:unhideWhenUsed="1"/>
    <w:lsdException w:name="toc 3" w:uiPriority="39" w:semiHidden="1" w:unhideWhenUsed="1"/>
    <w:lsdException w:name="heading 5" w:uiPriority="9" w:semiHidden="1" w:unhideWhenUsed="1" w:qFormat="1"/>
    <w:lsdException w:name="toc 8" w:uiPriority="39" w:semiHidden="1" w:unhideWhenUsed="1"/>
    <w:lsdException w:name="macro" w:semiHidden="1" w:unhideWhenUsed="1"/>
    <w:lsdException w:name="heading 3" w:uiPriority="9" w:semiHidden="1" w:unhideWhenUsed="1" w:qFormat="1"/>
    <w:lsdException w:name="caption" w:uiPriority="35" w:semiHidden="1" w:unhideWhenUsed="1" w:qFormat="1"/>
    <w:lsdException w:name="heading 8" w:uiPriority="9" w:semiHidden="1" w:unhideWhenUsed="1" w:qFormat="1"/>
    <w:lsdException w:name="List Continue 4" w:semiHidden="1" w:unhideWhenUsed="1"/>
    <w:lsdException w:name="List Number 3" w:semiHidden="1" w:unhideWhenUsed="1"/>
    <w:lsdException w:name="List Bullet 3" w:semiHidden="1" w:unhideWhenUsed="1"/>
    <w:lsdException w:name="List Continue 2" w:semiHidden="1" w:unhideWhenUsed="1"/>
    <w:lsdException w:name="List Number 4" w:semiHidden="1" w:unhideWhenUsed="1"/>
    <w:lsdException w:name="List Bullet 5" w:semiHidden="1" w:unhideWhenUsed="1"/>
    <w:lsdException w:name="List" w:semiHidden="1" w:unhideWhenUsed="1"/>
    <w:lsdException w:name="annotation reference" w:semiHidden="1" w:unhideWhenUsed="1"/>
    <w:lsdException w:name="Body Text 3" w:semiHidden="1" w:unhideWhenUsed="1"/>
    <w:lsdException w:name="Default Paragraph Font" w:uiPriority="1" w:semiHidden="1" w:unhideWhenUsed="1"/>
    <w:lsdException w:name="footnote text" w:semiHidden="1" w:unhideWhenUsed="1"/>
    <w:lsdException w:name="toc 7" w:uiPriority="39" w:semiHidden="1" w:unhideWhenUsed="1"/>
    <w:lsdException w:name="heading 7" w:uiPriority="9" w:semiHidden="1" w:unhideWhenUsed="1" w:qFormat="1"/>
    <w:lsdException w:name="Salutation" w:semiHidden="1" w:unhideWhenUsed="1"/>
    <w:lsdException w:name="List Number 5" w:semiHidden="1" w:unhideWhenUsed="1"/>
    <w:lsdException w:name="Title" w:uiPriority="10" w:qFormat="1"/>
    <w:lsdException w:name="Body Text Indent 3" w:semiHidden="1" w:unhideWhenUsed="1"/>
    <w:lsdException w:name="index 8" w:semiHidden="1" w:unhideWhenUsed="1"/>
    <w:lsdException w:name="table of authorities" w:semiHidden="1" w:unhideWhenUsed="1"/>
    <w:lsdException w:name="index heading" w:semiHidden="1" w:unhideWhenUsed="1"/>
    <w:lsdException w:name="Body Text First Indent 2" w:semiHidden="1" w:unhideWhenUsed="1"/>
    <w:lsdException w:name="Normal" w:uiPriority="0" w:qFormat="1"/>
    <w:lsdException w:name="index 7" w:semiHidden="1" w:unhideWhenUsed="1"/>
    <w:lsdException w:name="Body Text 2" w:semiHidden="1" w:unhideWhenUsed="1"/>
    <w:lsdException w:name="List 5" w:semiHidden="1" w:unhideWhenUsed="1"/>
    <w:lsdException w:name="List 2" w:semiHidden="1" w:unhideWhenUsed="1"/>
    <w:lsdException w:name="List Bullet" w:semiHidden="1" w:unhideWhenUsed="1"/>
    <w:lsdException w:name="List Number 2" w:semiHidden="1" w:unhideWhenUsed="1"/>
    <w:lsdException w:name="footnote reference" w:semiHidden="1" w:unhideWhenUsed="1"/>
    <w:lsdException w:name="footer" w:semiHidden="1" w:unhideWhenUsed="1"/>
    <w:lsdException w:name="envelope address" w:semiHidden="1" w:unhideWhenUsed="1"/>
    <w:lsdException w:name="endnote text" w:semiHidden="1" w:unhideWhenUsed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2026-10-26T22:15:42Z</dcterms:created>
  <dcterms:modified xsi:type="dcterms:W3CDTF">2026-10-26T22:15:42Z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"01a178789a3476cc989ae40645c7db88", "ReservedCode1": "", "ContentPropagator": "00119111010856365494821B355", "PropagateID": "01a178789a3476cc989ae40645c7db88", "ReservedCode2": ""}}</vt:lpwstr>
  </property>
</Properties>
</file>