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tiff" ContentType="image/tiff"/>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60" w:beforeLines="400"/>
        <w:jc w:val="center"/>
        <w:rPr>
          <w:rFonts w:ascii="黑体" w:hAnsi="黑体" w:eastAsia="黑体"/>
          <w:b/>
          <w:sz w:val="48"/>
        </w:rPr>
      </w:pPr>
      <w:r>
        <w:rPr>
          <w:rFonts w:hint="eastAsia" w:ascii="黑体" w:hAnsi="黑体" w:eastAsia="黑体"/>
          <w:sz w:val="56"/>
        </w:rPr>
        <w:t>电</w:t>
      </w:r>
      <w:r>
        <w:rPr>
          <w:rFonts w:ascii="黑体" w:hAnsi="黑体" w:eastAsia="黑体"/>
          <w:sz w:val="56"/>
        </w:rPr>
        <w:t xml:space="preserve"> </w:t>
      </w:r>
      <w:r>
        <w:rPr>
          <w:rFonts w:hint="eastAsia" w:ascii="黑体" w:hAnsi="黑体" w:eastAsia="黑体"/>
          <w:sz w:val="56"/>
        </w:rPr>
        <w:t>子</w:t>
      </w:r>
      <w:r>
        <w:rPr>
          <w:rFonts w:ascii="黑体" w:hAnsi="黑体" w:eastAsia="黑体"/>
          <w:sz w:val="56"/>
        </w:rPr>
        <w:t xml:space="preserve"> </w:t>
      </w:r>
      <w:r>
        <w:rPr>
          <w:rFonts w:hint="eastAsia" w:ascii="黑体" w:hAnsi="黑体" w:eastAsia="黑体"/>
          <w:sz w:val="56"/>
        </w:rPr>
        <w:t>科</w:t>
      </w:r>
      <w:r>
        <w:rPr>
          <w:rFonts w:ascii="黑体" w:hAnsi="黑体" w:eastAsia="黑体"/>
          <w:sz w:val="56"/>
        </w:rPr>
        <w:t xml:space="preserve"> </w:t>
      </w:r>
      <w:r>
        <w:rPr>
          <w:rFonts w:hint="eastAsia" w:ascii="黑体" w:hAnsi="黑体" w:eastAsia="黑体"/>
          <w:sz w:val="56"/>
        </w:rPr>
        <w:t>技</w:t>
      </w:r>
      <w:r>
        <w:rPr>
          <w:rFonts w:ascii="黑体" w:hAnsi="黑体" w:eastAsia="黑体"/>
          <w:sz w:val="56"/>
        </w:rPr>
        <w:t xml:space="preserve"> </w:t>
      </w:r>
      <w:r>
        <w:rPr>
          <w:rFonts w:hint="eastAsia" w:ascii="黑体" w:hAnsi="黑体" w:eastAsia="黑体"/>
          <w:sz w:val="56"/>
        </w:rPr>
        <w:t>大</w:t>
      </w:r>
      <w:r>
        <w:rPr>
          <w:rFonts w:ascii="黑体" w:hAnsi="黑体" w:eastAsia="黑体"/>
          <w:sz w:val="56"/>
        </w:rPr>
        <w:t xml:space="preserve"> </w:t>
      </w:r>
      <w:r>
        <w:rPr>
          <w:rFonts w:hint="eastAsia" w:ascii="黑体" w:hAnsi="黑体" w:eastAsia="黑体"/>
          <w:sz w:val="56"/>
        </w:rPr>
        <w:t>学</w:t>
      </w:r>
    </w:p>
    <w:p>
      <w:pPr>
        <w:spacing w:before="240" w:beforeLines="100" w:after="2160" w:afterLines="900"/>
        <w:jc w:val="center"/>
        <w:rPr>
          <w:rFonts w:ascii="黑体" w:hAnsi="黑体" w:eastAsia="黑体"/>
          <w:spacing w:val="50"/>
          <w:sz w:val="46"/>
          <w:szCs w:val="46"/>
        </w:rPr>
      </w:pPr>
      <w:r>
        <w:rPr>
          <w:rFonts w:hint="eastAsia" w:ascii="黑体" w:hAnsi="黑体" w:eastAsia="黑体"/>
          <w:spacing w:val="50"/>
          <w:sz w:val="46"/>
          <w:szCs w:val="46"/>
        </w:rPr>
        <w:t>学术学位研究生学位论文中期考评表</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z w:val="30"/>
        </w:rPr>
        <w:t xml:space="preserve">攻读学位级别： </w:t>
      </w:r>
      <w:r>
        <w:rPr>
          <w:rFonts w:hint="eastAsia" w:ascii="黑体" w:hAnsi="黑体" w:eastAsia="黑体"/>
          <w:sz w:val="30"/>
          <w:szCs w:val="30"/>
        </w:rPr>
        <w:t xml:space="preserve">□博士   </w:t>
      </w:r>
      <w:r>
        <w:rPr>
          <w:rFonts w:ascii="黑体" w:hAnsi="黑体" w:eastAsia="黑体"/>
          <w:sz w:val="30"/>
          <w:szCs w:val="30"/>
        </w:rPr>
        <w:t xml:space="preserve">     </w:t>
      </w:r>
      <w:r>
        <w:rPr>
          <w:rFonts w:hint="eastAsia" w:ascii="黑体" w:hAnsi="黑体" w:eastAsia="黑体"/>
          <w:sz w:val="30"/>
          <w:szCs w:val="30"/>
        </w:rPr>
        <w:sym w:font="Wingdings 2" w:char="0052"/>
      </w:r>
      <w:r>
        <w:rPr>
          <w:rFonts w:hint="eastAsia" w:ascii="黑体" w:hAnsi="黑体" w:eastAsia="黑体"/>
          <w:sz w:val="30"/>
          <w:szCs w:val="30"/>
        </w:rPr>
        <w:t>硕士</w:t>
      </w:r>
    </w:p>
    <w:p>
      <w:pPr>
        <w:tabs>
          <w:tab w:val="left" w:pos="1276"/>
        </w:tabs>
        <w:spacing w:after="360" w:afterLines="150"/>
        <w:rPr>
          <w:rFonts w:ascii="黑体" w:eastAsia="黑体"/>
          <w:sz w:val="30"/>
        </w:rPr>
      </w:pPr>
      <w:r>
        <w:rPr>
          <w:rFonts w:ascii="黑体" w:eastAsia="黑体"/>
          <w:sz w:val="30"/>
        </w:rPr>
        <w:tab/>
      </w:r>
      <w:r>
        <w:rPr>
          <w:rFonts w:hint="eastAsia" w:ascii="黑体" w:eastAsia="黑体"/>
          <w:spacing w:val="100"/>
          <w:kern w:val="0"/>
          <w:sz w:val="30"/>
          <w:fitText w:val="1800" w:id="1888045378"/>
        </w:rPr>
        <w:t>学科专</w:t>
      </w:r>
      <w:r>
        <w:rPr>
          <w:rFonts w:hint="eastAsia" w:ascii="黑体" w:eastAsia="黑体"/>
          <w:spacing w:val="0"/>
          <w:kern w:val="0"/>
          <w:sz w:val="30"/>
          <w:fitText w:val="1800" w:id="1888045378"/>
        </w:rPr>
        <w:t>业</w:t>
      </w:r>
      <w:r>
        <w:rPr>
          <w:rFonts w:hint="eastAsia" w:ascii="黑体" w:eastAsia="黑体"/>
          <w:sz w:val="30"/>
        </w:rPr>
        <w:t>：</w:t>
      </w:r>
      <w:r>
        <w:rPr>
          <w:rFonts w:hint="eastAsia" w:ascii="黑体" w:eastAsia="黑体"/>
          <w:sz w:val="30"/>
          <w:u w:val="single"/>
        </w:rPr>
        <w:t xml:space="preserve">     </w:t>
      </w:r>
      <w:r>
        <w:rPr>
          <w:rFonts w:hint="eastAsia" w:ascii="黑体" w:eastAsia="黑体"/>
          <w:sz w:val="30"/>
          <w:u w:val="single"/>
          <w:lang w:val="en-US" w:eastAsia="zh-CN"/>
        </w:rPr>
        <w:t xml:space="preserve"> 信息与通信工程</w:t>
      </w:r>
      <w:r>
        <w:rPr>
          <w:rFonts w:hint="eastAsia" w:ascii="黑体" w:eastAsia="黑体"/>
          <w:sz w:val="30"/>
          <w:u w:val="single"/>
        </w:rPr>
        <w:t xml:space="preserve">       </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院：</w:t>
      </w:r>
      <w:r>
        <w:rPr>
          <w:rFonts w:hint="eastAsia" w:ascii="黑体" w:eastAsia="黑体"/>
          <w:sz w:val="30"/>
          <w:u w:val="single"/>
        </w:rPr>
        <w:t xml:space="preserve">      </w:t>
      </w:r>
      <w:r>
        <w:rPr>
          <w:rFonts w:hint="eastAsia" w:ascii="黑体" w:eastAsia="黑体"/>
          <w:sz w:val="30"/>
          <w:u w:val="single"/>
          <w:lang w:val="en-US" w:eastAsia="zh-CN"/>
        </w:rPr>
        <w:t>信息与通信工程</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号：</w:t>
      </w:r>
      <w:r>
        <w:rPr>
          <w:rFonts w:hint="eastAsia" w:ascii="黑体" w:eastAsia="黑体"/>
          <w:sz w:val="30"/>
          <w:u w:val="single"/>
        </w:rPr>
        <w:t xml:space="preserve">     </w:t>
      </w:r>
      <w:r>
        <w:rPr>
          <w:rFonts w:hint="eastAsia" w:ascii="黑体" w:eastAsia="黑体"/>
          <w:sz w:val="30"/>
          <w:u w:val="single"/>
          <w:lang w:val="en-US" w:eastAsia="zh-CN"/>
        </w:rPr>
        <w:t xml:space="preserve">  202021010238</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姓  </w:t>
      </w:r>
      <w:r>
        <w:rPr>
          <w:rFonts w:ascii="黑体" w:eastAsia="黑体"/>
          <w:sz w:val="30"/>
        </w:rPr>
        <w:t xml:space="preserve">     </w:t>
      </w:r>
      <w:r>
        <w:rPr>
          <w:rFonts w:hint="eastAsia" w:ascii="黑体" w:eastAsia="黑体"/>
          <w:sz w:val="30"/>
        </w:rPr>
        <w:t xml:space="preserve"> 名：</w:t>
      </w:r>
      <w:r>
        <w:rPr>
          <w:rFonts w:hint="eastAsia" w:ascii="黑体" w:eastAsia="黑体"/>
          <w:sz w:val="30"/>
          <w:u w:val="single"/>
        </w:rPr>
        <w:t xml:space="preserve">        </w:t>
      </w:r>
      <w:r>
        <w:rPr>
          <w:rFonts w:hint="eastAsia" w:ascii="黑体" w:eastAsia="黑体"/>
          <w:sz w:val="30"/>
          <w:u w:val="single"/>
          <w:lang w:val="en-US" w:eastAsia="zh-CN"/>
        </w:rPr>
        <w:t xml:space="preserve">   郑 翔</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pacing w:val="100"/>
          <w:kern w:val="0"/>
          <w:sz w:val="30"/>
          <w:fitText w:val="1800" w:id="1"/>
        </w:rPr>
        <w:t>论文题</w:t>
      </w:r>
      <w:r>
        <w:rPr>
          <w:rFonts w:hint="eastAsia" w:ascii="黑体" w:eastAsia="黑体"/>
          <w:spacing w:val="0"/>
          <w:kern w:val="0"/>
          <w:sz w:val="30"/>
          <w:fitText w:val="1800" w:id="1"/>
        </w:rPr>
        <w:t>目</w:t>
      </w:r>
      <w:r>
        <w:rPr>
          <w:rFonts w:hint="eastAsia" w:ascii="黑体" w:eastAsia="黑体"/>
          <w:sz w:val="30"/>
        </w:rPr>
        <w:t>：</w:t>
      </w:r>
      <w:r>
        <w:rPr>
          <w:rFonts w:hint="eastAsia" w:ascii="黑体" w:eastAsia="黑体"/>
          <w:sz w:val="30"/>
          <w:u w:val="single"/>
        </w:rPr>
        <w:t xml:space="preserve">  </w:t>
      </w:r>
      <w:r>
        <w:rPr>
          <w:rFonts w:hint="eastAsia" w:ascii="黑体" w:eastAsia="黑体"/>
          <w:sz w:val="30"/>
          <w:u w:val="single"/>
          <w:lang w:val="en-US" w:eastAsia="zh-CN"/>
        </w:rPr>
        <w:t xml:space="preserve">    高稳定度铌酸锂基</w:t>
      </w:r>
      <w:r>
        <w:rPr>
          <w:rFonts w:ascii="黑体" w:eastAsia="黑体"/>
          <w:sz w:val="30"/>
          <w:u w:val="single"/>
        </w:rPr>
        <w:t xml:space="preserve">  </w:t>
      </w:r>
      <w:r>
        <w:rPr>
          <w:rFonts w:hint="eastAsia" w:ascii="黑体" w:eastAsia="黑体"/>
          <w:sz w:val="30"/>
          <w:u w:val="single"/>
        </w:rPr>
        <w:t xml:space="preserve"> </w:t>
      </w:r>
      <w:r>
        <w:rPr>
          <w:rFonts w:hint="eastAsia" w:ascii="黑体" w:eastAsia="黑体"/>
          <w:sz w:val="30"/>
          <w:u w:val="single"/>
          <w:lang w:val="en-US" w:eastAsia="zh-CN"/>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         </w:t>
      </w:r>
      <w:r>
        <w:rPr>
          <w:rFonts w:ascii="黑体" w:eastAsia="黑体"/>
          <w:sz w:val="30"/>
        </w:rPr>
        <w:t xml:space="preserve">    </w:t>
      </w:r>
      <w:r>
        <w:rPr>
          <w:rFonts w:hint="eastAsia" w:ascii="黑体" w:eastAsia="黑体"/>
          <w:sz w:val="30"/>
        </w:rPr>
        <w:t xml:space="preserve"> </w:t>
      </w:r>
      <w:r>
        <w:rPr>
          <w:rFonts w:hint="eastAsia" w:ascii="黑体" w:eastAsia="黑体"/>
          <w:sz w:val="30"/>
          <w:u w:val="single"/>
        </w:rPr>
        <w:t xml:space="preserve">     </w:t>
      </w:r>
      <w:r>
        <w:rPr>
          <w:rFonts w:hint="eastAsia" w:ascii="黑体" w:eastAsia="黑体"/>
          <w:sz w:val="30"/>
          <w:u w:val="single"/>
          <w:lang w:val="en-US" w:eastAsia="zh-CN"/>
        </w:rPr>
        <w:t xml:space="preserve">  腔光机械振荡器</w:t>
      </w:r>
      <w:r>
        <w:rPr>
          <w:rFonts w:hint="eastAsia" w:ascii="黑体" w:eastAsia="黑体"/>
          <w:sz w:val="30"/>
          <w:u w:val="single"/>
        </w:rPr>
        <w:t xml:space="preserve"> </w:t>
      </w:r>
      <w:r>
        <w:rPr>
          <w:rFonts w:hint="eastAsia" w:ascii="黑体" w:eastAsia="黑体"/>
          <w:sz w:val="30"/>
          <w:u w:val="single"/>
          <w:lang w:val="en-US" w:eastAsia="zh-CN"/>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pacing w:val="100"/>
          <w:kern w:val="0"/>
          <w:sz w:val="30"/>
          <w:fitText w:val="1800" w:id="2"/>
        </w:rPr>
        <w:t>指导教</w:t>
      </w:r>
      <w:r>
        <w:rPr>
          <w:rFonts w:hint="eastAsia" w:ascii="黑体" w:eastAsia="黑体"/>
          <w:spacing w:val="0"/>
          <w:kern w:val="0"/>
          <w:sz w:val="30"/>
          <w:fitText w:val="1800" w:id="2"/>
        </w:rPr>
        <w:t>师</w:t>
      </w:r>
      <w:r>
        <w:rPr>
          <w:rFonts w:hint="eastAsia" w:ascii="黑体" w:eastAsia="黑体"/>
          <w:sz w:val="30"/>
        </w:rPr>
        <w:t>：</w:t>
      </w:r>
      <w:r>
        <w:rPr>
          <w:rFonts w:hint="eastAsia" w:ascii="黑体" w:eastAsia="黑体"/>
          <w:sz w:val="30"/>
          <w:u w:val="single"/>
        </w:rPr>
        <w:t xml:space="preserve">          </w:t>
      </w:r>
      <w:r>
        <w:rPr>
          <w:rFonts w:hint="eastAsia" w:ascii="黑体" w:eastAsia="黑体"/>
          <w:sz w:val="30"/>
          <w:u w:val="single"/>
          <w:lang w:val="en-US" w:eastAsia="zh-CN"/>
        </w:rPr>
        <w:t xml:space="preserve"> 黄勇军</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pacing w:val="100"/>
          <w:kern w:val="0"/>
          <w:sz w:val="30"/>
          <w:fitText w:val="1800" w:id="3"/>
        </w:rPr>
        <w:t>填表日</w:t>
      </w:r>
      <w:r>
        <w:rPr>
          <w:rFonts w:hint="eastAsia" w:ascii="黑体" w:eastAsia="黑体"/>
          <w:spacing w:val="0"/>
          <w:kern w:val="0"/>
          <w:sz w:val="30"/>
          <w:fitText w:val="1800" w:id="3"/>
        </w:rPr>
        <w:t>期</w:t>
      </w:r>
      <w:r>
        <w:rPr>
          <w:rFonts w:hint="eastAsia" w:ascii="黑体" w:eastAsia="黑体"/>
          <w:sz w:val="30"/>
        </w:rPr>
        <w:t>：</w:t>
      </w:r>
      <w:r>
        <w:rPr>
          <w:rFonts w:hint="eastAsia" w:ascii="黑体" w:eastAsia="黑体"/>
          <w:sz w:val="30"/>
          <w:u w:val="single"/>
        </w:rPr>
        <w:t xml:space="preserve">   </w:t>
      </w:r>
      <w:r>
        <w:rPr>
          <w:rFonts w:hint="eastAsia" w:ascii="黑体" w:eastAsia="黑体"/>
          <w:sz w:val="30"/>
          <w:u w:val="single"/>
          <w:lang w:val="en-US" w:eastAsia="zh-CN"/>
        </w:rPr>
        <w:t>2022</w:t>
      </w:r>
      <w:r>
        <w:rPr>
          <w:rFonts w:hint="eastAsia" w:ascii="黑体" w:eastAsia="黑体"/>
          <w:sz w:val="30"/>
          <w:u w:val="single"/>
        </w:rPr>
        <w:t xml:space="preserve">  </w:t>
      </w:r>
      <w:r>
        <w:rPr>
          <w:rFonts w:hint="eastAsia" w:ascii="黑体" w:eastAsia="黑体"/>
          <w:sz w:val="30"/>
        </w:rPr>
        <w:t>年</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lang w:val="en-US" w:eastAsia="zh-CN"/>
        </w:rPr>
        <w:t xml:space="preserve"> 7</w:t>
      </w:r>
      <w:r>
        <w:rPr>
          <w:rFonts w:ascii="黑体" w:eastAsia="黑体"/>
          <w:sz w:val="30"/>
          <w:u w:val="single"/>
        </w:rPr>
        <w:t xml:space="preserve">  </w:t>
      </w:r>
      <w:r>
        <w:rPr>
          <w:rFonts w:hint="eastAsia" w:ascii="黑体" w:eastAsia="黑体"/>
          <w:sz w:val="30"/>
        </w:rPr>
        <w:t>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lang w:val="en-US" w:eastAsia="zh-CN"/>
        </w:rPr>
        <w:t xml:space="preserve"> 9 </w:t>
      </w:r>
      <w:r>
        <w:rPr>
          <w:rFonts w:ascii="黑体" w:eastAsia="黑体"/>
          <w:sz w:val="30"/>
          <w:u w:val="single"/>
        </w:rPr>
        <w:t xml:space="preserve"> </w:t>
      </w:r>
      <w:r>
        <w:rPr>
          <w:rFonts w:hint="eastAsia" w:ascii="黑体" w:eastAsia="黑体"/>
          <w:sz w:val="30"/>
        </w:rPr>
        <w:t>日</w:t>
      </w:r>
    </w:p>
    <w:p>
      <w:pPr>
        <w:spacing w:before="1680" w:beforeLines="700"/>
        <w:jc w:val="center"/>
        <w:rPr>
          <w:rFonts w:ascii="楷体" w:eastAsia="楷体"/>
          <w:sz w:val="32"/>
        </w:rPr>
      </w:pPr>
      <w:r>
        <w:rPr>
          <w:rFonts w:hint="eastAsia" w:ascii="楷体" w:eastAsia="楷体"/>
          <w:sz w:val="32"/>
        </w:rPr>
        <w:t>电子科技大学研究生院</w:t>
      </w:r>
    </w:p>
    <w:p>
      <w:pPr>
        <w:spacing w:before="1680" w:beforeLines="700"/>
        <w:ind w:firstLine="3210"/>
        <w:jc w:val="left"/>
        <w:rPr>
          <w:rFonts w:ascii="楷体" w:eastAsia="楷体"/>
          <w:sz w:val="32"/>
        </w:rPr>
      </w:pPr>
    </w:p>
    <w:p>
      <w:pPr>
        <w:spacing w:before="1680" w:beforeLines="700"/>
        <w:ind w:firstLine="3210"/>
        <w:jc w:val="left"/>
        <w:rPr>
          <w:rFonts w:ascii="楷体" w:eastAsia="楷体"/>
          <w:sz w:val="32"/>
        </w:rPr>
        <w:sectPr>
          <w:footerReference r:id="rId3" w:type="default"/>
          <w:pgSz w:w="11906" w:h="16838"/>
          <w:pgMar w:top="1418" w:right="1191" w:bottom="1418" w:left="1474" w:header="851" w:footer="992" w:gutter="0"/>
          <w:cols w:space="425" w:num="1"/>
          <w:docGrid w:linePitch="312" w:charSpace="0"/>
        </w:sectPr>
      </w:pPr>
    </w:p>
    <w:p>
      <w:pPr>
        <w:numPr>
          <w:ilvl w:val="0"/>
          <w:numId w:val="1"/>
        </w:numPr>
        <w:rPr>
          <w:rFonts w:ascii="黑体" w:hAnsi="黑体" w:eastAsia="黑体"/>
          <w:bCs/>
          <w:sz w:val="28"/>
        </w:rPr>
      </w:pPr>
      <w:r>
        <w:rPr>
          <w:rFonts w:hint="eastAsia" w:ascii="黑体" w:hAnsi="黑体" w:eastAsia="黑体"/>
          <w:bCs/>
          <w:sz w:val="28"/>
        </w:rPr>
        <w:t>已完成的主要工作</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57" w:type="dxa"/>
          <w:bottom w:w="57" w:type="dxa"/>
          <w:right w:w="57" w:type="dxa"/>
        </w:tblCellMar>
      </w:tblPr>
      <w:tblGrid>
        <w:gridCol w:w="5449"/>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57" w:type="dxa"/>
            <w:bottom w:w="57" w:type="dxa"/>
            <w:right w:w="57" w:type="dxa"/>
          </w:tblCellMar>
        </w:tblPrEx>
        <w:trPr>
          <w:trHeight w:val="340" w:hRule="atLeast"/>
          <w:jc w:val="center"/>
        </w:trPr>
        <w:tc>
          <w:tcPr>
            <w:tcW w:w="5000" w:type="pct"/>
            <w:gridSpan w:val="2"/>
            <w:vAlign w:val="center"/>
          </w:tcPr>
          <w:p>
            <w:pPr>
              <w:rPr>
                <w:rFonts w:ascii="宋体" w:hAnsi="宋体"/>
                <w:b/>
                <w:sz w:val="24"/>
              </w:rPr>
            </w:pPr>
            <w:r>
              <w:rPr>
                <w:rFonts w:hint="eastAsia" w:ascii="宋体" w:hAnsi="宋体"/>
                <w:b/>
                <w:sz w:val="24"/>
              </w:rPr>
              <w:t>1</w:t>
            </w:r>
            <w:r>
              <w:rPr>
                <w:rFonts w:ascii="宋体" w:hAnsi="宋体"/>
                <w:b/>
                <w:sz w:val="24"/>
              </w:rPr>
              <w:t>.</w:t>
            </w:r>
            <w:r>
              <w:rPr>
                <w:rFonts w:hint="eastAsia" w:ascii="宋体" w:hAnsi="宋体"/>
                <w:b/>
                <w:sz w:val="24"/>
              </w:rPr>
              <w:t>开题报告通过时间：</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lang w:val="en-US" w:eastAsia="zh-CN"/>
              </w:rPr>
              <w:t>2022</w:t>
            </w:r>
            <w:r>
              <w:rPr>
                <w:rFonts w:ascii="宋体" w:hAnsi="宋体"/>
                <w:sz w:val="24"/>
                <w:u w:val="single"/>
              </w:rPr>
              <w:t xml:space="preserve">  </w:t>
            </w:r>
            <w:r>
              <w:rPr>
                <w:rFonts w:hint="eastAsia" w:ascii="宋体" w:hAnsi="宋体"/>
                <w:sz w:val="24"/>
              </w:rPr>
              <w:t>年</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lang w:val="en-US" w:eastAsia="zh-CN"/>
              </w:rPr>
              <w:t>4</w:t>
            </w:r>
            <w:r>
              <w:rPr>
                <w:rFonts w:ascii="宋体" w:hAnsi="宋体"/>
                <w:sz w:val="24"/>
                <w:u w:val="single"/>
              </w:rPr>
              <w:t xml:space="preserve">  </w:t>
            </w:r>
            <w:r>
              <w:rPr>
                <w:rFonts w:hint="eastAsia" w:ascii="宋体" w:hAnsi="宋体"/>
                <w:sz w:val="24"/>
              </w:rPr>
              <w:t>月</w:t>
            </w:r>
            <w:r>
              <w:rPr>
                <w:rFonts w:hint="eastAsia" w:ascii="宋体" w:hAnsi="宋体"/>
                <w:sz w:val="24"/>
                <w:u w:val="single"/>
              </w:rPr>
              <w:t xml:space="preserve"> </w:t>
            </w:r>
            <w:r>
              <w:rPr>
                <w:rFonts w:ascii="宋体" w:hAnsi="宋体"/>
                <w:sz w:val="24"/>
                <w:u w:val="single"/>
              </w:rPr>
              <w:t xml:space="preserve"> </w:t>
            </w:r>
            <w:r>
              <w:rPr>
                <w:rFonts w:hint="eastAsia" w:ascii="宋体" w:hAnsi="宋体"/>
                <w:sz w:val="24"/>
                <w:u w:val="single"/>
                <w:lang w:val="en-US" w:eastAsia="zh-CN"/>
              </w:rPr>
              <w:t>28</w:t>
            </w:r>
            <w:r>
              <w:rPr>
                <w:rFonts w:ascii="宋体" w:hAnsi="宋体"/>
                <w:sz w:val="24"/>
                <w:u w:val="single"/>
              </w:rPr>
              <w:t xml:space="preserve"> </w:t>
            </w:r>
            <w:r>
              <w:rPr>
                <w:rFonts w:hint="eastAsia" w:ascii="宋体" w:hAnsi="宋体"/>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57" w:type="dxa"/>
            <w:bottom w:w="57" w:type="dxa"/>
            <w:right w:w="57" w:type="dxa"/>
          </w:tblCellMar>
        </w:tblPrEx>
        <w:trPr>
          <w:trHeight w:val="340" w:hRule="atLeast"/>
          <w:jc w:val="center"/>
        </w:trPr>
        <w:tc>
          <w:tcPr>
            <w:tcW w:w="5000" w:type="pct"/>
            <w:gridSpan w:val="2"/>
            <w:vAlign w:val="center"/>
          </w:tcPr>
          <w:p>
            <w:pPr>
              <w:rPr>
                <w:rFonts w:ascii="宋体" w:hAnsi="宋体"/>
                <w:b/>
                <w:sz w:val="24"/>
              </w:rPr>
            </w:pPr>
            <w:r>
              <w:rPr>
                <w:rFonts w:ascii="宋体" w:hAnsi="宋体"/>
                <w:b/>
                <w:sz w:val="24"/>
              </w:rPr>
              <w:t xml:space="preserve">2. </w:t>
            </w:r>
            <w:r>
              <w:rPr>
                <w:rFonts w:hint="eastAsia" w:ascii="宋体" w:hAnsi="宋体"/>
                <w:b/>
                <w:sz w:val="24"/>
              </w:rPr>
              <w:t>课程学习情况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57" w:type="dxa"/>
            <w:bottom w:w="57" w:type="dxa"/>
            <w:right w:w="57" w:type="dxa"/>
          </w:tblCellMar>
        </w:tblPrEx>
        <w:trPr>
          <w:trHeight w:val="340" w:hRule="atLeast"/>
          <w:jc w:val="center"/>
        </w:trPr>
        <w:tc>
          <w:tcPr>
            <w:tcW w:w="2794" w:type="pct"/>
            <w:vAlign w:val="center"/>
          </w:tcPr>
          <w:p>
            <w:pPr>
              <w:rPr>
                <w:rFonts w:ascii="宋体" w:hAnsi="宋体"/>
                <w:sz w:val="24"/>
              </w:rPr>
            </w:pPr>
            <w:r>
              <w:rPr>
                <w:rFonts w:hint="eastAsia" w:ascii="宋体" w:hAnsi="宋体"/>
                <w:sz w:val="24"/>
              </w:rPr>
              <w:t>是否已达到培养方案规定的学分要求</w:t>
            </w:r>
          </w:p>
        </w:tc>
        <w:tc>
          <w:tcPr>
            <w:tcW w:w="2205" w:type="pct"/>
            <w:vAlign w:val="center"/>
          </w:tcPr>
          <w:p>
            <w:pPr>
              <w:rPr>
                <w:rFonts w:ascii="宋体" w:hAnsi="宋体"/>
                <w:sz w:val="24"/>
              </w:rPr>
            </w:pPr>
            <w:r>
              <w:rPr>
                <w:rFonts w:hint="eastAsia" w:ascii="宋体" w:hAnsi="宋体"/>
                <w:sz w:val="24"/>
              </w:rPr>
              <w:sym w:font="Wingdings 2" w:char="0052"/>
            </w:r>
            <w:r>
              <w:rPr>
                <w:rFonts w:hint="eastAsia" w:ascii="宋体" w:hAnsi="宋体"/>
                <w:sz w:val="24"/>
              </w:rPr>
              <w:t xml:space="preserve">是 </w:t>
            </w:r>
            <w:r>
              <w:rPr>
                <w:rFonts w:ascii="宋体" w:hAnsi="宋体"/>
                <w:sz w:val="24"/>
              </w:rPr>
              <w:t xml:space="preserve">  </w:t>
            </w:r>
            <w:r>
              <w:rPr>
                <w:rFonts w:hint="eastAsia" w:ascii="宋体" w:hAnsi="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57" w:type="dxa"/>
            <w:bottom w:w="57" w:type="dxa"/>
            <w:right w:w="57" w:type="dxa"/>
          </w:tblCellMar>
        </w:tblPrEx>
        <w:trPr>
          <w:trHeight w:val="340" w:hRule="atLeast"/>
          <w:jc w:val="center"/>
        </w:trPr>
        <w:tc>
          <w:tcPr>
            <w:tcW w:w="5000" w:type="pct"/>
            <w:gridSpan w:val="2"/>
            <w:vAlign w:val="center"/>
          </w:tcPr>
          <w:p>
            <w:pPr>
              <w:rPr>
                <w:rFonts w:ascii="宋体" w:hAnsi="宋体"/>
                <w:b/>
                <w:sz w:val="24"/>
              </w:rPr>
            </w:pPr>
            <w:r>
              <w:rPr>
                <w:rFonts w:ascii="宋体" w:hAnsi="宋体"/>
                <w:b/>
                <w:sz w:val="24"/>
              </w:rPr>
              <w:t>3</w:t>
            </w:r>
            <w:r>
              <w:rPr>
                <w:rFonts w:hint="eastAsia" w:ascii="宋体" w:hAnsi="宋体"/>
                <w:b/>
                <w:sz w:val="24"/>
              </w:rPr>
              <w:t>.</w:t>
            </w:r>
            <w:r>
              <w:rPr>
                <w:rFonts w:ascii="宋体" w:hAnsi="宋体"/>
                <w:b/>
                <w:sz w:val="24"/>
              </w:rPr>
              <w:t xml:space="preserve"> </w:t>
            </w:r>
            <w:r>
              <w:rPr>
                <w:rFonts w:hint="eastAsia" w:ascii="宋体" w:hAnsi="宋体"/>
                <w:b/>
                <w:sz w:val="24"/>
              </w:rPr>
              <w:t>论文研究进展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57" w:type="dxa"/>
            <w:bottom w:w="57" w:type="dxa"/>
            <w:right w:w="57" w:type="dxa"/>
          </w:tblCellMar>
        </w:tblPrEx>
        <w:trPr>
          <w:trHeight w:val="6936" w:hRule="atLeast"/>
          <w:jc w:val="center"/>
        </w:trPr>
        <w:tc>
          <w:tcPr>
            <w:tcW w:w="5000" w:type="pct"/>
            <w:gridSpan w:val="2"/>
          </w:tcPr>
          <w:p>
            <w:pPr>
              <w:spacing w:after="120" w:afterLines="50"/>
              <w:rPr>
                <w:rFonts w:ascii="楷体" w:hAnsi="楷体" w:eastAsia="楷体"/>
                <w:sz w:val="24"/>
              </w:rPr>
            </w:pPr>
            <w:r>
              <w:rPr>
                <w:rFonts w:hint="eastAsia" w:ascii="楷体" w:hAnsi="楷体" w:eastAsia="楷体"/>
                <w:sz w:val="24"/>
              </w:rPr>
              <w:t>从理论分析或计算部分、实验（或实证）工作等方面进行总结（可续页）</w:t>
            </w:r>
          </w:p>
          <w:p>
            <w:pPr>
              <w:numPr>
                <w:ilvl w:val="0"/>
                <w:numId w:val="0"/>
              </w:numPr>
              <w:rPr>
                <w:rFonts w:hint="eastAsia" w:ascii="宋体" w:hAnsi="宋体"/>
                <w:color w:val="FF0000"/>
                <w:sz w:val="24"/>
                <w:lang w:eastAsia="zh-CN"/>
              </w:rPr>
            </w:pPr>
          </w:p>
          <w:p>
            <w:pPr>
              <w:ind w:firstLine="480" w:firstLineChars="20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根据论文开题时所制定的研究计划，本论文主要研究内容以及现阶段完成情况如下图1所示。</w:t>
            </w:r>
          </w:p>
          <w:p>
            <w:pPr>
              <w:ind w:firstLine="480" w:firstLineChars="20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object>
                <v:shape id="_x0000_i1025" o:spt="75" type="#_x0000_t75" style="height:364.8pt;width:420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ind w:firstLine="420" w:firstLineChars="200"/>
              <w:rPr>
                <w:color w:val="000000" w:themeColor="text1"/>
                <w14:textFill>
                  <w14:solidFill>
                    <w14:schemeClr w14:val="tx1"/>
                  </w14:solidFill>
                </w14:textFill>
              </w:rPr>
            </w:pPr>
          </w:p>
          <w:p>
            <w:pPr>
              <w:spacing w:after="120" w:afterLines="50"/>
              <w:ind w:right="960"/>
              <w:jc w:val="cente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图1</w:t>
            </w:r>
            <w:r>
              <w:rPr>
                <w:rFonts w:ascii="宋体" w:hAnsi="宋体"/>
                <w:color w:val="000000" w:themeColor="text1"/>
                <w14:textFill>
                  <w14:solidFill>
                    <w14:schemeClr w14:val="tx1"/>
                  </w14:solidFill>
                </w14:textFill>
              </w:rPr>
              <w:t xml:space="preserve"> </w:t>
            </w:r>
            <w:r>
              <w:rPr>
                <w:rFonts w:hint="eastAsia" w:ascii="宋体" w:hAnsi="宋体"/>
                <w:color w:val="000000" w:themeColor="text1"/>
                <w14:textFill>
                  <w14:solidFill>
                    <w14:schemeClr w14:val="tx1"/>
                  </w14:solidFill>
                </w14:textFill>
              </w:rPr>
              <w:t>学位论文整体研究内容、创新点及研究进展</w:t>
            </w:r>
          </w:p>
          <w:p>
            <w:pPr>
              <w:ind w:firstLine="480" w:firstLineChars="200"/>
              <w:rPr>
                <w:rFonts w:ascii="宋体" w:hAnsi="宋体"/>
                <w:color w:val="000000" w:themeColor="text1"/>
                <w:sz w:val="24"/>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腔光机械系统是一种在维纳尺度上同时存在光学腔体模式和机械振荡模式，且这两种模式之间具有强耦合互作用效应的新型微腔系统。</w:t>
            </w:r>
            <w:r>
              <w:rPr>
                <w:rFonts w:hint="eastAsia" w:ascii="宋体" w:hAnsi="宋体"/>
                <w:color w:val="000000" w:themeColor="text1"/>
                <w:sz w:val="24"/>
                <w14:textFill>
                  <w14:solidFill>
                    <w14:schemeClr w14:val="tx1"/>
                  </w14:solidFill>
                </w14:textFill>
              </w:rPr>
              <w:t>本学位论文</w:t>
            </w:r>
            <w:r>
              <w:rPr>
                <w:rFonts w:hint="eastAsia" w:ascii="宋体" w:hAnsi="宋体"/>
                <w:color w:val="000000" w:themeColor="text1"/>
                <w:sz w:val="24"/>
                <w:lang w:val="en-US" w:eastAsia="zh-CN"/>
                <w14:textFill>
                  <w14:solidFill>
                    <w14:schemeClr w14:val="tx1"/>
                  </w14:solidFill>
                </w14:textFill>
              </w:rPr>
              <w:t>聚焦于光子晶体腔光力系统，针对现有腔光力系统中光机械振荡射频信号源无法实现长时间高稳定度这一技术瓶颈，</w:t>
            </w:r>
            <w:r>
              <w:rPr>
                <w:rFonts w:hint="eastAsia"/>
                <w:sz w:val="24"/>
              </w:rPr>
              <w:t>结合了单晶铌酸锂薄膜材料所具有的的宽光谱低损耗特性，</w:t>
            </w:r>
            <w:r>
              <w:rPr>
                <w:rFonts w:hint="eastAsia"/>
                <w:sz w:val="24"/>
                <w:lang w:val="en-US" w:eastAsia="zh-CN"/>
              </w:rPr>
              <w:t>拟</w:t>
            </w:r>
            <w:r>
              <w:rPr>
                <w:rFonts w:hint="eastAsia"/>
                <w:sz w:val="24"/>
              </w:rPr>
              <w:t>研究设计一种高稳定度的铌酸锂基光机械振荡器。</w:t>
            </w:r>
          </w:p>
          <w:p>
            <w:pPr>
              <w:ind w:firstLine="480" w:firstLineChars="200"/>
              <w:rPr>
                <w:rFonts w:ascii="宋体" w:hAnsi="宋体"/>
                <w:color w:val="000000" w:themeColor="text1"/>
                <w:sz w:val="24"/>
                <w14:textFill>
                  <w14:solidFill>
                    <w14:schemeClr w14:val="tx1"/>
                  </w14:solidFill>
                </w14:textFill>
              </w:rPr>
            </w:pPr>
          </w:p>
          <w:p>
            <w:pPr>
              <w:ind w:firstLine="480" w:firstLineChars="200"/>
              <w:rPr>
                <w:rFonts w:ascii="宋体" w:hAnsi="宋体"/>
                <w:color w:val="000000" w:themeColor="text1"/>
                <w:sz w:val="24"/>
                <w14:textFill>
                  <w14:solidFill>
                    <w14:schemeClr w14:val="tx1"/>
                  </w14:solidFill>
                </w14:textFill>
              </w:rPr>
            </w:pPr>
          </w:p>
          <w:p>
            <w:pPr>
              <w:ind w:firstLine="480" w:firstLineChars="200"/>
              <w:rPr>
                <w:rFonts w:ascii="宋体" w:hAnsi="宋体"/>
                <w:color w:val="000000" w:themeColor="text1"/>
                <w:sz w:val="24"/>
                <w14:textFill>
                  <w14:solidFill>
                    <w14:schemeClr w14:val="tx1"/>
                  </w14:solidFill>
                </w14:textFill>
              </w:rPr>
            </w:pPr>
          </w:p>
          <w:p>
            <w:pPr>
              <w:ind w:firstLine="480" w:firstLineChars="200"/>
              <w:rPr>
                <w:rFonts w:ascii="宋体" w:hAnsi="宋体"/>
                <w:color w:val="000000" w:themeColor="text1"/>
                <w:sz w:val="24"/>
                <w14:textFill>
                  <w14:solidFill>
                    <w14:schemeClr w14:val="tx1"/>
                  </w14:solidFill>
                </w14:textFill>
              </w:rPr>
            </w:pPr>
          </w:p>
          <w:p>
            <w:pPr>
              <w:pStyle w:val="8"/>
              <w:numPr>
                <w:ilvl w:val="0"/>
                <w:numId w:val="2"/>
              </w:numPr>
              <w:ind w:firstLineChars="0"/>
              <w:rPr>
                <w:b/>
                <w:color w:val="000000" w:themeColor="text1"/>
                <w14:textFill>
                  <w14:solidFill>
                    <w14:schemeClr w14:val="tx1"/>
                  </w14:solidFill>
                </w14:textFill>
              </w:rPr>
            </w:pPr>
            <w:r>
              <w:rPr>
                <w:rFonts w:hint="eastAsia"/>
                <w:b/>
                <w:color w:val="000000" w:themeColor="text1"/>
                <w:lang w:val="en-US" w:eastAsia="zh-CN"/>
                <w14:textFill>
                  <w14:solidFill>
                    <w14:schemeClr w14:val="tx1"/>
                  </w14:solidFill>
                </w14:textFill>
              </w:rPr>
              <w:t>铌酸锂基光子晶体腔光力系统的设计</w:t>
            </w:r>
            <w:r>
              <w:rPr>
                <w:rFonts w:hint="eastAsia"/>
                <w:b/>
                <w:color w:val="000000" w:themeColor="text1"/>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研究原因与动机：</w:t>
            </w:r>
          </w:p>
          <w:p>
            <w:pPr>
              <w:pStyle w:val="8"/>
              <w:ind w:firstLine="480"/>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光子晶体是通过周期性地纳米图案化薄膜结构以获得光和机械运动的共同限制。推动光力晶体发展的主要包括两个方面：其一是光机晶体具有光学和机械场局域在一个器件上的特性且其纳米级结构使得振子质量极低。这种结构原则上可以比法布里-珀罗腔光力系统提供更大的光机械耦合强度；第二个方面是光子晶体打孔以及其结构设计等技术可以为开发具有更高复杂的光机械系统提供更多的自由度，由于其在结构设计灵活方面的巨大优势，使得光力器件的应用范围以及光声信号的调制能力得到了很大的提高。光子晶体光力器件未来在经典光通讯，非线性动力学研究以及量子通讯，量子信息，量子计算等领域都将发挥出更大的作用。</w:t>
            </w:r>
          </w:p>
          <w:p>
            <w:pPr>
              <w:pStyle w:val="8"/>
              <w:ind w:firstLine="480"/>
              <w:rPr>
                <w:rFonts w:hint="default"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腔光机械系统还可用以实现超高稳定度的射频信号源输出，进而应用于芯片级精准授时、通信等领域。但是，在基于腔光力系统的高稳定度射频信号源研究领域，已报道的各种光机械振荡射频信号源技术方案并未从本质上改善光机械振荡信号的频率稳定性，且远未达到芯片级参考时钟和高精度导航与定位等器件与系统的性能需求。</w:t>
            </w:r>
          </w:p>
          <w:p>
            <w:pPr>
              <w:pStyle w:val="8"/>
              <w:ind w:firstLine="480"/>
              <w:rPr>
                <w:rFonts w:ascii="宋体" w:hAnsi="宋体" w:eastAsia="宋体"/>
                <w:color w:val="000000" w:themeColor="text1"/>
                <w14:textFill>
                  <w14:solidFill>
                    <w14:schemeClr w14:val="tx1"/>
                  </w14:solidFill>
                </w14:textFill>
              </w:rPr>
            </w:pPr>
            <w:r>
              <w:rPr>
                <w:rFonts w:hint="eastAsia" w:eastAsia="宋体"/>
                <w:color w:val="000000" w:themeColor="text1"/>
                <w:lang w:val="en-US" w:eastAsia="zh-CN"/>
                <w14:textFill>
                  <w14:solidFill>
                    <w14:schemeClr w14:val="tx1"/>
                  </w14:solidFill>
                </w14:textFill>
              </w:rPr>
              <w:t>针对此关键科学问题，综合利用铷原子气体超精细分裂原子能级跃迁可输出超高稳定度射频信号的优势，以及</w:t>
            </w:r>
            <w:r>
              <w:rPr>
                <w:rFonts w:hint="eastAsia" w:eastAsia="宋体"/>
                <w:color w:val="000000" w:themeColor="text1"/>
                <w14:textFill>
                  <w14:solidFill>
                    <w14:schemeClr w14:val="tx1"/>
                  </w14:solidFill>
                </w14:textFill>
              </w:rPr>
              <w:t>单晶铌酸锂薄膜材料所具有的的宽光谱低损耗特性</w:t>
            </w:r>
            <w:r>
              <w:rPr>
                <w:rFonts w:hint="eastAsia" w:eastAsia="宋体"/>
                <w:color w:val="000000" w:themeColor="text1"/>
                <w:lang w:eastAsia="zh-CN"/>
                <w14:textFill>
                  <w14:solidFill>
                    <w14:schemeClr w14:val="tx1"/>
                  </w14:solidFill>
                </w14:textFill>
              </w:rPr>
              <w:t>，</w:t>
            </w:r>
            <w:r>
              <w:rPr>
                <w:rFonts w:hint="eastAsia" w:eastAsia="宋体"/>
                <w:color w:val="000000" w:themeColor="text1"/>
                <w:lang w:val="en-US" w:eastAsia="zh-CN"/>
                <w14:textFill>
                  <w14:solidFill>
                    <w14:schemeClr w14:val="tx1"/>
                  </w14:solidFill>
                </w14:textFill>
              </w:rPr>
              <w:t>将两种频率源结合起来。鉴于目前实验室光源工作在通信C波段（~1550nm），首先需要设计一款能工作在~1550nm的铌酸锂基光子晶体腔光力系统</w:t>
            </w:r>
            <w:r>
              <w:rPr>
                <w:rFonts w:eastAsia="宋体"/>
                <w:color w:val="000000" w:themeColor="text1"/>
                <w14:textFill>
                  <w14:solidFill>
                    <w14:schemeClr w14:val="tx1"/>
                  </w14:solidFill>
                </w14:textFill>
              </w:rPr>
              <w:t>。</w:t>
            </w:r>
          </w:p>
          <w:p>
            <w:pPr>
              <w:pStyle w:val="8"/>
              <w:ind w:firstLine="480"/>
              <w:rPr>
                <w:rFonts w:ascii="宋体" w:hAnsi="宋体" w:eastAsia="宋体"/>
                <w:color w:val="000000" w:themeColor="text1"/>
                <w14:textFill>
                  <w14:solidFill>
                    <w14:schemeClr w14:val="tx1"/>
                  </w14:solidFill>
                </w14:textFill>
              </w:rPr>
            </w:pP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创新点：</w:t>
            </w:r>
          </w:p>
          <w:p>
            <w:pPr>
              <w:pStyle w:val="8"/>
              <w:numPr>
                <w:ilvl w:val="0"/>
                <w:numId w:val="3"/>
              </w:numPr>
              <w:ind w:left="0" w:firstLine="480"/>
              <w:rPr>
                <w:rFonts w:eastAsia="宋体"/>
                <w:color w:val="000000" w:themeColor="text1"/>
                <w14:textFill>
                  <w14:solidFill>
                    <w14:schemeClr w14:val="tx1"/>
                  </w14:solidFill>
                </w14:textFill>
              </w:rPr>
            </w:pPr>
            <w:r>
              <w:rPr>
                <w:rFonts w:hint="eastAsia" w:eastAsia="宋体"/>
                <w:color w:val="000000" w:themeColor="text1"/>
                <w:lang w:val="en-US" w:eastAsia="zh-CN"/>
                <w14:textFill>
                  <w14:solidFill>
                    <w14:schemeClr w14:val="tx1"/>
                  </w14:solidFill>
                </w14:textFill>
              </w:rPr>
              <w:t>使用铌酸锂作为基底加工单晶铌酸锂薄膜。铌酸锂材料具有宽光谱低损耗特性，其光学模式的品质因子Q~10</w:t>
            </w:r>
            <w:r>
              <w:rPr>
                <w:rFonts w:hint="eastAsia" w:eastAsia="宋体"/>
                <w:color w:val="000000" w:themeColor="text1"/>
                <w:vertAlign w:val="superscript"/>
                <w:lang w:val="en-US" w:eastAsia="zh-CN"/>
                <w14:textFill>
                  <w14:solidFill>
                    <w14:schemeClr w14:val="tx1"/>
                  </w14:solidFill>
                </w14:textFill>
              </w:rPr>
              <w:t>6</w:t>
            </w:r>
            <w:r>
              <w:rPr>
                <w:rFonts w:hint="eastAsia" w:eastAsia="宋体"/>
                <w:color w:val="000000" w:themeColor="text1"/>
                <w:vertAlign w:val="baseline"/>
                <w:lang w:val="en-US" w:eastAsia="zh-CN"/>
                <w14:textFill>
                  <w14:solidFill>
                    <w14:schemeClr w14:val="tx1"/>
                  </w14:solidFill>
                </w14:textFill>
              </w:rPr>
              <w:t>，比硅基高出一个数量级</w:t>
            </w:r>
            <w:r>
              <w:rPr>
                <w:rFonts w:eastAsia="宋体"/>
                <w:color w:val="000000" w:themeColor="text1"/>
                <w14:textFill>
                  <w14:solidFill>
                    <w14:schemeClr w14:val="tx1"/>
                  </w14:solidFill>
                </w14:textFill>
              </w:rPr>
              <w:t>。</w:t>
            </w:r>
          </w:p>
          <w:p>
            <w:pPr>
              <w:pStyle w:val="8"/>
              <w:numPr>
                <w:ilvl w:val="0"/>
                <w:numId w:val="3"/>
              </w:numPr>
              <w:ind w:left="0" w:firstLine="480"/>
              <w:rPr>
                <w:rFonts w:eastAsia="宋体"/>
                <w:color w:val="000000" w:themeColor="text1"/>
                <w14:textFill>
                  <w14:solidFill>
                    <w14:schemeClr w14:val="tx1"/>
                  </w14:solidFill>
                </w14:textFill>
              </w:rPr>
            </w:pPr>
            <w:r>
              <w:rPr>
                <w:rFonts w:hint="eastAsia" w:eastAsia="宋体"/>
                <w:color w:val="000000" w:themeColor="text1"/>
                <w:lang w:val="en-US" w:eastAsia="zh-CN"/>
                <w14:textFill>
                  <w14:solidFill>
                    <w14:schemeClr w14:val="tx1"/>
                  </w14:solidFill>
                </w14:textFill>
              </w:rPr>
              <w:t>使用空气槽加载的光学谐振腔。空气槽起到了自由空间场局域化的作用，空气槽中的电场强度提高，进一步提高了光学模式的品质因子</w:t>
            </w:r>
            <w:r>
              <w:rPr>
                <w:rFonts w:eastAsia="宋体"/>
                <w:color w:val="000000" w:themeColor="text1"/>
                <w14:textFill>
                  <w14:solidFill>
                    <w14:schemeClr w14:val="tx1"/>
                  </w14:solidFill>
                </w14:textFill>
              </w:rPr>
              <w:t>。</w:t>
            </w:r>
          </w:p>
          <w:p>
            <w:pPr>
              <w:pStyle w:val="8"/>
              <w:numPr>
                <w:ilvl w:val="0"/>
                <w:numId w:val="3"/>
              </w:numPr>
              <w:ind w:left="0" w:firstLine="480"/>
              <w:rPr>
                <w:rFonts w:eastAsia="宋体"/>
                <w:color w:val="000000" w:themeColor="text1"/>
                <w14:textFill>
                  <w14:solidFill>
                    <w14:schemeClr w14:val="tx1"/>
                  </w14:solidFill>
                </w14:textFill>
              </w:rPr>
            </w:pPr>
            <w:r>
              <w:rPr>
                <w:rFonts w:hint="eastAsia" w:eastAsia="宋体"/>
                <w:color w:val="000000" w:themeColor="text1"/>
                <w:lang w:val="en-US" w:eastAsia="zh-CN"/>
                <w14:textFill>
                  <w14:solidFill>
                    <w14:schemeClr w14:val="tx1"/>
                  </w14:solidFill>
                </w14:textFill>
              </w:rPr>
              <w:t>提出一种固定铌酸锂薄膜四角的双悬臂型机械振子结构。可以调节悬臂尺寸来调制铌酸锂薄膜的机械振动频率</w:t>
            </w:r>
            <w:r>
              <w:rPr>
                <w:rFonts w:eastAsia="宋体"/>
                <w:color w:val="000000" w:themeColor="text1"/>
                <w14:textFill>
                  <w14:solidFill>
                    <w14:schemeClr w14:val="tx1"/>
                  </w14:solidFill>
                </w14:textFill>
              </w:rPr>
              <w:t>。</w:t>
            </w:r>
          </w:p>
          <w:p>
            <w:pPr>
              <w:pStyle w:val="8"/>
              <w:ind w:left="360" w:firstLine="0" w:firstLineChars="0"/>
              <w:rPr>
                <w:rFonts w:ascii="宋体" w:hAnsi="宋体" w:eastAsia="宋体"/>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b/>
                <w:color w:val="000000" w:themeColor="text1"/>
                <w14:textFill>
                  <w14:solidFill>
                    <w14:schemeClr w14:val="tx1"/>
                  </w14:solidFill>
                </w14:textFill>
              </w:rPr>
              <w:t>具体内容：</w:t>
            </w:r>
          </w:p>
          <w:p>
            <w:pPr>
              <w:ind w:firstLine="480" w:firstLineChars="200"/>
              <w:rPr>
                <w:rFonts w:hint="eastAsia"/>
                <w:bCs/>
                <w:color w:val="000000" w:themeColor="text1"/>
                <w:sz w:val="24"/>
                <w14:textFill>
                  <w14:solidFill>
                    <w14:schemeClr w14:val="tx1"/>
                  </w14:solidFill>
                </w14:textFill>
              </w:rPr>
            </w:pPr>
            <w:r>
              <w:rPr>
                <w:rFonts w:hint="eastAsia"/>
                <w:bCs/>
                <w:color w:val="000000" w:themeColor="text1"/>
                <w:sz w:val="24"/>
                <w:lang w:val="en-US" w:eastAsia="zh-CN"/>
                <w14:textFill>
                  <w14:solidFill>
                    <w14:schemeClr w14:val="tx1"/>
                  </w14:solidFill>
                </w14:textFill>
              </w:rPr>
              <w:t>光子晶体腔光力系统的设计可以分为四部分：光子晶体阵列设计、光子晶体波导设计、光子晶体微腔设计、光子晶体光机耦合设计</w:t>
            </w:r>
            <w:r>
              <w:rPr>
                <w:rFonts w:hint="eastAsia"/>
                <w:bCs/>
                <w:color w:val="000000" w:themeColor="text1"/>
                <w:sz w:val="24"/>
                <w14:textFill>
                  <w14:solidFill>
                    <w14:schemeClr w14:val="tx1"/>
                  </w14:solidFill>
                </w14:textFill>
              </w:rPr>
              <w:t>。</w:t>
            </w:r>
          </w:p>
          <w:p>
            <w:pPr>
              <w:jc w:val="center"/>
              <w:rPr>
                <w:rFonts w:hint="eastAsia"/>
                <w:bCs/>
                <w:color w:val="000000" w:themeColor="text1"/>
                <w:sz w:val="24"/>
                <w14:textFill>
                  <w14:solidFill>
                    <w14:schemeClr w14:val="tx1"/>
                  </w14:solidFill>
                </w14:textFill>
              </w:rPr>
            </w:pPr>
            <w:r>
              <w:object>
                <v:shape id="_x0000_i1026" o:spt="75" type="#_x0000_t75" style="height:85.05pt;width:113.4pt;" o:ole="t" filled="f" o:preferrelative="t" stroked="f" coordsize="21600,21600">
                  <v:path/>
                  <v:fill on="f" focussize="0,0"/>
                  <v:stroke on="f"/>
                  <v:imagedata r:id="rId9" o:title=""/>
                  <o:lock v:ext="edit" aspectratio="f"/>
                  <w10:wrap type="none"/>
                  <w10:anchorlock/>
                </v:shape>
                <o:OLEObject Type="Embed" ProgID="Visio.Drawing.15" ShapeID="_x0000_i1026" DrawAspect="Content" ObjectID="_1468075726" r:id="rId8">
                  <o:LockedField>false</o:LockedField>
                </o:OLEObject>
              </w:object>
            </w:r>
            <w:r>
              <w:rPr>
                <w:rFonts w:hint="eastAsia"/>
                <w:lang w:val="en-US" w:eastAsia="zh-CN"/>
              </w:rPr>
              <w:t xml:space="preserve"> </w:t>
            </w:r>
            <w:r>
              <w:object>
                <v:shape id="_x0000_i1027" o:spt="75" type="#_x0000_t75" style="height:85.05pt;width:113.4pt;" o:ole="t" filled="f" o:preferrelative="t" stroked="f" coordsize="21600,21600">
                  <v:path/>
                  <v:fill on="f" focussize="0,0"/>
                  <v:stroke on="f"/>
                  <v:imagedata r:id="rId11" o:title=""/>
                  <o:lock v:ext="edit" aspectratio="f"/>
                  <w10:wrap type="none"/>
                  <w10:anchorlock/>
                </v:shape>
                <o:OLEObject Type="Embed" ProgID="Visio.Drawing.15" ShapeID="_x0000_i1027" DrawAspect="Content" ObjectID="_1468075727" r:id="rId10">
                  <o:LockedField>false</o:LockedField>
                </o:OLEObject>
              </w:object>
            </w:r>
            <w:r>
              <w:rPr>
                <w:rFonts w:hint="eastAsia"/>
                <w:lang w:val="en-US" w:eastAsia="zh-CN"/>
              </w:rPr>
              <w:t xml:space="preserve"> </w:t>
            </w:r>
            <w:r>
              <w:object>
                <v:shape id="_x0000_i1028" o:spt="75" type="#_x0000_t75" style="height:85.05pt;width:113.4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r>
              <w:rPr>
                <w:rFonts w:hint="eastAsia"/>
                <w:lang w:val="en-US" w:eastAsia="zh-CN"/>
              </w:rPr>
              <w:t xml:space="preserve"> </w:t>
            </w:r>
            <w:r>
              <w:rPr>
                <w:rFonts w:hint="eastAsia"/>
                <w:bCs/>
                <w:color w:val="000000" w:themeColor="text1"/>
                <w:sz w:val="24"/>
                <w14:textFill>
                  <w14:solidFill>
                    <w14:schemeClr w14:val="tx1"/>
                  </w14:solidFill>
                </w14:textFill>
              </w:rPr>
              <w:object>
                <v:shape id="_x0000_i1029" o:spt="75" type="#_x0000_t75" style="height:85.05pt;width:113.4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spacing w:after="120" w:afterLines="50"/>
              <w:ind w:right="960"/>
              <w:jc w:val="center"/>
              <w:rPr>
                <w:rFonts w:ascii="宋体" w:hAnsi="宋体"/>
                <w:color w:val="000000" w:themeColor="text1"/>
                <w14:textFill>
                  <w14:solidFill>
                    <w14:schemeClr w14:val="tx1"/>
                  </w14:solidFill>
                </w14:textFill>
              </w:rPr>
            </w:pPr>
            <w:r>
              <w:rPr>
                <w:rFonts w:hint="eastAsia" w:ascii="宋体" w:hAnsi="宋体"/>
                <w:color w:val="000000" w:themeColor="text1"/>
                <w14:textFill>
                  <w14:solidFill>
                    <w14:schemeClr w14:val="tx1"/>
                  </w14:solidFill>
                </w14:textFill>
              </w:rPr>
              <w:t>图</w:t>
            </w:r>
            <w:r>
              <w:rPr>
                <w:rFonts w:hint="eastAsia" w:ascii="宋体" w:hAnsi="宋体"/>
                <w:color w:val="000000" w:themeColor="text1"/>
                <w:lang w:val="en-US" w:eastAsia="zh-CN"/>
                <w14:textFill>
                  <w14:solidFill>
                    <w14:schemeClr w14:val="tx1"/>
                  </w14:solidFill>
                </w14:textFill>
              </w:rPr>
              <w:t>2</w:t>
            </w:r>
            <w:r>
              <w:rPr>
                <w:rFonts w:ascii="宋体" w:hAnsi="宋体"/>
                <w:color w:val="000000" w:themeColor="text1"/>
                <w14:textFill>
                  <w14:solidFill>
                    <w14:schemeClr w14:val="tx1"/>
                  </w14:solidFill>
                </w14:textFill>
              </w:rPr>
              <w:t xml:space="preserve"> </w:t>
            </w:r>
            <w:r>
              <w:rPr>
                <w:rFonts w:hint="eastAsia" w:ascii="宋体" w:hAnsi="宋体"/>
                <w:color w:val="000000" w:themeColor="text1"/>
                <w:lang w:val="en-US" w:eastAsia="zh-CN"/>
                <w14:textFill>
                  <w14:solidFill>
                    <w14:schemeClr w14:val="tx1"/>
                  </w14:solidFill>
                </w14:textFill>
              </w:rPr>
              <w:t>铌酸锂基光子晶体腔光力系统设计</w:t>
            </w:r>
          </w:p>
          <w:p>
            <w:pPr>
              <w:ind w:firstLine="480" w:firstLineChars="200"/>
              <w:rPr>
                <w:rFonts w:hint="eastAsia"/>
                <w:bCs/>
                <w:color w:val="000000" w:themeColor="text1"/>
                <w:sz w:val="24"/>
                <w14:textFill>
                  <w14:solidFill>
                    <w14:schemeClr w14:val="tx1"/>
                  </w14:solidFill>
                </w14:textFill>
              </w:rPr>
            </w:pPr>
            <w:r>
              <w:rPr>
                <w:rFonts w:hint="eastAsia"/>
                <w:bCs/>
                <w:color w:val="000000" w:themeColor="text1"/>
                <w:sz w:val="24"/>
                <w:lang w:val="en-US" w:eastAsia="zh-CN"/>
                <w14:textFill>
                  <w14:solidFill>
                    <w14:schemeClr w14:val="tx1"/>
                  </w14:solidFill>
                </w14:textFill>
              </w:rPr>
              <w:t>（1）光子晶体阵列设计部分：</w:t>
            </w:r>
            <w:r>
              <w:rPr>
                <w:rFonts w:ascii="宋体" w:hAnsi="宋体" w:cs="宋体"/>
                <w:sz w:val="24"/>
              </w:rPr>
              <w:t>与普通晶体中周期性电势形成电子能带和电子带隙类似，光子晶体中周期性介电常数对光子的调制形成了光子能带与光子带隙。</w:t>
            </w:r>
            <w:r>
              <w:rPr>
                <w:rFonts w:hint="eastAsia"/>
                <w:bCs/>
                <w:color w:val="000000" w:themeColor="text1"/>
                <w:sz w:val="24"/>
                <w:lang w:val="en-US" w:eastAsia="zh-CN"/>
                <w14:textFill>
                  <w14:solidFill>
                    <w14:schemeClr w14:val="tx1"/>
                  </w14:solidFill>
                </w14:textFill>
              </w:rPr>
              <w:t>实验使用300nm后的铌酸锂晶圆，通过通过调节光子晶体晶格常数、空气孔半径参数，设计获得能工作在通信C波段（~1550nm）的铌酸锂基二维光子晶体</w:t>
            </w:r>
            <w:r>
              <w:rPr>
                <w:rFonts w:hint="eastAsia"/>
                <w:bCs/>
                <w:color w:val="000000" w:themeColor="text1"/>
                <w:sz w:val="24"/>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仿真结果验证：</w:t>
            </w:r>
          </w:p>
          <w:p>
            <w:pPr>
              <w:ind w:firstLine="480" w:firstLineChars="200"/>
              <w:rPr>
                <w:rFonts w:hint="eastAsia"/>
                <w:bCs/>
                <w:color w:val="000000" w:themeColor="text1"/>
                <w:sz w:val="24"/>
                <w:lang w:val="en-US" w:eastAsia="zh-CN"/>
                <w14:textFill>
                  <w14:solidFill>
                    <w14:schemeClr w14:val="tx1"/>
                  </w14:solidFill>
                </w14:textFill>
              </w:rPr>
            </w:pPr>
            <w:r>
              <w:rPr>
                <w:rFonts w:hint="eastAsia"/>
                <w:bCs/>
                <w:color w:val="000000" w:themeColor="text1"/>
                <w:sz w:val="24"/>
                <w:lang w:val="en-US" w:eastAsia="zh-CN"/>
                <w14:textFill>
                  <w14:solidFill>
                    <w14:schemeClr w14:val="tx1"/>
                  </w14:solidFill>
                </w14:textFill>
              </w:rPr>
              <w:t>使用时域有限差分法（FDTD）仿真研究不同参数（晶格常数、小孔半径、平板厚度）对铌酸锂基光子晶体能隙的影响，依此选择合适的参数。</w:t>
            </w:r>
          </w:p>
          <w:p>
            <w:pPr>
              <w:ind w:firstLine="480" w:firstLineChars="200"/>
              <w:rPr>
                <w:rFonts w:hint="eastAsia"/>
                <w:bCs/>
                <w:color w:val="000000" w:themeColor="text1"/>
                <w:sz w:val="24"/>
                <w:lang w:val="en-US" w:eastAsia="zh-CN"/>
                <w14:textFill>
                  <w14:solidFill>
                    <w14:schemeClr w14:val="tx1"/>
                  </w14:solidFill>
                </w14:textFill>
              </w:rPr>
            </w:pPr>
            <w:r>
              <w:rPr>
                <w:rFonts w:hint="eastAsia"/>
                <w:bCs/>
                <w:color w:val="000000" w:themeColor="text1"/>
                <w:sz w:val="24"/>
                <w:lang w:val="en-US" w:eastAsia="zh-CN"/>
                <w14:textFill>
                  <w14:solidFill>
                    <w14:schemeClr w14:val="tx1"/>
                  </w14:solidFill>
                </w14:textFill>
              </w:rPr>
              <w:t>以小孔半径的研究为例，在保证晶格常数和平板厚度不变的条件下，研究不同空气孔半径对光子晶体能隙宽度和范围的影响。进行了三组不同晶格参数条件下的仿真研究如图3所</w:t>
            </w:r>
            <w:bookmarkStart w:id="6" w:name="_GoBack"/>
            <w:bookmarkEnd w:id="6"/>
            <w:r>
              <w:rPr>
                <w:rFonts w:hint="eastAsia"/>
                <w:bCs/>
                <w:color w:val="000000" w:themeColor="text1"/>
                <w:sz w:val="24"/>
                <w:lang w:val="en-US" w:eastAsia="zh-CN"/>
                <w14:textFill>
                  <w14:solidFill>
                    <w14:schemeClr w14:val="tx1"/>
                  </w14:solidFill>
                </w14:textFill>
              </w:rPr>
              <w:t>示：</w:t>
            </w:r>
          </w:p>
          <w:p>
            <w:pPr>
              <w:ind w:firstLine="480" w:firstLineChars="200"/>
              <w:rPr>
                <w:rFonts w:hint="eastAsia"/>
                <w:bCs/>
                <w:color w:val="000000" w:themeColor="text1"/>
                <w:sz w:val="24"/>
                <w:lang w:val="en-US" w:eastAsia="zh-CN"/>
                <w14:textFill>
                  <w14:solidFill>
                    <w14:schemeClr w14:val="tx1"/>
                  </w14:solidFill>
                </w14:textFill>
              </w:rPr>
            </w:pPr>
            <w:r>
              <w:rPr>
                <w:rFonts w:hint="eastAsia"/>
                <w:bCs/>
                <w:color w:val="000000" w:themeColor="text1"/>
                <w:sz w:val="24"/>
                <w:lang w:val="en-US" w:eastAsia="zh-CN"/>
                <w14:textFill>
                  <w14:solidFill>
                    <w14:schemeClr w14:val="tx1"/>
                  </w14:solidFill>
                </w14:textFill>
              </w:rPr>
              <w:t>其中左图为能隙宽度随空气填充率的变化，可以看出随着空气填充率的增大，能隙宽度呈现出先增大后减小的趋势，且小孔半径为0.35倍晶格常数时，可以获得最宽的带隙，此时带隙宽度能达到240nm；</w:t>
            </w:r>
          </w:p>
          <w:p>
            <w:pPr>
              <w:ind w:firstLine="480" w:firstLineChars="200"/>
              <w:rPr>
                <w:rFonts w:hint="eastAsia"/>
                <w:bCs/>
                <w:color w:val="000000" w:themeColor="text1"/>
                <w:sz w:val="24"/>
                <w:lang w:val="en-US" w:eastAsia="zh-CN"/>
                <w14:textFill>
                  <w14:solidFill>
                    <w14:schemeClr w14:val="tx1"/>
                  </w14:solidFill>
                </w14:textFill>
              </w:rPr>
            </w:pPr>
            <w:r>
              <w:rPr>
                <w:rFonts w:hint="eastAsia"/>
                <w:bCs/>
                <w:color w:val="000000" w:themeColor="text1"/>
                <w:sz w:val="24"/>
                <w:lang w:val="en-US" w:eastAsia="zh-CN"/>
                <w14:textFill>
                  <w14:solidFill>
                    <w14:schemeClr w14:val="tx1"/>
                  </w14:solidFill>
                </w14:textFill>
              </w:rPr>
              <w:t>其中右图为能隙位置随空气填充率的变化，选择能隙中心为纵坐标，可以看出随着空气填充率的增大，能隙中心点一直呈现向低波长移动的趋势。</w:t>
            </w:r>
          </w:p>
          <w:p>
            <w:pPr>
              <w:ind w:firstLine="480" w:firstLineChars="200"/>
              <w:rPr>
                <w:rFonts w:hint="default"/>
                <w:bCs/>
                <w:color w:val="000000" w:themeColor="text1"/>
                <w:sz w:val="24"/>
                <w:lang w:val="en-US" w:eastAsia="zh-CN"/>
                <w14:textFill>
                  <w14:solidFill>
                    <w14:schemeClr w14:val="tx1"/>
                  </w14:solidFill>
                </w14:textFill>
              </w:rPr>
            </w:pPr>
            <w:r>
              <w:rPr>
                <w:rFonts w:hint="eastAsia"/>
                <w:bCs/>
                <w:color w:val="000000" w:themeColor="text1"/>
                <w:sz w:val="24"/>
                <w:lang w:val="en-US" w:eastAsia="zh-CN"/>
                <w14:textFill>
                  <w14:solidFill>
                    <w14:schemeClr w14:val="tx1"/>
                  </w14:solidFill>
                </w14:textFill>
              </w:rPr>
              <w:t>选择晶格常数为650nm，鉴于实验中所用激光源的波长范围为1510-1620nm范围，为使得能隙范围能较好覆盖激光源范围，选择小孔半径为185nm，由此得到了最后的铌酸锂基光子晶体参数：晶格常数650nm、小孔半径185nm、铌酸锂平板厚度300nm，能隙范围为1.47-1.64um。</w:t>
            </w:r>
          </w:p>
          <w:p>
            <w:pPr>
              <w:jc w:val="center"/>
              <w:rPr>
                <w:rFonts w:hint="eastAsia"/>
              </w:rPr>
            </w:pPr>
            <w:r>
              <w:rPr>
                <w:rFonts w:hint="eastAsia"/>
              </w:rPr>
              <w:drawing>
                <wp:inline distT="0" distB="0" distL="114300" distR="114300">
                  <wp:extent cx="2520315" cy="1800225"/>
                  <wp:effectExtent l="0" t="0" r="0" b="13335"/>
                  <wp:docPr id="17" name="图片 20"/>
                  <wp:cNvGraphicFramePr/>
                  <a:graphic xmlns:a="http://schemas.openxmlformats.org/drawingml/2006/main">
                    <a:graphicData uri="http://schemas.openxmlformats.org/drawingml/2006/picture">
                      <pic:pic xmlns:pic="http://schemas.openxmlformats.org/drawingml/2006/picture">
                        <pic:nvPicPr>
                          <pic:cNvPr id="17" name="图片 20"/>
                          <pic:cNvPicPr/>
                        </pic:nvPicPr>
                        <pic:blipFill>
                          <a:blip r:embed="rId16"/>
                          <a:stretch>
                            <a:fillRect/>
                          </a:stretch>
                        </pic:blipFill>
                        <pic:spPr>
                          <a:xfrm>
                            <a:off x="0" y="0"/>
                            <a:ext cx="2520315" cy="1800225"/>
                          </a:xfrm>
                          <a:prstGeom prst="rect">
                            <a:avLst/>
                          </a:prstGeom>
                          <a:noFill/>
                          <a:ln>
                            <a:noFill/>
                          </a:ln>
                        </pic:spPr>
                      </pic:pic>
                    </a:graphicData>
                  </a:graphic>
                </wp:inline>
              </w:drawing>
            </w:r>
            <w:r>
              <w:rPr>
                <w:rFonts w:hint="eastAsia"/>
              </w:rPr>
              <w:drawing>
                <wp:inline distT="0" distB="0" distL="114300" distR="114300">
                  <wp:extent cx="2520315" cy="1800225"/>
                  <wp:effectExtent l="0" t="0" r="0" b="13335"/>
                  <wp:docPr id="18" name="图片 21"/>
                  <wp:cNvGraphicFramePr/>
                  <a:graphic xmlns:a="http://schemas.openxmlformats.org/drawingml/2006/main">
                    <a:graphicData uri="http://schemas.openxmlformats.org/drawingml/2006/picture">
                      <pic:pic xmlns:pic="http://schemas.openxmlformats.org/drawingml/2006/picture">
                        <pic:nvPicPr>
                          <pic:cNvPr id="18" name="图片 21"/>
                          <pic:cNvPicPr/>
                        </pic:nvPicPr>
                        <pic:blipFill>
                          <a:blip r:embed="rId17"/>
                          <a:stretch>
                            <a:fillRect/>
                          </a:stretch>
                        </pic:blipFill>
                        <pic:spPr>
                          <a:xfrm>
                            <a:off x="0" y="0"/>
                            <a:ext cx="2520315" cy="1800225"/>
                          </a:xfrm>
                          <a:prstGeom prst="rect">
                            <a:avLst/>
                          </a:prstGeom>
                          <a:noFill/>
                          <a:ln>
                            <a:noFill/>
                          </a:ln>
                        </pic:spPr>
                      </pic:pic>
                    </a:graphicData>
                  </a:graphic>
                </wp:inline>
              </w:drawing>
            </w:r>
          </w:p>
          <w:p>
            <w:pPr>
              <w:spacing w:after="120" w:afterLines="50"/>
              <w:ind w:right="960"/>
              <w:jc w:val="center"/>
              <w:rPr>
                <w:rFonts w:hint="default" w:ascii="宋体" w:hAnsi="宋体"/>
                <w:color w:val="000000" w:themeColor="text1"/>
                <w:lang w:val="en-US" w:eastAsia="zh-CN"/>
                <w14:textFill>
                  <w14:solidFill>
                    <w14:schemeClr w14:val="tx1"/>
                  </w14:solidFill>
                </w14:textFill>
              </w:rPr>
            </w:pPr>
            <w:r>
              <w:rPr>
                <w:rFonts w:hint="eastAsia" w:ascii="宋体" w:hAnsi="宋体"/>
                <w:color w:val="000000" w:themeColor="text1"/>
                <w:lang w:val="en-US" w:eastAsia="zh-CN"/>
                <w14:textFill>
                  <w14:solidFill>
                    <w14:schemeClr w14:val="tx1"/>
                  </w14:solidFill>
                </w14:textFill>
              </w:rPr>
              <w:t>图3 小孔半径对铌酸锂基光子晶体带隙的影响</w:t>
            </w:r>
          </w:p>
          <w:p>
            <w:pPr>
              <w:numPr>
                <w:ilvl w:val="0"/>
                <w:numId w:val="4"/>
              </w:numPr>
              <w:ind w:firstLine="480" w:firstLineChars="200"/>
              <w:rPr>
                <w:rFonts w:hint="eastAsia"/>
                <w:bCs/>
                <w:color w:val="000000" w:themeColor="text1"/>
                <w:sz w:val="24"/>
                <w14:textFill>
                  <w14:solidFill>
                    <w14:schemeClr w14:val="tx1"/>
                  </w14:solidFill>
                </w14:textFill>
              </w:rPr>
            </w:pPr>
            <w:r>
              <w:rPr>
                <w:rFonts w:hint="eastAsia"/>
                <w:bCs/>
                <w:color w:val="000000" w:themeColor="text1"/>
                <w:sz w:val="24"/>
                <w:lang w:val="en-US" w:eastAsia="zh-CN"/>
                <w14:textFill>
                  <w14:solidFill>
                    <w14:schemeClr w14:val="tx1"/>
                  </w14:solidFill>
                </w14:textFill>
              </w:rPr>
              <w:t>光子晶体波导设计部分：在二维平板光子晶体中引入线性缺陷，即可形成光子晶体波导。光子晶体波导在水平方向通过禁带束缚光子，在垂直方向通过全反射束缚光子，形成一系列波导模式。在设计好的铌酸锂基光子晶体的基础上，通过通过调节光子晶体线缺陷宽度，设计获得能工作在通信C波段（~1550nm）的铌酸锂基二维光子晶体波导</w:t>
            </w:r>
            <w:r>
              <w:rPr>
                <w:rFonts w:hint="eastAsia"/>
                <w:bCs/>
                <w:color w:val="000000" w:themeColor="text1"/>
                <w:sz w:val="24"/>
                <w14:textFill>
                  <w14:solidFill>
                    <w14:schemeClr w14:val="tx1"/>
                  </w14:solidFill>
                </w14:textFill>
              </w:rPr>
              <w:t>。</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仿真结果验证：</w:t>
            </w:r>
          </w:p>
          <w:p>
            <w:pPr>
              <w:ind w:firstLine="480" w:firstLineChars="200"/>
              <w:rPr>
                <w:rFonts w:hint="eastAsia"/>
                <w:sz w:val="24"/>
                <w:lang w:val="en-US" w:eastAsia="zh-CN"/>
              </w:rPr>
            </w:pPr>
            <w:r>
              <w:rPr>
                <w:rFonts w:hint="eastAsia"/>
                <w:sz w:val="24"/>
              </w:rPr>
              <w:t>使用</w:t>
            </w:r>
            <w:r>
              <w:rPr>
                <w:sz w:val="24"/>
              </w:rPr>
              <w:t>L</w:t>
            </w:r>
            <w:r>
              <w:rPr>
                <w:rFonts w:hint="eastAsia"/>
                <w:sz w:val="24"/>
              </w:rPr>
              <w:t>umerical软件中的</w:t>
            </w:r>
            <w:r>
              <w:rPr>
                <w:sz w:val="24"/>
              </w:rPr>
              <w:t>MODE</w:t>
            </w:r>
            <w:r>
              <w:rPr>
                <w:rFonts w:hint="eastAsia"/>
                <w:sz w:val="24"/>
              </w:rPr>
              <w:t>模块进行光子晶体波导模式的仿真。在光子晶体阵列的基础上，设置一排</w:t>
            </w:r>
            <w:r>
              <w:rPr>
                <w:rFonts w:hint="eastAsia"/>
                <w:sz w:val="24"/>
                <w:lang w:val="en-US" w:eastAsia="zh-CN"/>
              </w:rPr>
              <w:t>固定</w:t>
            </w:r>
            <w:r>
              <w:rPr>
                <w:rFonts w:hint="eastAsia"/>
                <w:sz w:val="24"/>
              </w:rPr>
              <w:t>宽度的线缺陷，就形成了光子晶体波导。</w:t>
            </w:r>
            <w:r>
              <w:rPr>
                <w:rFonts w:hint="eastAsia"/>
                <w:sz w:val="24"/>
                <w:lang w:val="en-US" w:eastAsia="zh-CN"/>
              </w:rPr>
              <w:t>研究光随着光子晶体波导传输时的衰减，从光源出发，选择传输5um、10um之后的光透射率，以此表征光波导的束缚效果如图4所示：</w:t>
            </w:r>
          </w:p>
          <w:p>
            <w:pPr>
              <w:ind w:firstLine="480" w:firstLineChars="200"/>
              <w:rPr>
                <w:rFonts w:hint="eastAsia"/>
                <w:sz w:val="24"/>
                <w:lang w:val="en-US" w:eastAsia="zh-CN"/>
              </w:rPr>
            </w:pPr>
            <w:r>
              <w:rPr>
                <w:rFonts w:hint="eastAsia"/>
                <w:sz w:val="24"/>
                <w:lang w:val="en-US" w:eastAsia="zh-CN"/>
              </w:rPr>
              <w:t>其中左图为线缺陷宽度为1143nm的透射率曲线，图中三条曲线分别为光源位置处透射率（即x=0曲线），此时透射率为1，可以看出随着光波导的传输，波长范围为1.5-1.65um的光可以稳定传输，而1.65um以上波长的光会随着传输不断衰减；</w:t>
            </w:r>
          </w:p>
          <w:p>
            <w:pPr>
              <w:ind w:firstLine="480" w:firstLineChars="200"/>
              <w:rPr>
                <w:rFonts w:hint="default"/>
                <w:sz w:val="24"/>
                <w:lang w:val="en-US" w:eastAsia="zh-CN"/>
              </w:rPr>
            </w:pPr>
            <w:r>
              <w:rPr>
                <w:rFonts w:hint="eastAsia"/>
                <w:sz w:val="24"/>
                <w:lang w:val="en-US" w:eastAsia="zh-CN"/>
              </w:rPr>
              <w:t>其中右图为线缺陷宽度为1372nm的透射率曲线，图中三条曲线分别为光源位置处透射率（即x=0曲线），此时透射率为1，可以看出随着光波导的传输，波长范围为1.5-1.65um的光可以稳定传输，而1.65um以上波长的光会随着传输不断衰减。</w:t>
            </w:r>
          </w:p>
          <w:p>
            <w:pPr>
              <w:pStyle w:val="9"/>
              <w:bidi w:val="0"/>
            </w:pPr>
            <w:r>
              <w:drawing>
                <wp:inline distT="0" distB="0" distL="114300" distR="114300">
                  <wp:extent cx="2520315" cy="1800225"/>
                  <wp:effectExtent l="0" t="0" r="0" b="13335"/>
                  <wp:docPr id="5" name="图片 13"/>
                  <wp:cNvGraphicFramePr/>
                  <a:graphic xmlns:a="http://schemas.openxmlformats.org/drawingml/2006/main">
                    <a:graphicData uri="http://schemas.openxmlformats.org/drawingml/2006/picture">
                      <pic:pic xmlns:pic="http://schemas.openxmlformats.org/drawingml/2006/picture">
                        <pic:nvPicPr>
                          <pic:cNvPr id="5" name="图片 13"/>
                          <pic:cNvPicPr/>
                        </pic:nvPicPr>
                        <pic:blipFill>
                          <a:blip r:embed="rId18"/>
                          <a:stretch>
                            <a:fillRect/>
                          </a:stretch>
                        </pic:blipFill>
                        <pic:spPr>
                          <a:xfrm>
                            <a:off x="0" y="0"/>
                            <a:ext cx="2520315" cy="1800225"/>
                          </a:xfrm>
                          <a:prstGeom prst="rect">
                            <a:avLst/>
                          </a:prstGeom>
                          <a:noFill/>
                          <a:ln>
                            <a:noFill/>
                          </a:ln>
                        </pic:spPr>
                      </pic:pic>
                    </a:graphicData>
                  </a:graphic>
                </wp:inline>
              </w:drawing>
            </w:r>
            <w:r>
              <w:drawing>
                <wp:inline distT="0" distB="0" distL="114300" distR="114300">
                  <wp:extent cx="2520315" cy="1800225"/>
                  <wp:effectExtent l="0" t="0" r="0" b="13335"/>
                  <wp:docPr id="6" name="图片 14"/>
                  <wp:cNvGraphicFramePr/>
                  <a:graphic xmlns:a="http://schemas.openxmlformats.org/drawingml/2006/main">
                    <a:graphicData uri="http://schemas.openxmlformats.org/drawingml/2006/picture">
                      <pic:pic xmlns:pic="http://schemas.openxmlformats.org/drawingml/2006/picture">
                        <pic:nvPicPr>
                          <pic:cNvPr id="6" name="图片 14"/>
                          <pic:cNvPicPr/>
                        </pic:nvPicPr>
                        <pic:blipFill>
                          <a:blip r:embed="rId19"/>
                          <a:stretch>
                            <a:fillRect/>
                          </a:stretch>
                        </pic:blipFill>
                        <pic:spPr>
                          <a:xfrm>
                            <a:off x="0" y="0"/>
                            <a:ext cx="2520315" cy="1800225"/>
                          </a:xfrm>
                          <a:prstGeom prst="rect">
                            <a:avLst/>
                          </a:prstGeom>
                          <a:noFill/>
                          <a:ln>
                            <a:noFill/>
                          </a:ln>
                        </pic:spPr>
                      </pic:pic>
                    </a:graphicData>
                  </a:graphic>
                </wp:inline>
              </w:drawing>
            </w:r>
          </w:p>
          <w:p>
            <w:pPr>
              <w:spacing w:after="120" w:afterLines="50"/>
              <w:ind w:right="960"/>
              <w:jc w:val="center"/>
              <w:rPr>
                <w:rFonts w:hint="eastAsia"/>
                <w:sz w:val="24"/>
              </w:rPr>
            </w:pPr>
            <w:r>
              <w:rPr>
                <w:rFonts w:hint="eastAsia" w:ascii="宋体" w:hAnsi="宋体"/>
                <w:color w:val="000000" w:themeColor="text1"/>
                <w:lang w:val="en-US" w:eastAsia="zh-CN"/>
                <w14:textFill>
                  <w14:solidFill>
                    <w14:schemeClr w14:val="tx1"/>
                  </w14:solidFill>
                </w14:textFill>
              </w:rPr>
              <w:t>图4 光子晶体波导传输效果</w:t>
            </w:r>
          </w:p>
          <w:p>
            <w:pPr>
              <w:numPr>
                <w:ilvl w:val="0"/>
                <w:numId w:val="4"/>
              </w:numPr>
              <w:ind w:left="0" w:leftChars="0" w:firstLine="480" w:firstLineChars="200"/>
              <w:rPr>
                <w:rFonts w:hint="eastAsia"/>
                <w:sz w:val="24"/>
                <w:lang w:val="en-US" w:eastAsia="zh-CN"/>
              </w:rPr>
            </w:pPr>
            <w:r>
              <w:rPr>
                <w:rFonts w:hint="eastAsia"/>
                <w:sz w:val="24"/>
                <w:lang w:val="en-US" w:eastAsia="zh-CN"/>
              </w:rPr>
              <w:t>光子晶体微腔设计部分：在光子晶体中引入缺陷实现光限制，就形成了微腔，使用光子晶体的带隙结构来实现光的反射，如果腔的尺寸正适合容纳一个处在禁带中的模式，就将这个模式束缚在了缺陷处，如果这个模式与传播模有非零耦合，能量就会从谐振方向泄露出去，这一特性用微腔的品质因子Q来描述。本文设计研究了L3型微腔结构，并将周围三层空气孔分别进行不同程度的位移dA=15nm、dB=10nm、dC=5nm实现光限制。</w:t>
            </w:r>
          </w:p>
          <w:p>
            <w:pPr>
              <w:numPr>
                <w:ilvl w:val="0"/>
                <w:numId w:val="0"/>
              </w:numPr>
              <w:ind w:leftChars="200"/>
              <w:rPr>
                <w:rFonts w:hint="eastAsia"/>
                <w:sz w:val="24"/>
                <w:lang w:val="en-US" w:eastAsia="zh-CN"/>
              </w:rPr>
            </w:pPr>
            <w:r>
              <w:rPr>
                <w:rFonts w:hint="eastAsia"/>
                <w:sz w:val="24"/>
                <w:lang w:val="en-US" w:eastAsia="zh-CN"/>
              </w:rPr>
              <w:t>之后在在已获得的铌酸锂基二维光子晶体微腔结构的基础上，进一步的，在线缺陷型二</w:t>
            </w:r>
          </w:p>
          <w:p>
            <w:pPr>
              <w:numPr>
                <w:ilvl w:val="0"/>
                <w:numId w:val="0"/>
              </w:numPr>
              <w:rPr>
                <w:rFonts w:hint="default"/>
                <w:sz w:val="24"/>
                <w:lang w:val="en-US" w:eastAsia="zh-CN"/>
              </w:rPr>
            </w:pPr>
            <w:r>
              <w:rPr>
                <w:rFonts w:hint="eastAsia"/>
                <w:sz w:val="24"/>
                <w:lang w:val="en-US" w:eastAsia="zh-CN"/>
              </w:rPr>
              <w:t>维光子晶体波导的波导中线部分进行空气槽加载。对于平板型微谐振腔，此处空气槽起到了自由空间场局域化的作用，空气槽中的电场会提高，使得模型的Q值提高。</w:t>
            </w:r>
          </w:p>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仿真结果验证：</w:t>
            </w:r>
          </w:p>
          <w:p>
            <w:pPr>
              <w:numPr>
                <w:ilvl w:val="0"/>
                <w:numId w:val="0"/>
              </w:numPr>
              <w:ind w:leftChars="200"/>
              <w:rPr>
                <w:rFonts w:hint="eastAsia"/>
                <w:sz w:val="24"/>
                <w:lang w:val="en-US" w:eastAsia="zh-CN"/>
              </w:rPr>
            </w:pPr>
            <w:r>
              <w:rPr>
                <w:rFonts w:hint="eastAsia"/>
                <w:sz w:val="24"/>
                <w:lang w:val="en-US" w:eastAsia="zh-CN"/>
              </w:rPr>
              <w:t>使用Lumerical软件中的FDTD模块进行光子晶体微腔设计的仿真验证。首先验证空气槽</w:t>
            </w:r>
          </w:p>
          <w:p>
            <w:pPr>
              <w:numPr>
                <w:ilvl w:val="0"/>
                <w:numId w:val="0"/>
              </w:numPr>
              <w:rPr>
                <w:rFonts w:hint="eastAsia"/>
                <w:sz w:val="24"/>
                <w:lang w:val="en-US" w:eastAsia="zh-CN"/>
              </w:rPr>
            </w:pPr>
            <w:r>
              <w:rPr>
                <w:rFonts w:hint="eastAsia"/>
                <w:sz w:val="24"/>
                <w:lang w:val="en-US" w:eastAsia="zh-CN"/>
              </w:rPr>
              <w:t>自由空间场局域化对空气槽中电场的影响。由于光子晶体腔中的电场的TE模是x偏振的，因此空气槽表面附近电场的边界条件是：</w:t>
            </w:r>
          </w:p>
          <w:p>
            <w:pPr>
              <w:numPr>
                <w:ilvl w:val="0"/>
                <w:numId w:val="0"/>
              </w:numPr>
              <w:jc w:val="center"/>
              <w:rPr>
                <w:rFonts w:hint="default"/>
                <w:sz w:val="24"/>
                <w:lang w:val="en-US" w:eastAsia="zh-CN"/>
              </w:rPr>
            </w:pPr>
            <w:r>
              <w:rPr>
                <w:rFonts w:hint="eastAsia"/>
                <w:sz w:val="24"/>
                <w:lang w:val="en-US" w:eastAsia="zh-CN"/>
              </w:rPr>
              <w:drawing>
                <wp:inline distT="0" distB="0" distL="114300" distR="114300">
                  <wp:extent cx="1765300" cy="26860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1765300" cy="26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ind w:leftChars="200"/>
              <w:textAlignment w:val="auto"/>
              <w:rPr>
                <w:rFonts w:hint="eastAsia"/>
                <w:sz w:val="24"/>
                <w:lang w:val="en-US" w:eastAsia="zh-CN"/>
              </w:rPr>
            </w:pPr>
            <w:r>
              <w:rPr>
                <w:rFonts w:hint="eastAsia"/>
                <w:sz w:val="24"/>
                <w:lang w:val="en-US" w:eastAsia="zh-CN"/>
              </w:rPr>
              <w:t>其中</w:t>
            </w:r>
            <w:r>
              <w:rPr>
                <w:rFonts w:hint="eastAsia"/>
                <w:sz w:val="24"/>
                <w:lang w:val="en-US" w:eastAsia="zh-CN"/>
              </w:rPr>
              <w:object>
                <v:shape id="_x0000_i1030" o:spt="75" type="#_x0000_t75" style="height:18pt;width:33pt;" o:ole="t" filled="f" o:preferrelative="t" stroked="f" coordsize="21600,21600">
                  <v:path/>
                  <v:fill on="f" focussize="0,0"/>
                  <v:stroke on="f" joinstyle="miter"/>
                  <v:imagedata r:id="rId22" o:title=""/>
                  <o:lock v:ext="edit" aspectratio="t"/>
                  <w10:wrap type="none"/>
                  <w10:anchorlock/>
                </v:shape>
                <o:OLEObject Type="Embed" ProgID="Equation.KSEE3" ShapeID="_x0000_i1030" DrawAspect="Content" ObjectID="_1468075730" r:id="rId21">
                  <o:LockedField>false</o:LockedField>
                </o:OLEObject>
              </w:object>
            </w:r>
            <w:r>
              <w:rPr>
                <w:rFonts w:hint="eastAsia"/>
                <w:sz w:val="24"/>
                <w:lang w:val="en-US" w:eastAsia="zh-CN"/>
              </w:rPr>
              <w:t>和</w:t>
            </w:r>
            <w:r>
              <w:rPr>
                <w:rFonts w:hint="eastAsia"/>
                <w:sz w:val="24"/>
                <w:lang w:val="en-US" w:eastAsia="zh-CN"/>
              </w:rPr>
              <w:object>
                <v:shape id="_x0000_i1031" o:spt="75" type="#_x0000_t75" style="height:18pt;width:13.2pt;" o:ole="t" filled="f" o:preferrelative="t" stroked="f" coordsize="21600,21600">
                  <v:path/>
                  <v:fill on="f" focussize="0,0"/>
                  <v:stroke on="f" joinstyle="miter"/>
                  <v:imagedata r:id="rId24" o:title=""/>
                  <o:lock v:ext="edit" aspectratio="t"/>
                  <w10:wrap type="none"/>
                  <w10:anchorlock/>
                </v:shape>
                <o:OLEObject Type="Embed" ProgID="Equation.KSEE3" ShapeID="_x0000_i1031" DrawAspect="Content" ObjectID="_1468075731" r:id="rId23">
                  <o:LockedField>false</o:LockedField>
                </o:OLEObject>
              </w:object>
            </w:r>
            <w:r>
              <w:rPr>
                <w:rFonts w:hint="eastAsia"/>
                <w:sz w:val="24"/>
                <w:lang w:val="en-US" w:eastAsia="zh-CN"/>
              </w:rPr>
              <w:t>分别是光子晶体材料和空气的介电常量，</w:t>
            </w:r>
            <w:r>
              <w:rPr>
                <w:rFonts w:hint="eastAsia"/>
                <w:sz w:val="24"/>
                <w:lang w:val="en-US" w:eastAsia="zh-CN"/>
              </w:rPr>
              <w:object>
                <v:shape id="_x0000_i1032" o:spt="75" type="#_x0000_t75" style="height:18pt;width:13.2pt;" o:ole="t" filled="f" o:preferrelative="t" stroked="f" coordsize="21600,21600">
                  <v:path/>
                  <v:fill on="f" focussize="0,0"/>
                  <v:stroke on="f" joinstyle="miter"/>
                  <v:imagedata r:id="rId26" o:title=""/>
                  <o:lock v:ext="edit" aspectratio="t"/>
                  <w10:wrap type="none"/>
                  <w10:anchorlock/>
                </v:shape>
                <o:OLEObject Type="Embed" ProgID="Equation.KSEE3" ShapeID="_x0000_i1032" DrawAspect="Content" ObjectID="_1468075732" r:id="rId25">
                  <o:LockedField>false</o:LockedField>
                </o:OLEObject>
              </w:object>
            </w:r>
            <w:r>
              <w:rPr>
                <w:rFonts w:hint="eastAsia"/>
                <w:sz w:val="24"/>
                <w:lang w:val="en-US" w:eastAsia="zh-CN"/>
              </w:rPr>
              <w:t>和</w:t>
            </w:r>
            <w:r>
              <w:rPr>
                <w:rFonts w:hint="eastAsia"/>
                <w:sz w:val="24"/>
                <w:lang w:val="en-US" w:eastAsia="zh-CN"/>
              </w:rPr>
              <w:object>
                <v:shape id="_x0000_i1033" o:spt="75" type="#_x0000_t75" style="height:18pt;width:16.8pt;" o:ole="t" filled="f" o:preferrelative="t" stroked="f" coordsize="21600,21600">
                  <v:path/>
                  <v:fill on="f" focussize="0,0"/>
                  <v:stroke on="f" joinstyle="miter"/>
                  <v:imagedata r:id="rId28" o:title=""/>
                  <o:lock v:ext="edit" aspectratio="t"/>
                  <w10:wrap type="none"/>
                  <w10:anchorlock/>
                </v:shape>
                <o:OLEObject Type="Embed" ProgID="Equation.KSEE3" ShapeID="_x0000_i1033" DrawAspect="Content" ObjectID="_1468075733" r:id="rId27">
                  <o:LockedField>false</o:LockedField>
                </o:OLEObject>
              </w:object>
            </w:r>
            <w:r>
              <w:rPr>
                <w:rFonts w:hint="eastAsia"/>
                <w:sz w:val="24"/>
                <w:lang w:val="en-US" w:eastAsia="zh-CN"/>
              </w:rPr>
              <w:t>分别是光子晶体材料里</w:t>
            </w:r>
          </w:p>
          <w:p>
            <w:pPr>
              <w:numPr>
                <w:ilvl w:val="0"/>
                <w:numId w:val="0"/>
              </w:numPr>
              <w:rPr>
                <w:rFonts w:hint="eastAsia"/>
                <w:sz w:val="24"/>
                <w:lang w:val="en-US" w:eastAsia="zh-CN"/>
              </w:rPr>
            </w:pPr>
            <w:r>
              <w:rPr>
                <w:rFonts w:hint="eastAsia"/>
                <w:sz w:val="24"/>
                <w:lang w:val="en-US" w:eastAsia="zh-CN"/>
              </w:rPr>
              <w:t>面和外面的位置，这样空气槽中的场强提高了两个介电常数之比约为2倍。选取模型中x,z=0处，观测y值不同的情况下空气槽附近的场能量如图5所示：</w:t>
            </w:r>
          </w:p>
          <w:p>
            <w:pPr>
              <w:numPr>
                <w:ilvl w:val="0"/>
                <w:numId w:val="0"/>
              </w:numPr>
              <w:ind w:firstLine="480" w:firstLineChars="200"/>
              <w:rPr>
                <w:rFonts w:hint="eastAsia"/>
                <w:sz w:val="24"/>
              </w:rPr>
            </w:pPr>
            <w:r>
              <w:rPr>
                <w:rFonts w:hint="eastAsia"/>
                <w:sz w:val="24"/>
                <w:lang w:val="en-US" w:eastAsia="zh-CN"/>
              </w:rPr>
              <w:t>其中</w:t>
            </w:r>
            <w:r>
              <w:rPr>
                <w:rFonts w:hint="eastAsia"/>
                <w:sz w:val="24"/>
              </w:rPr>
              <w:t>左图为不同y即不同模型点处的场能量曲线，横坐标为波长，纵坐标为场能量，曲线从上到下y依次等于0、40nm、50nm、60nm，空气槽中心处坐标xy均为0，可以看出越靠近空气槽中心场能量越高；</w:t>
            </w:r>
          </w:p>
          <w:p>
            <w:pPr>
              <w:numPr>
                <w:ilvl w:val="0"/>
                <w:numId w:val="0"/>
              </w:numPr>
              <w:ind w:firstLine="480" w:firstLineChars="200"/>
              <w:rPr>
                <w:rFonts w:hint="eastAsia"/>
                <w:sz w:val="24"/>
                <w:lang w:val="en-US" w:eastAsia="zh-CN"/>
              </w:rPr>
            </w:pPr>
            <w:r>
              <w:rPr>
                <w:rFonts w:hint="eastAsia"/>
                <w:sz w:val="24"/>
                <w:lang w:val="en-US" w:eastAsia="zh-CN"/>
              </w:rPr>
              <w:t>其中</w:t>
            </w:r>
            <w:r>
              <w:rPr>
                <w:rFonts w:hint="eastAsia"/>
                <w:sz w:val="24"/>
              </w:rPr>
              <w:t>右图是选取了左图中场能量最高点，横坐标为y坐标值，纵坐标为最高的场能量值，可以直观看出空气槽中心处场能量最高，两边场能量对称且越</w:t>
            </w:r>
            <w:r>
              <w:rPr>
                <w:rFonts w:hint="eastAsia"/>
                <w:sz w:val="24"/>
                <w:lang w:val="en-US" w:eastAsia="zh-CN"/>
              </w:rPr>
              <w:t>远离</w:t>
            </w:r>
            <w:r>
              <w:rPr>
                <w:rFonts w:hint="eastAsia"/>
                <w:sz w:val="24"/>
              </w:rPr>
              <w:t>空气槽中心场能量越低。</w:t>
            </w:r>
          </w:p>
          <w:p>
            <w:pPr>
              <w:pStyle w:val="9"/>
              <w:bidi w:val="0"/>
              <w:jc w:val="center"/>
            </w:pPr>
            <w:r>
              <w:drawing>
                <wp:inline distT="0" distB="0" distL="114300" distR="114300">
                  <wp:extent cx="2520315" cy="1800225"/>
                  <wp:effectExtent l="0" t="0" r="9525" b="13335"/>
                  <wp:docPr id="13" name="图片 5"/>
                  <wp:cNvGraphicFramePr/>
                  <a:graphic xmlns:a="http://schemas.openxmlformats.org/drawingml/2006/main">
                    <a:graphicData uri="http://schemas.openxmlformats.org/drawingml/2006/picture">
                      <pic:pic xmlns:pic="http://schemas.openxmlformats.org/drawingml/2006/picture">
                        <pic:nvPicPr>
                          <pic:cNvPr id="13" name="图片 5"/>
                          <pic:cNvPicPr/>
                        </pic:nvPicPr>
                        <pic:blipFill>
                          <a:blip r:embed="rId29"/>
                          <a:stretch>
                            <a:fillRect/>
                          </a:stretch>
                        </pic:blipFill>
                        <pic:spPr>
                          <a:xfrm>
                            <a:off x="0" y="0"/>
                            <a:ext cx="2520315" cy="1800225"/>
                          </a:xfrm>
                          <a:prstGeom prst="rect">
                            <a:avLst/>
                          </a:prstGeom>
                          <a:noFill/>
                          <a:ln>
                            <a:noFill/>
                          </a:ln>
                        </pic:spPr>
                      </pic:pic>
                    </a:graphicData>
                  </a:graphic>
                </wp:inline>
              </w:drawing>
            </w:r>
            <w:r>
              <w:drawing>
                <wp:inline distT="0" distB="0" distL="114300" distR="114300">
                  <wp:extent cx="2520315" cy="1800225"/>
                  <wp:effectExtent l="0" t="0" r="0" b="0"/>
                  <wp:docPr id="14" name="图片 5"/>
                  <wp:cNvGraphicFramePr/>
                  <a:graphic xmlns:a="http://schemas.openxmlformats.org/drawingml/2006/main">
                    <a:graphicData uri="http://schemas.openxmlformats.org/drawingml/2006/picture">
                      <pic:pic xmlns:pic="http://schemas.openxmlformats.org/drawingml/2006/picture">
                        <pic:nvPicPr>
                          <pic:cNvPr id="14" name="图片 5"/>
                          <pic:cNvPicPr/>
                        </pic:nvPicPr>
                        <pic:blipFill>
                          <a:blip r:embed="rId30"/>
                          <a:stretch>
                            <a:fillRect/>
                          </a:stretch>
                        </pic:blipFill>
                        <pic:spPr>
                          <a:xfrm>
                            <a:off x="0" y="0"/>
                            <a:ext cx="2520315" cy="1800225"/>
                          </a:xfrm>
                          <a:prstGeom prst="rect">
                            <a:avLst/>
                          </a:prstGeom>
                          <a:noFill/>
                          <a:ln>
                            <a:noFill/>
                          </a:ln>
                        </pic:spPr>
                      </pic:pic>
                    </a:graphicData>
                  </a:graphic>
                </wp:inline>
              </w:drawing>
            </w:r>
          </w:p>
          <w:p>
            <w:pPr>
              <w:spacing w:after="120" w:afterLines="50"/>
              <w:ind w:right="960"/>
              <w:jc w:val="center"/>
              <w:rPr>
                <w:rFonts w:hint="eastAsia"/>
                <w:sz w:val="24"/>
              </w:rPr>
            </w:pPr>
            <w:r>
              <w:rPr>
                <w:rFonts w:hint="eastAsia" w:ascii="宋体" w:hAnsi="宋体"/>
                <w:color w:val="000000" w:themeColor="text1"/>
                <w:lang w:val="en-US" w:eastAsia="zh-CN"/>
                <w14:textFill>
                  <w14:solidFill>
                    <w14:schemeClr w14:val="tx1"/>
                  </w14:solidFill>
                </w14:textFill>
              </w:rPr>
              <w:t>图5 研究空气槽对附近能量的影响效果</w:t>
            </w:r>
          </w:p>
          <w:p>
            <w:pPr>
              <w:ind w:firstLine="480" w:firstLineChars="200"/>
              <w:rPr>
                <w:rFonts w:hint="eastAsia"/>
                <w:bCs/>
                <w:color w:val="000000" w:themeColor="text1"/>
                <w:sz w:val="24"/>
                <w:lang w:val="en-US" w:eastAsia="zh-CN"/>
                <w14:textFill>
                  <w14:solidFill>
                    <w14:schemeClr w14:val="tx1"/>
                  </w14:solidFill>
                </w14:textFill>
              </w:rPr>
            </w:pPr>
            <w:r>
              <w:rPr>
                <w:rFonts w:hint="eastAsia"/>
                <w:sz w:val="24"/>
                <w:lang w:val="en-US" w:eastAsia="zh-CN"/>
              </w:rPr>
              <w:t>之后研究不同参数对铌酸锂基光子晶体微腔光学模式的影响，包括对光学模式谐振波长和品质因子的影响。</w:t>
            </w:r>
            <w:r>
              <w:rPr>
                <w:rFonts w:hint="eastAsia"/>
                <w:bCs/>
                <w:color w:val="000000" w:themeColor="text1"/>
                <w:sz w:val="24"/>
                <w:lang w:val="en-US" w:eastAsia="zh-CN"/>
                <w14:textFill>
                  <w14:solidFill>
                    <w14:schemeClr w14:val="tx1"/>
                  </w14:solidFill>
                </w14:textFill>
              </w:rPr>
              <w:t>以空气槽宽度的研究为例，在保证线缺陷宽度、微腔小孔微扰等参数都不改变的条件下，研究不同空气槽宽度对光学模式谐振波长和品质因子的影响如图6所示：</w:t>
            </w:r>
          </w:p>
          <w:p>
            <w:pPr>
              <w:numPr>
                <w:ilvl w:val="0"/>
                <w:numId w:val="0"/>
              </w:numPr>
              <w:ind w:firstLine="480" w:firstLineChars="200"/>
              <w:rPr>
                <w:rFonts w:hint="eastAsia" w:eastAsia="宋体"/>
                <w:sz w:val="24"/>
                <w:lang w:eastAsia="zh-CN"/>
              </w:rPr>
            </w:pPr>
            <w:r>
              <w:rPr>
                <w:rFonts w:hint="eastAsia"/>
                <w:sz w:val="24"/>
                <w:lang w:val="en-US" w:eastAsia="zh-CN"/>
              </w:rPr>
              <w:t>其中</w:t>
            </w:r>
            <w:r>
              <w:rPr>
                <w:rFonts w:hint="eastAsia"/>
                <w:sz w:val="24"/>
              </w:rPr>
              <w:t>左图中横坐标为空气槽的宽度，纵坐标为谐振波长，可以看出随着空气槽宽度的增加，谐振波长不断减小；这是因为线缺陷区域的有效折射率系数随着空气槽的变宽单调地减小，因此谐振腔的有效腔长减小，谐振波长变短。且随着空气槽宽度的不断增大，此处的一阶偶模谐振点会消失，原因是设计的光子晶体带隙如右图约为1450-1650nm，当超出带隙范围之后谐振模式的场能量聚集效果会逐渐变差，最后消失</w:t>
            </w:r>
            <w:r>
              <w:rPr>
                <w:rFonts w:hint="eastAsia"/>
                <w:sz w:val="24"/>
                <w:lang w:eastAsia="zh-CN"/>
              </w:rPr>
              <w:t>；</w:t>
            </w:r>
          </w:p>
          <w:p>
            <w:pPr>
              <w:numPr>
                <w:ilvl w:val="0"/>
                <w:numId w:val="0"/>
              </w:numPr>
              <w:ind w:firstLine="480" w:firstLineChars="200"/>
              <w:rPr>
                <w:rFonts w:hint="eastAsia"/>
                <w:sz w:val="24"/>
              </w:rPr>
            </w:pPr>
            <w:r>
              <w:rPr>
                <w:rFonts w:hint="eastAsia"/>
                <w:sz w:val="24"/>
                <w:lang w:val="en-US" w:eastAsia="zh-CN"/>
              </w:rPr>
              <w:t>其中</w:t>
            </w:r>
            <w:r>
              <w:rPr>
                <w:rFonts w:hint="eastAsia"/>
                <w:sz w:val="24"/>
              </w:rPr>
              <w:t>右图中横坐标为空气槽的宽度，纵坐标为</w:t>
            </w:r>
            <w:r>
              <w:rPr>
                <w:rFonts w:hint="eastAsia"/>
                <w:sz w:val="24"/>
                <w:lang w:val="en-US" w:eastAsia="zh-CN"/>
              </w:rPr>
              <w:t>光学模式的品质因子</w:t>
            </w:r>
            <w:r>
              <w:rPr>
                <w:rFonts w:hint="eastAsia"/>
                <w:sz w:val="24"/>
              </w:rPr>
              <w:t>Q值，可以看出随着空气槽宽度的增加，Q值也在不断减小；Q对</w:t>
            </w:r>
            <w:r>
              <w:rPr>
                <w:rFonts w:hint="eastAsia"/>
                <w:sz w:val="24"/>
                <w:lang w:val="en-US" w:eastAsia="zh-CN"/>
              </w:rPr>
              <w:t>空气槽宽度</w:t>
            </w:r>
            <w:r>
              <w:rPr>
                <w:rFonts w:hint="eastAsia"/>
                <w:sz w:val="24"/>
              </w:rPr>
              <w:t>的依赖性主要通过有效折射率的降低来解释，即随着槽宽度的增加，全内反射(TIR)的条件变得严重。</w:t>
            </w:r>
          </w:p>
          <w:p>
            <w:pPr>
              <w:numPr>
                <w:ilvl w:val="0"/>
                <w:numId w:val="0"/>
              </w:numPr>
              <w:ind w:firstLine="480" w:firstLineChars="200"/>
              <w:rPr>
                <w:rFonts w:hint="eastAsia"/>
                <w:sz w:val="24"/>
              </w:rPr>
            </w:pPr>
          </w:p>
          <w:p>
            <w:pPr>
              <w:numPr>
                <w:ilvl w:val="0"/>
                <w:numId w:val="0"/>
              </w:numPr>
              <w:ind w:firstLine="480" w:firstLineChars="200"/>
              <w:rPr>
                <w:rFonts w:hint="eastAsia"/>
                <w:sz w:val="24"/>
                <w:lang w:val="en-US" w:eastAsia="zh-CN"/>
              </w:rPr>
            </w:pPr>
          </w:p>
          <w:p>
            <w:pPr>
              <w:ind w:firstLine="480" w:firstLineChars="200"/>
              <w:rPr>
                <w:rFonts w:hint="eastAsia"/>
                <w:bCs/>
                <w:color w:val="000000" w:themeColor="text1"/>
                <w:sz w:val="24"/>
                <w:lang w:val="en-US" w:eastAsia="zh-CN"/>
                <w14:textFill>
                  <w14:solidFill>
                    <w14:schemeClr w14:val="tx1"/>
                  </w14:solidFill>
                </w14:textFill>
              </w:rPr>
            </w:pPr>
          </w:p>
          <w:p>
            <w:pPr>
              <w:jc w:val="center"/>
            </w:pPr>
            <w:r>
              <w:object>
                <v:shape id="_x0000_i1034" o:spt="75" type="#_x0000_t75" style="height:141.6pt;width:198.45pt;" o:ole="t" filled="f" o:preferrelative="t" stroked="f" coordsize="21600,21600">
                  <v:path/>
                  <v:fill on="f" focussize="0,0"/>
                  <v:stroke on="f"/>
                  <v:imagedata r:id="rId32" o:title=""/>
                  <o:lock v:ext="edit" aspectratio="f"/>
                  <w10:wrap type="none"/>
                  <w10:anchorlock/>
                </v:shape>
                <o:OLEObject Type="Embed" ProgID="Visio.Drawing.15" ShapeID="_x0000_i1034" DrawAspect="Content" ObjectID="_1468075734" r:id="rId31">
                  <o:LockedField>false</o:LockedField>
                </o:OLEObject>
              </w:object>
            </w:r>
            <w:r>
              <w:object>
                <v:shape id="_x0000_i1035" o:spt="75" type="#_x0000_t75" style="height:141.6pt;width:198.45pt;" o:ole="t" filled="f" o:preferrelative="t" stroked="f" coordsize="21600,21600">
                  <v:path/>
                  <v:fill on="f" focussize="0,0"/>
                  <v:stroke on="f"/>
                  <v:imagedata r:id="rId34" o:title=""/>
                  <o:lock v:ext="edit" aspectratio="f"/>
                  <w10:wrap type="none"/>
                  <w10:anchorlock/>
                </v:shape>
                <o:OLEObject Type="Embed" ProgID="Visio.Drawing.15" ShapeID="_x0000_i1035" DrawAspect="Content" ObjectID="_1468075735" r:id="rId33">
                  <o:LockedField>false</o:LockedField>
                </o:OLEObject>
              </w:object>
            </w:r>
          </w:p>
          <w:p>
            <w:pPr>
              <w:spacing w:after="120" w:afterLines="50"/>
              <w:ind w:right="960"/>
              <w:jc w:val="center"/>
              <w:rPr>
                <w:rFonts w:hint="eastAsia"/>
                <w:sz w:val="24"/>
              </w:rPr>
            </w:pPr>
            <w:r>
              <w:rPr>
                <w:rFonts w:hint="eastAsia" w:ascii="宋体" w:hAnsi="宋体"/>
                <w:color w:val="000000" w:themeColor="text1"/>
                <w:lang w:val="en-US" w:eastAsia="zh-CN"/>
                <w14:textFill>
                  <w14:solidFill>
                    <w14:schemeClr w14:val="tx1"/>
                  </w14:solidFill>
                </w14:textFill>
              </w:rPr>
              <w:t>图6 研究空气槽宽度对光子晶体光学模式的影响</w:t>
            </w:r>
          </w:p>
          <w:p>
            <w:pPr>
              <w:numPr>
                <w:ilvl w:val="0"/>
                <w:numId w:val="4"/>
              </w:numPr>
              <w:spacing w:line="360" w:lineRule="exact"/>
              <w:ind w:left="0" w:leftChars="0" w:firstLine="480" w:firstLineChars="200"/>
              <w:rPr>
                <w:rFonts w:hint="eastAsia"/>
                <w:bCs/>
                <w:color w:val="000000" w:themeColor="text1"/>
                <w:sz w:val="24"/>
                <w:lang w:val="en-US" w:eastAsia="zh-CN"/>
                <w14:textFill>
                  <w14:solidFill>
                    <w14:schemeClr w14:val="tx1"/>
                  </w14:solidFill>
                </w14:textFill>
              </w:rPr>
            </w:pPr>
            <w:r>
              <w:rPr>
                <w:rFonts w:hint="eastAsia"/>
                <w:bCs/>
                <w:color w:val="000000" w:themeColor="text1"/>
                <w:sz w:val="24"/>
                <w:lang w:val="en-US" w:eastAsia="zh-CN"/>
                <w14:textFill>
                  <w14:solidFill>
                    <w14:schemeClr w14:val="tx1"/>
                  </w14:solidFill>
                </w14:textFill>
              </w:rPr>
              <w:t>光子晶体光机耦合设计部分：</w:t>
            </w:r>
          </w:p>
          <w:p>
            <w:pPr>
              <w:numPr>
                <w:ilvl w:val="0"/>
                <w:numId w:val="0"/>
              </w:numPr>
              <w:spacing w:line="360" w:lineRule="exact"/>
              <w:ind w:leftChars="200"/>
              <w:rPr>
                <w:rFonts w:hint="eastAsia"/>
                <w:sz w:val="24"/>
              </w:rPr>
            </w:pPr>
            <w:r>
              <w:rPr>
                <w:rFonts w:hint="eastAsia"/>
                <w:sz w:val="24"/>
              </w:rPr>
              <w:t>采用腔光机械系统的多物理场耦合理论，构建本文的铌酸锂基腔光机械机构的光学-机械</w:t>
            </w:r>
          </w:p>
          <w:p>
            <w:pPr>
              <w:numPr>
                <w:ilvl w:val="0"/>
                <w:numId w:val="0"/>
              </w:numPr>
              <w:spacing w:line="360" w:lineRule="exact"/>
              <w:rPr>
                <w:sz w:val="24"/>
              </w:rPr>
            </w:pPr>
            <w:r>
              <w:rPr>
                <w:rFonts w:hint="eastAsia"/>
                <w:sz w:val="24"/>
              </w:rPr>
              <w:t>场耦合模型：</w:t>
            </w:r>
          </w:p>
          <w:p>
            <w:pPr>
              <w:snapToGrid w:val="0"/>
              <w:jc w:val="right"/>
              <w:rPr>
                <w:bCs/>
                <w:sz w:val="24"/>
              </w:rPr>
            </w:pPr>
            <w:r>
              <w:rPr>
                <w:rFonts w:hint="eastAsia"/>
                <w:b/>
                <w:position w:val="-24"/>
                <w:sz w:val="24"/>
              </w:rPr>
              <w:object>
                <v:shape id="_x0000_i1036" o:spt="75" type="#_x0000_t75" style="height:30.85pt;width:212.25pt;" o:ole="t" filled="f" o:preferrelative="t" stroked="f" coordsize="21600,21600">
                  <v:path/>
                  <v:fill on="f" focussize="0,0"/>
                  <v:stroke on="f" joinstyle="miter"/>
                  <v:imagedata r:id="rId36" o:title=""/>
                  <o:lock v:ext="edit" aspectratio="t"/>
                  <w10:wrap type="none"/>
                  <w10:anchorlock/>
                </v:shape>
                <o:OLEObject Type="Embed" ProgID="Equation.KSEE3" ShapeID="_x0000_i1036" DrawAspect="Content" ObjectID="_1468075736" r:id="rId35">
                  <o:LockedField>false</o:LockedField>
                </o:OLEObject>
              </w:object>
            </w:r>
            <w:r>
              <w:rPr>
                <w:rFonts w:hint="eastAsia"/>
                <w:b/>
                <w:position w:val="-24"/>
                <w:sz w:val="24"/>
              </w:rPr>
              <w:t xml:space="preserve">                </w:t>
            </w:r>
            <w:r>
              <w:rPr>
                <w:rFonts w:hint="eastAsia"/>
                <w:bCs/>
                <w:sz w:val="24"/>
              </w:rPr>
              <w:t>(</w:t>
            </w:r>
            <w:r>
              <w:rPr>
                <w:rFonts w:hint="eastAsia"/>
                <w:bCs/>
                <w:sz w:val="24"/>
                <w:lang w:val="en-US" w:eastAsia="zh-CN"/>
              </w:rPr>
              <w:t>1</w:t>
            </w:r>
            <w:r>
              <w:rPr>
                <w:rFonts w:hint="eastAsia"/>
                <w:bCs/>
                <w:sz w:val="24"/>
              </w:rPr>
              <w:t>-1)</w:t>
            </w:r>
          </w:p>
          <w:p>
            <w:pPr>
              <w:snapToGrid w:val="0"/>
              <w:jc w:val="right"/>
              <w:rPr>
                <w:bCs/>
                <w:sz w:val="24"/>
              </w:rPr>
            </w:pPr>
            <w:r>
              <w:rPr>
                <w:bCs/>
                <w:position w:val="-30"/>
                <w:sz w:val="24"/>
              </w:rPr>
              <w:object>
                <v:shape id="_x0000_i1037" o:spt="75" type="#_x0000_t75" style="height:36.45pt;width:290.8pt;" o:ole="t" filled="f" o:preferrelative="t" stroked="f" coordsize="21600,21600">
                  <v:path/>
                  <v:fill on="f" focussize="0,0"/>
                  <v:stroke on="f" joinstyle="miter"/>
                  <v:imagedata r:id="rId38" o:title=""/>
                  <o:lock v:ext="edit" aspectratio="t"/>
                  <w10:wrap type="none"/>
                  <w10:anchorlock/>
                </v:shape>
                <o:OLEObject Type="Embed" ProgID="Equation.KSEE3" ShapeID="_x0000_i1037" DrawAspect="Content" ObjectID="_1468075737" r:id="rId37">
                  <o:LockedField>false</o:LockedField>
                </o:OLEObject>
              </w:object>
            </w:r>
            <w:r>
              <w:rPr>
                <w:rFonts w:hint="eastAsia"/>
                <w:bCs/>
                <w:position w:val="-30"/>
                <w:sz w:val="24"/>
              </w:rPr>
              <w:t xml:space="preserve">        </w:t>
            </w:r>
            <w:r>
              <w:rPr>
                <w:rFonts w:hint="eastAsia"/>
                <w:bCs/>
                <w:sz w:val="24"/>
              </w:rPr>
              <w:t>(</w:t>
            </w:r>
            <w:r>
              <w:rPr>
                <w:rFonts w:hint="eastAsia"/>
                <w:bCs/>
                <w:sz w:val="24"/>
                <w:lang w:val="en-US" w:eastAsia="zh-CN"/>
              </w:rPr>
              <w:t>1</w:t>
            </w:r>
            <w:r>
              <w:rPr>
                <w:rFonts w:hint="eastAsia"/>
                <w:bCs/>
                <w:sz w:val="24"/>
              </w:rPr>
              <w:t>-2)</w:t>
            </w:r>
          </w:p>
          <w:p>
            <w:pPr>
              <w:snapToGrid w:val="0"/>
              <w:ind w:firstLine="480" w:firstLineChars="200"/>
              <w:rPr>
                <w:sz w:val="24"/>
              </w:rPr>
            </w:pPr>
            <w:r>
              <w:rPr>
                <w:rFonts w:hint="eastAsia"/>
                <w:bCs/>
                <w:sz w:val="24"/>
              </w:rPr>
              <w:t>式(</w:t>
            </w:r>
            <w:r>
              <w:rPr>
                <w:rFonts w:hint="eastAsia"/>
                <w:bCs/>
                <w:sz w:val="24"/>
                <w:lang w:val="en-US" w:eastAsia="zh-CN"/>
              </w:rPr>
              <w:t>1</w:t>
            </w:r>
            <w:r>
              <w:rPr>
                <w:rFonts w:hint="eastAsia"/>
                <w:sz w:val="24"/>
              </w:rPr>
              <w:t>-1)中</w:t>
            </w:r>
            <w:r>
              <w:rPr>
                <w:rFonts w:hint="eastAsia"/>
                <w:position w:val="-10"/>
                <w:sz w:val="24"/>
              </w:rPr>
              <w:object>
                <v:shape id="_x0000_i1038" o:spt="75" type="#_x0000_t75" style="height:15.9pt;width:24.3pt;" o:ole="t" filled="f" o:preferrelative="t" stroked="f" coordsize="21600,21600">
                  <v:path/>
                  <v:fill on="f" focussize="0,0"/>
                  <v:stroke on="f" joinstyle="miter"/>
                  <v:imagedata r:id="rId40" o:title=""/>
                  <o:lock v:ext="edit" aspectratio="t"/>
                  <w10:wrap type="none"/>
                  <w10:anchorlock/>
                </v:shape>
                <o:OLEObject Type="Embed" ProgID="Equation.KSEE3" ShapeID="_x0000_i1038" DrawAspect="Content" ObjectID="_1468075738" r:id="rId39">
                  <o:LockedField>false</o:LockedField>
                </o:OLEObject>
              </w:object>
            </w:r>
            <w:r>
              <w:rPr>
                <w:rFonts w:hint="eastAsia"/>
                <w:sz w:val="24"/>
              </w:rPr>
              <w:t>为微腔内的光场，</w:t>
            </w:r>
            <w:r>
              <w:rPr>
                <w:rFonts w:hint="eastAsia"/>
                <w:position w:val="-12"/>
                <w:sz w:val="24"/>
              </w:rPr>
              <w:object>
                <v:shape id="_x0000_i1039" o:spt="75" type="#_x0000_t75" style="height:17.75pt;width:56.1pt;" o:ole="t" filled="f" o:preferrelative="t" stroked="f" coordsize="21600,21600">
                  <v:path/>
                  <v:fill on="f" focussize="0,0"/>
                  <v:stroke on="f" joinstyle="miter"/>
                  <v:imagedata r:id="rId42" o:title=""/>
                  <o:lock v:ext="edit" aspectratio="t"/>
                  <w10:wrap type="none"/>
                  <w10:anchorlock/>
                </v:shape>
                <o:OLEObject Type="Embed" ProgID="Equation.KSEE3" ShapeID="_x0000_i1039" DrawAspect="Content" ObjectID="_1468075739" r:id="rId41">
                  <o:LockedField>false</o:LockedField>
                </o:OLEObject>
              </w:object>
            </w:r>
            <w:r>
              <w:rPr>
                <w:rFonts w:hint="eastAsia"/>
                <w:sz w:val="24"/>
              </w:rPr>
              <w:t>为光学失谐率，</w:t>
            </w:r>
            <w:r>
              <w:rPr>
                <w:rFonts w:hint="eastAsia"/>
                <w:position w:val="-12"/>
                <w:sz w:val="24"/>
              </w:rPr>
              <w:object>
                <v:shape id="_x0000_i1040" o:spt="75" type="#_x0000_t75" style="height:17.75pt;width:19.65pt;" o:ole="t" filled="f" o:preferrelative="t" stroked="f" coordsize="21600,21600">
                  <v:path/>
                  <v:fill on="f" focussize="0,0"/>
                  <v:stroke on="f" joinstyle="miter"/>
                  <v:imagedata r:id="rId44" o:title=""/>
                  <o:lock v:ext="edit" aspectratio="t"/>
                  <w10:wrap type="none"/>
                  <w10:anchorlock/>
                </v:shape>
                <o:OLEObject Type="Embed" ProgID="Equation.KSEE3" ShapeID="_x0000_i1040" DrawAspect="Content" ObjectID="_1468075740" r:id="rId43">
                  <o:LockedField>false</o:LockedField>
                </o:OLEObject>
              </w:object>
            </w:r>
            <w:r>
              <w:rPr>
                <w:rFonts w:hint="eastAsia"/>
                <w:sz w:val="24"/>
              </w:rPr>
              <w:t>为光机械耦合率，</w:t>
            </w:r>
            <w:r>
              <w:rPr>
                <w:rFonts w:hint="eastAsia"/>
                <w:position w:val="-4"/>
                <w:sz w:val="24"/>
              </w:rPr>
              <w:object>
                <v:shape id="_x0000_i1041" o:spt="75" type="#_x0000_t75" style="height:10.3pt;width:11.2pt;" o:ole="t" filled="f" o:preferrelative="t" stroked="f" coordsize="21600,21600">
                  <v:path/>
                  <v:fill on="f" focussize="0,0"/>
                  <v:stroke on="f" joinstyle="miter"/>
                  <v:imagedata r:id="rId46" o:title=""/>
                  <o:lock v:ext="edit" aspectratio="t"/>
                  <w10:wrap type="none"/>
                  <w10:anchorlock/>
                </v:shape>
                <o:OLEObject Type="Embed" ProgID="Equation.KSEE3" ShapeID="_x0000_i1041" DrawAspect="Content" ObjectID="_1468075741" r:id="rId45">
                  <o:LockedField>false</o:LockedField>
                </o:OLEObject>
              </w:object>
            </w:r>
            <w:r>
              <w:rPr>
                <w:rFonts w:hint="eastAsia"/>
                <w:sz w:val="24"/>
              </w:rPr>
              <w:t>为光学谐振模式衰减率，</w:t>
            </w:r>
            <w:r>
              <w:rPr>
                <w:rFonts w:hint="eastAsia"/>
                <w:position w:val="-12"/>
                <w:sz w:val="24"/>
              </w:rPr>
              <w:object>
                <v:shape id="_x0000_i1042" o:spt="75" type="#_x0000_t75" style="height:17.75pt;width:59.85pt;" o:ole="t" filled="f" o:preferrelative="t" stroked="f" coordsize="21600,21600">
                  <v:path/>
                  <v:fill on="f" focussize="0,0"/>
                  <v:stroke on="f" joinstyle="miter"/>
                  <v:imagedata r:id="rId48" o:title=""/>
                  <o:lock v:ext="edit" aspectratio="t"/>
                  <w10:wrap type="none"/>
                  <w10:anchorlock/>
                </v:shape>
                <o:OLEObject Type="Embed" ProgID="Equation.KSEE3" ShapeID="_x0000_i1042" DrawAspect="Content" ObjectID="_1468075742" r:id="rId47">
                  <o:LockedField>false</o:LockedField>
                </o:OLEObject>
              </w:object>
            </w:r>
            <w:r>
              <w:rPr>
                <w:rFonts w:hint="eastAsia"/>
                <w:sz w:val="24"/>
              </w:rPr>
              <w:t>为外部衰减率，</w:t>
            </w:r>
            <w:r>
              <w:rPr>
                <w:rFonts w:hint="eastAsia"/>
                <w:position w:val="-12"/>
                <w:sz w:val="24"/>
              </w:rPr>
              <w:object>
                <v:shape id="_x0000_i1043" o:spt="75" type="#_x0000_t75" style="height:17.75pt;width:28.05pt;" o:ole="t" filled="f" o:preferrelative="t" stroked="f" coordsize="21600,21600">
                  <v:path/>
                  <v:fill on="f" focussize="0,0"/>
                  <v:stroke on="f" joinstyle="miter"/>
                  <v:imagedata r:id="rId50" o:title=""/>
                  <o:lock v:ext="edit" aspectratio="t"/>
                  <w10:wrap type="none"/>
                  <w10:anchorlock/>
                </v:shape>
                <o:OLEObject Type="Embed" ProgID="Equation.KSEE3" ShapeID="_x0000_i1043" DrawAspect="Content" ObjectID="_1468075743" r:id="rId49">
                  <o:LockedField>false</o:LockedField>
                </o:OLEObject>
              </w:object>
            </w:r>
            <w:r>
              <w:rPr>
                <w:rFonts w:hint="eastAsia"/>
                <w:sz w:val="24"/>
              </w:rPr>
              <w:t>为激励激光强度；</w:t>
            </w:r>
          </w:p>
          <w:p>
            <w:pPr>
              <w:snapToGrid w:val="0"/>
              <w:ind w:firstLine="480" w:firstLineChars="200"/>
              <w:rPr>
                <w:sz w:val="24"/>
              </w:rPr>
            </w:pPr>
            <w:r>
              <w:rPr>
                <w:rFonts w:hint="eastAsia"/>
                <w:sz w:val="24"/>
              </w:rPr>
              <w:t>式(</w:t>
            </w:r>
            <w:r>
              <w:rPr>
                <w:rFonts w:hint="eastAsia"/>
                <w:sz w:val="24"/>
                <w:lang w:val="en-US" w:eastAsia="zh-CN"/>
              </w:rPr>
              <w:t>1</w:t>
            </w:r>
            <w:r>
              <w:rPr>
                <w:rFonts w:hint="eastAsia"/>
                <w:sz w:val="24"/>
              </w:rPr>
              <w:t>-2)中</w:t>
            </w:r>
            <w:r>
              <w:rPr>
                <w:rFonts w:hint="eastAsia"/>
                <w:position w:val="-10"/>
                <w:sz w:val="24"/>
              </w:rPr>
              <w:object>
                <v:shape id="_x0000_i1044" o:spt="75" type="#_x0000_t75" style="height:15.9pt;width:22.45pt;" o:ole="t" filled="f" o:preferrelative="t" stroked="f" coordsize="21600,21600">
                  <v:path/>
                  <v:fill on="f" focussize="0,0"/>
                  <v:stroke on="f" joinstyle="miter"/>
                  <v:imagedata r:id="rId52" o:title=""/>
                  <o:lock v:ext="edit" aspectratio="t"/>
                  <w10:wrap type="none"/>
                  <w10:anchorlock/>
                </v:shape>
                <o:OLEObject Type="Embed" ProgID="Equation.KSEE3" ShapeID="_x0000_i1044" DrawAspect="Content" ObjectID="_1468075744" r:id="rId51">
                  <o:LockedField>false</o:LockedField>
                </o:OLEObject>
              </w:object>
            </w:r>
            <w:r>
              <w:rPr>
                <w:rFonts w:hint="eastAsia"/>
                <w:sz w:val="24"/>
              </w:rPr>
              <w:t>为机械位移量，</w:t>
            </w:r>
            <w:r>
              <w:rPr>
                <w:rFonts w:hint="eastAsia"/>
                <w:position w:val="-12"/>
                <w:sz w:val="24"/>
              </w:rPr>
              <w:object>
                <v:shape id="_x0000_i1045" o:spt="75" type="#_x0000_t75" style="height:17.75pt;width:14.95pt;" o:ole="t" filled="f" o:preferrelative="t" stroked="f" coordsize="21600,21600">
                  <v:path/>
                  <v:fill on="f" focussize="0,0"/>
                  <v:stroke on="f" joinstyle="miter"/>
                  <v:imagedata r:id="rId54" o:title=""/>
                  <o:lock v:ext="edit" aspectratio="t"/>
                  <w10:wrap type="none"/>
                  <w10:anchorlock/>
                </v:shape>
                <o:OLEObject Type="Embed" ProgID="Equation.KSEE3" ShapeID="_x0000_i1045" DrawAspect="Content" ObjectID="_1468075745" r:id="rId53">
                  <o:LockedField>false</o:LockedField>
                </o:OLEObject>
              </w:object>
            </w:r>
            <w:r>
              <w:rPr>
                <w:rFonts w:hint="eastAsia"/>
                <w:sz w:val="24"/>
              </w:rPr>
              <w:t>为机械谐振衰减率，</w:t>
            </w:r>
            <w:r>
              <w:rPr>
                <w:rFonts w:hint="eastAsia"/>
                <w:position w:val="-12"/>
                <w:sz w:val="24"/>
              </w:rPr>
              <w:object>
                <v:shape id="_x0000_i1046" o:spt="75" type="#_x0000_t75" style="height:17.75pt;width:18.7pt;" o:ole="t" filled="f" o:preferrelative="t" stroked="f" coordsize="21600,21600">
                  <v:path/>
                  <v:fill on="f" focussize="0,0"/>
                  <v:stroke on="f" joinstyle="miter"/>
                  <v:imagedata r:id="rId56" o:title=""/>
                  <o:lock v:ext="edit" aspectratio="t"/>
                  <w10:wrap type="none"/>
                  <w10:anchorlock/>
                </v:shape>
                <o:OLEObject Type="Embed" ProgID="Equation.KSEE3" ShapeID="_x0000_i1046" DrawAspect="Content" ObjectID="_1468075746" r:id="rId55">
                  <o:LockedField>false</o:LockedField>
                </o:OLEObject>
              </w:object>
            </w:r>
            <w:r>
              <w:rPr>
                <w:rFonts w:hint="eastAsia"/>
                <w:sz w:val="24"/>
              </w:rPr>
              <w:t>为机械谐振频率，</w:t>
            </w:r>
            <w:r>
              <w:rPr>
                <w:rFonts w:hint="eastAsia"/>
                <w:position w:val="-12"/>
                <w:sz w:val="24"/>
              </w:rPr>
              <w:object>
                <v:shape id="_x0000_i1047" o:spt="75" type="#_x0000_t75" style="height:17.75pt;width:15.9pt;" o:ole="t" filled="f" o:preferrelative="t" stroked="f" coordsize="21600,21600">
                  <v:path/>
                  <v:fill on="f" focussize="0,0"/>
                  <v:stroke on="f" joinstyle="miter"/>
                  <v:imagedata r:id="rId58" o:title=""/>
                  <o:lock v:ext="edit" aspectratio="t"/>
                  <w10:wrap type="none"/>
                  <w10:anchorlock/>
                </v:shape>
                <o:OLEObject Type="Embed" ProgID="Equation.KSEE3" ShapeID="_x0000_i1047" DrawAspect="Content" ObjectID="_1468075747" r:id="rId57">
                  <o:LockedField>false</o:LockedField>
                </o:OLEObject>
              </w:object>
            </w:r>
            <w:r>
              <w:rPr>
                <w:rFonts w:hint="eastAsia"/>
                <w:sz w:val="24"/>
              </w:rPr>
              <w:t>为机械振子的有效质量，</w:t>
            </w:r>
            <w:r>
              <w:rPr>
                <w:rFonts w:hint="eastAsia"/>
                <w:position w:val="-12"/>
                <w:sz w:val="24"/>
              </w:rPr>
              <w:object>
                <v:shape id="_x0000_i1048" o:spt="75" type="#_x0000_t75" style="height:17.75pt;width:29pt;" o:ole="t" filled="f" o:preferrelative="t" stroked="f" coordsize="21600,21600">
                  <v:path/>
                  <v:fill on="f" focussize="0,0"/>
                  <v:stroke on="f" joinstyle="miter"/>
                  <v:imagedata r:id="rId60" o:title=""/>
                  <o:lock v:ext="edit" aspectratio="t"/>
                  <w10:wrap type="none"/>
                  <w10:anchorlock/>
                </v:shape>
                <o:OLEObject Type="Embed" ProgID="Equation.KSEE3" ShapeID="_x0000_i1048" DrawAspect="Content" ObjectID="_1468075748" r:id="rId59">
                  <o:LockedField>false</o:LockedField>
                </o:OLEObject>
              </w:object>
            </w:r>
            <w:r>
              <w:rPr>
                <w:rFonts w:hint="eastAsia"/>
                <w:sz w:val="24"/>
              </w:rPr>
              <w:t>和</w:t>
            </w:r>
            <w:r>
              <w:rPr>
                <w:rFonts w:hint="eastAsia"/>
                <w:position w:val="-10"/>
                <w:sz w:val="24"/>
              </w:rPr>
              <w:object>
                <v:shape id="_x0000_i1049" o:spt="75" type="#_x0000_t75" style="height:16.85pt;width:29pt;" o:ole="t" filled="f" o:preferrelative="t" stroked="f" coordsize="21600,21600">
                  <v:path/>
                  <v:fill on="f" focussize="0,0"/>
                  <v:stroke on="f" joinstyle="miter"/>
                  <v:imagedata r:id="rId62" o:title=""/>
                  <o:lock v:ext="edit" aspectratio="t"/>
                  <w10:wrap type="none"/>
                  <w10:anchorlock/>
                </v:shape>
                <o:OLEObject Type="Embed" ProgID="Equation.KSEE3" ShapeID="_x0000_i1049" DrawAspect="Content" ObjectID="_1468075749" r:id="rId61">
                  <o:LockedField>false</o:LockedField>
                </o:OLEObject>
              </w:object>
            </w:r>
            <w:r>
              <w:rPr>
                <w:rFonts w:hint="eastAsia"/>
                <w:sz w:val="24"/>
              </w:rPr>
              <w:t>分别为光学力和热噪声力。采用微扰理论、准静态近似法等研究获得铌酸锂基二维光子晶体腔光机械结构的光机械耦合特性：</w:t>
            </w:r>
          </w:p>
          <w:p>
            <w:pPr>
              <w:snapToGrid w:val="0"/>
              <w:jc w:val="right"/>
              <w:rPr>
                <w:sz w:val="24"/>
              </w:rPr>
            </w:pPr>
            <w:r>
              <w:rPr>
                <w:position w:val="-36"/>
                <w:sz w:val="24"/>
              </w:rPr>
              <w:object>
                <v:shape id="_x0000_i1050" o:spt="75" type="#_x0000_t75" style="height:43pt;width:313.25pt;" o:ole="t" filled="f" o:preferrelative="t" stroked="f" coordsize="21600,21600">
                  <v:path/>
                  <v:fill on="f" focussize="0,0"/>
                  <v:stroke on="f" joinstyle="miter"/>
                  <v:imagedata r:id="rId64" o:title=""/>
                  <o:lock v:ext="edit" aspectratio="t"/>
                  <w10:wrap type="none"/>
                  <w10:anchorlock/>
                </v:shape>
                <o:OLEObject Type="Embed" ProgID="Equation.KSEE3" ShapeID="_x0000_i1050" DrawAspect="Content" ObjectID="_1468075750" r:id="rId63">
                  <o:LockedField>false</o:LockedField>
                </o:OLEObject>
              </w:object>
            </w:r>
            <w:r>
              <w:rPr>
                <w:rFonts w:hint="eastAsia"/>
                <w:position w:val="-36"/>
                <w:sz w:val="24"/>
              </w:rPr>
              <w:t xml:space="preserve">      </w:t>
            </w:r>
            <w:r>
              <w:rPr>
                <w:rFonts w:hint="eastAsia"/>
                <w:sz w:val="24"/>
              </w:rPr>
              <w:t>(</w:t>
            </w:r>
            <w:r>
              <w:rPr>
                <w:rFonts w:hint="eastAsia"/>
                <w:sz w:val="24"/>
                <w:lang w:val="en-US" w:eastAsia="zh-CN"/>
              </w:rPr>
              <w:t>1</w:t>
            </w:r>
            <w:r>
              <w:rPr>
                <w:rFonts w:hint="eastAsia"/>
                <w:sz w:val="24"/>
              </w:rPr>
              <w:t>-3)</w:t>
            </w:r>
          </w:p>
          <w:p>
            <w:pPr>
              <w:snapToGrid w:val="0"/>
              <w:ind w:firstLine="480" w:firstLineChars="200"/>
              <w:rPr>
                <w:sz w:val="24"/>
              </w:rPr>
            </w:pPr>
            <w:r>
              <w:rPr>
                <w:rFonts w:hint="eastAsia"/>
                <w:sz w:val="24"/>
              </w:rPr>
              <w:t>式(2-3)中</w:t>
            </w:r>
            <w:r>
              <w:rPr>
                <w:rFonts w:hint="eastAsia"/>
                <w:position w:val="-6"/>
                <w:sz w:val="24"/>
              </w:rPr>
              <w:object>
                <v:shape id="_x0000_i1051" o:spt="75" type="#_x0000_t75" style="height:14.05pt;width:10.3pt;" o:ole="t" filled="f" o:preferrelative="t" stroked="f" coordsize="21600,21600">
                  <v:path/>
                  <v:fill on="f" focussize="0,0"/>
                  <v:stroke on="f" joinstyle="miter"/>
                  <v:imagedata r:id="rId66" o:title=""/>
                  <o:lock v:ext="edit" aspectratio="t"/>
                  <w10:wrap type="none"/>
                  <w10:anchorlock/>
                </v:shape>
                <o:OLEObject Type="Embed" ProgID="Equation.KSEE3" ShapeID="_x0000_i1051" DrawAspect="Content" ObjectID="_1468075751" r:id="rId65">
                  <o:LockedField>false</o:LockedField>
                </o:OLEObject>
              </w:object>
            </w:r>
            <w:r>
              <w:rPr>
                <w:rFonts w:hint="eastAsia"/>
                <w:sz w:val="24"/>
              </w:rPr>
              <w:t>为分界面外法向单位向量，</w:t>
            </w:r>
            <w:r>
              <w:rPr>
                <w:rFonts w:hint="eastAsia"/>
                <w:position w:val="-12"/>
                <w:sz w:val="24"/>
              </w:rPr>
              <w:object>
                <v:shape id="_x0000_i1052" o:spt="75" type="#_x0000_t75" style="height:17.75pt;width:67.3pt;" o:ole="t" filled="f" o:preferrelative="t" stroked="f" coordsize="21600,21600">
                  <v:path/>
                  <v:fill on="f" focussize="0,0"/>
                  <v:stroke on="f" joinstyle="miter"/>
                  <v:imagedata r:id="rId68" o:title=""/>
                  <o:lock v:ext="edit" aspectratio="t"/>
                  <w10:wrap type="none"/>
                  <w10:anchorlock/>
                </v:shape>
                <o:OLEObject Type="Embed" ProgID="Equation.KSEE3" ShapeID="_x0000_i1052" DrawAspect="Content" ObjectID="_1468075752" r:id="rId67">
                  <o:LockedField>false</o:LockedField>
                </o:OLEObject>
              </w:object>
            </w:r>
            <w:r>
              <w:rPr>
                <w:rFonts w:hint="eastAsia"/>
                <w:sz w:val="24"/>
              </w:rPr>
              <w:t>为铌酸锂介质与空气介质介电常数之差，</w:t>
            </w:r>
            <w:r>
              <w:rPr>
                <w:rFonts w:hint="eastAsia"/>
                <w:position w:val="-14"/>
                <w:sz w:val="24"/>
              </w:rPr>
              <w:object>
                <v:shape id="_x0000_i1053" o:spt="75" type="#_x0000_t75" style="height:18.7pt;width:14.05pt;" o:ole="t" filled="f" o:preferrelative="t" stroked="f" coordsize="21600,21600">
                  <v:path/>
                  <v:fill on="f" focussize="0,0"/>
                  <v:stroke on="f" joinstyle="miter"/>
                  <v:imagedata r:id="rId70" o:title=""/>
                  <o:lock v:ext="edit" aspectratio="t"/>
                  <w10:wrap type="none"/>
                  <w10:anchorlock/>
                </v:shape>
                <o:OLEObject Type="Embed" ProgID="Equation.KSEE3" ShapeID="_x0000_i1053" DrawAspect="Content" ObjectID="_1468075753" r:id="rId69">
                  <o:LockedField>false</o:LockedField>
                </o:OLEObject>
              </w:object>
            </w:r>
            <w:r>
              <w:rPr>
                <w:rFonts w:hint="eastAsia"/>
                <w:sz w:val="24"/>
              </w:rPr>
              <w:t>为平行于界面的电场分量，</w:t>
            </w:r>
            <w:r>
              <w:rPr>
                <w:rFonts w:hint="eastAsia"/>
                <w:position w:val="-10"/>
                <w:sz w:val="24"/>
              </w:rPr>
              <w:object>
                <v:shape id="_x0000_i1054" o:spt="75" type="#_x0000_t75" style="height:16.85pt;width:16.85pt;" o:ole="t" filled="f" o:preferrelative="t" stroked="f" coordsize="21600,21600">
                  <v:path/>
                  <v:fill on="f" focussize="0,0"/>
                  <v:stroke on="f" joinstyle="miter"/>
                  <v:imagedata r:id="rId72" o:title=""/>
                  <o:lock v:ext="edit" aspectratio="t"/>
                  <w10:wrap type="none"/>
                  <w10:anchorlock/>
                </v:shape>
                <o:OLEObject Type="Embed" ProgID="Equation.KSEE3" ShapeID="_x0000_i1054" DrawAspect="Content" ObjectID="_1468075754" r:id="rId71">
                  <o:LockedField>false</o:LockedField>
                </o:OLEObject>
              </w:object>
            </w:r>
            <w:r>
              <w:rPr>
                <w:rFonts w:hint="eastAsia"/>
                <w:sz w:val="24"/>
              </w:rPr>
              <w:t>为垂直于界面的电位移场分量，</w:t>
            </w:r>
            <w:r>
              <w:rPr>
                <w:rFonts w:hint="eastAsia"/>
                <w:position w:val="-14"/>
                <w:sz w:val="24"/>
              </w:rPr>
              <w:object>
                <v:shape id="_x0000_i1055" o:spt="75" type="#_x0000_t75" style="height:20.55pt;width:92.55pt;" o:ole="t" filled="f" o:preferrelative="t" stroked="f" coordsize="21600,21600">
                  <v:path/>
                  <v:fill on="f" focussize="0,0"/>
                  <v:stroke on="f" joinstyle="miter"/>
                  <v:imagedata r:id="rId74" o:title=""/>
                  <o:lock v:ext="edit" aspectratio="t"/>
                  <w10:wrap type="none"/>
                  <w10:anchorlock/>
                </v:shape>
                <o:OLEObject Type="Embed" ProgID="Equation.KSEE3" ShapeID="_x0000_i1055" DrawAspect="Content" ObjectID="_1468075755" r:id="rId73">
                  <o:LockedField>false</o:LockedField>
                </o:OLEObject>
              </w:object>
            </w:r>
            <w:r>
              <w:rPr>
                <w:rFonts w:hint="eastAsia"/>
                <w:sz w:val="24"/>
              </w:rPr>
              <w:t>为机械振子的零点波动振幅。</w:t>
            </w:r>
          </w:p>
          <w:p>
            <w:pPr>
              <w:snapToGrid w:val="0"/>
              <w:spacing w:line="360" w:lineRule="exact"/>
              <w:ind w:firstLine="482"/>
              <w:rPr>
                <w:sz w:val="24"/>
              </w:rPr>
            </w:pPr>
            <w:r>
              <w:rPr>
                <w:rFonts w:hint="eastAsia"/>
                <w:sz w:val="24"/>
              </w:rPr>
              <w:t>利用COMSOL等多物理场联合仿真模块，仿真计算出铌酸锂基二维光子晶体腔光机械结构的光机械耦合率，研究不同光学模式、不同机械模式情况下的光机械耦合率变化特性</w:t>
            </w:r>
            <w:r>
              <w:rPr>
                <w:rFonts w:hint="eastAsia"/>
                <w:sz w:val="24"/>
                <w:lang w:val="en-US" w:eastAsia="zh-CN"/>
              </w:rPr>
              <w:t>如图7所示：</w:t>
            </w:r>
          </w:p>
          <w:p>
            <w:pPr>
              <w:spacing w:line="360" w:lineRule="exact"/>
              <w:ind w:firstLine="480"/>
              <w:rPr>
                <w:sz w:val="24"/>
              </w:rPr>
            </w:pPr>
            <w:r>
              <w:rPr>
                <w:rFonts w:hint="eastAsia"/>
                <w:sz w:val="24"/>
              </w:rPr>
              <w:t>根据已获得的铌酸锂基二维光子晶体腔光机械结构的各参数，结合式(2-1)和(2-2)推导得到腔光机械结构中的光场特性：</w:t>
            </w:r>
          </w:p>
          <w:p>
            <w:pPr>
              <w:snapToGrid w:val="0"/>
              <w:jc w:val="right"/>
              <w:rPr>
                <w:sz w:val="24"/>
              </w:rPr>
            </w:pPr>
            <w:r>
              <w:rPr>
                <w:position w:val="-30"/>
                <w:sz w:val="24"/>
              </w:rPr>
              <w:object>
                <v:shape id="_x0000_i1056" o:spt="75" type="#_x0000_t75" style="height:37.4pt;width:393.65pt;" o:ole="t" filled="f" o:preferrelative="t" stroked="f" coordsize="21600,21600">
                  <v:path/>
                  <v:fill on="f" focussize="0,0"/>
                  <v:stroke on="f" joinstyle="miter"/>
                  <v:imagedata r:id="rId76" o:title=""/>
                  <o:lock v:ext="edit" aspectratio="t"/>
                  <w10:wrap type="none"/>
                  <w10:anchorlock/>
                </v:shape>
                <o:OLEObject Type="Embed" ProgID="Equation.KSEE3" ShapeID="_x0000_i1056" DrawAspect="Content" ObjectID="_1468075756" r:id="rId75">
                  <o:LockedField>false</o:LockedField>
                </o:OLEObject>
              </w:object>
            </w:r>
            <w:r>
              <w:rPr>
                <w:rFonts w:hint="eastAsia"/>
                <w:position w:val="-30"/>
                <w:sz w:val="24"/>
              </w:rPr>
              <w:t xml:space="preserve"> </w:t>
            </w:r>
            <w:r>
              <w:rPr>
                <w:rFonts w:hint="eastAsia"/>
                <w:sz w:val="24"/>
              </w:rPr>
              <w:t>(</w:t>
            </w:r>
            <w:r>
              <w:rPr>
                <w:rFonts w:hint="eastAsia"/>
                <w:sz w:val="24"/>
                <w:lang w:val="en-US" w:eastAsia="zh-CN"/>
              </w:rPr>
              <w:t>1</w:t>
            </w:r>
            <w:r>
              <w:rPr>
                <w:rFonts w:hint="eastAsia"/>
                <w:sz w:val="24"/>
              </w:rPr>
              <w:t>-4)</w:t>
            </w:r>
          </w:p>
          <w:p>
            <w:pPr>
              <w:snapToGrid w:val="0"/>
              <w:rPr>
                <w:sz w:val="24"/>
              </w:rPr>
            </w:pPr>
            <w:r>
              <w:rPr>
                <w:rFonts w:hint="eastAsia"/>
                <w:sz w:val="24"/>
              </w:rPr>
              <w:t>和简化的光学弹性效应理论关系式：</w:t>
            </w:r>
          </w:p>
          <w:p>
            <w:pPr>
              <w:snapToGrid w:val="0"/>
              <w:jc w:val="right"/>
              <w:rPr>
                <w:sz w:val="24"/>
              </w:rPr>
            </w:pPr>
            <w:r>
              <w:rPr>
                <w:position w:val="-40"/>
                <w:sz w:val="24"/>
              </w:rPr>
              <w:object>
                <v:shape id="_x0000_i1057" o:spt="75" type="#_x0000_t75" style="height:46.75pt;width:260.9pt;" o:ole="t" filled="f" o:preferrelative="t" stroked="f" coordsize="21600,21600">
                  <v:path/>
                  <v:fill on="f" focussize="0,0"/>
                  <v:stroke on="f" joinstyle="miter"/>
                  <v:imagedata r:id="rId78" o:title=""/>
                  <o:lock v:ext="edit" aspectratio="t"/>
                  <w10:wrap type="none"/>
                  <w10:anchorlock/>
                </v:shape>
                <o:OLEObject Type="Embed" ProgID="Equation.KSEE3" ShapeID="_x0000_i1057" DrawAspect="Content" ObjectID="_1468075757" r:id="rId77">
                  <o:LockedField>false</o:LockedField>
                </o:OLEObject>
              </w:object>
            </w:r>
            <w:r>
              <w:rPr>
                <w:rFonts w:hint="eastAsia"/>
                <w:position w:val="-40"/>
                <w:sz w:val="24"/>
              </w:rPr>
              <w:t xml:space="preserve">           </w:t>
            </w:r>
            <w:r>
              <w:rPr>
                <w:rFonts w:hint="eastAsia"/>
                <w:sz w:val="24"/>
              </w:rPr>
              <w:t>(</w:t>
            </w:r>
            <w:r>
              <w:rPr>
                <w:rFonts w:hint="eastAsia"/>
                <w:sz w:val="24"/>
                <w:lang w:val="en-US" w:eastAsia="zh-CN"/>
              </w:rPr>
              <w:t>1</w:t>
            </w:r>
            <w:r>
              <w:rPr>
                <w:rFonts w:hint="eastAsia"/>
                <w:sz w:val="24"/>
              </w:rPr>
              <w:t>-5)</w:t>
            </w:r>
          </w:p>
          <w:p>
            <w:pPr>
              <w:snapToGrid w:val="0"/>
              <w:rPr>
                <w:rFonts w:hint="eastAsia"/>
                <w:sz w:val="24"/>
              </w:rPr>
            </w:pPr>
            <w:r>
              <w:rPr>
                <w:rFonts w:hint="eastAsia"/>
                <w:sz w:val="24"/>
              </w:rPr>
              <w:t>便可理论计算出机械振荡频率（</w:t>
            </w:r>
            <w:r>
              <w:rPr>
                <w:rFonts w:hint="eastAsia"/>
                <w:position w:val="-12"/>
                <w:sz w:val="24"/>
              </w:rPr>
              <w:object>
                <v:shape id="_x0000_i1058" o:spt="75" type="#_x0000_t75" style="height:17.75pt;width:18.7pt;" o:ole="t" filled="f" o:preferrelative="t" stroked="f" coordsize="21600,21600">
                  <v:path/>
                  <v:fill on="f" focussize="0,0"/>
                  <v:stroke on="f" joinstyle="miter"/>
                  <v:imagedata r:id="rId80" o:title=""/>
                  <o:lock v:ext="edit" aspectratio="t"/>
                  <w10:wrap type="none"/>
                  <w10:anchorlock/>
                </v:shape>
                <o:OLEObject Type="Embed" ProgID="Equation.KSEE3" ShapeID="_x0000_i1058" DrawAspect="Content" ObjectID="_1468075758" r:id="rId79">
                  <o:LockedField>false</o:LockedField>
                </o:OLEObject>
              </w:object>
            </w:r>
            <w:r>
              <w:rPr>
                <w:rFonts w:hint="eastAsia"/>
                <w:sz w:val="24"/>
              </w:rPr>
              <w:t>）与腔光机械结构的光机械耦合率（</w:t>
            </w:r>
            <w:r>
              <w:rPr>
                <w:rFonts w:hint="eastAsia"/>
                <w:position w:val="-12"/>
                <w:sz w:val="24"/>
              </w:rPr>
              <w:object>
                <v:shape id="_x0000_i1059" o:spt="75" type="#_x0000_t75" style="height:17.75pt;width:19.65pt;" o:ole="t" filled="f" o:preferrelative="t" stroked="f" coordsize="21600,21600">
                  <v:path/>
                  <v:fill on="f" focussize="0,0"/>
                  <v:stroke on="f" joinstyle="miter"/>
                  <v:imagedata r:id="rId82" o:title=""/>
                  <o:lock v:ext="edit" aspectratio="t"/>
                  <w10:wrap type="none"/>
                  <w10:anchorlock/>
                </v:shape>
                <o:OLEObject Type="Embed" ProgID="Equation.KSEE3" ShapeID="_x0000_i1059" DrawAspect="Content" ObjectID="_1468075759" r:id="rId81">
                  <o:LockedField>false</o:LockedField>
                </o:OLEObject>
              </w:object>
            </w:r>
            <w:r>
              <w:rPr>
                <w:rFonts w:hint="eastAsia"/>
                <w:sz w:val="24"/>
              </w:rPr>
              <w:t>）、激光-腔体失谐率、光学谐振</w:t>
            </w:r>
            <w:r>
              <w:rPr>
                <w:rFonts w:hint="eastAsia"/>
                <w:position w:val="-10"/>
                <w:sz w:val="24"/>
              </w:rPr>
              <w:object>
                <v:shape id="_x0000_i1060" o:spt="75" type="#_x0000_t75" style="height:15.9pt;width:12.15pt;" o:ole="t" filled="f" o:preferrelative="t" stroked="f" coordsize="21600,21600">
                  <v:path/>
                  <v:fill on="f" focussize="0,0"/>
                  <v:stroke on="f" joinstyle="miter"/>
                  <v:imagedata r:id="rId84" o:title=""/>
                  <o:lock v:ext="edit" aspectratio="t"/>
                  <w10:wrap type="none"/>
                  <w10:anchorlock/>
                </v:shape>
                <o:OLEObject Type="Embed" ProgID="Equation.KSEE3" ShapeID="_x0000_i1060" DrawAspect="Content" ObjectID="_1468075760" r:id="rId83">
                  <o:LockedField>false</o:LockedField>
                </o:OLEObject>
              </w:object>
            </w:r>
            <w:r>
              <w:rPr>
                <w:rFonts w:hint="eastAsia"/>
                <w:sz w:val="24"/>
              </w:rPr>
              <w:t>值、腔体内能量之间的关系曲线</w:t>
            </w:r>
            <w:r>
              <w:rPr>
                <w:rFonts w:hint="eastAsia"/>
                <w:sz w:val="24"/>
                <w:lang w:val="en-US" w:eastAsia="zh-CN"/>
              </w:rPr>
              <w:t>如图7所示</w:t>
            </w:r>
            <w:r>
              <w:rPr>
                <w:rFonts w:hint="eastAsia"/>
                <w:sz w:val="24"/>
              </w:rPr>
              <w:t>，进而逆向指导、优化设计整个铌酸锂基二维光子晶体腔光机械结构，实现机械振荡频率的有效控制。</w:t>
            </w:r>
          </w:p>
          <w:p>
            <w:pPr>
              <w:snapToGrid w:val="0"/>
              <w:jc w:val="center"/>
              <w:rPr>
                <w:b/>
                <w:sz w:val="24"/>
              </w:rPr>
            </w:pPr>
            <w:r>
              <w:drawing>
                <wp:inline distT="0" distB="0" distL="114300" distR="114300">
                  <wp:extent cx="5760085" cy="1800225"/>
                  <wp:effectExtent l="0" t="0" r="635" b="13335"/>
                  <wp:docPr id="1" name="图片 30"/>
                  <wp:cNvGraphicFramePr/>
                  <a:graphic xmlns:a="http://schemas.openxmlformats.org/drawingml/2006/main">
                    <a:graphicData uri="http://schemas.openxmlformats.org/drawingml/2006/picture">
                      <pic:pic xmlns:pic="http://schemas.openxmlformats.org/drawingml/2006/picture">
                        <pic:nvPicPr>
                          <pic:cNvPr id="1" name="图片 30"/>
                          <pic:cNvPicPr/>
                        </pic:nvPicPr>
                        <pic:blipFill>
                          <a:blip r:embed="rId85"/>
                          <a:stretch>
                            <a:fillRect/>
                          </a:stretch>
                        </pic:blipFill>
                        <pic:spPr>
                          <a:xfrm>
                            <a:off x="0" y="0"/>
                            <a:ext cx="5760085" cy="1800225"/>
                          </a:xfrm>
                          <a:prstGeom prst="rect">
                            <a:avLst/>
                          </a:prstGeom>
                          <a:noFill/>
                          <a:ln>
                            <a:noFill/>
                          </a:ln>
                        </pic:spPr>
                      </pic:pic>
                    </a:graphicData>
                  </a:graphic>
                </wp:inline>
              </w:drawing>
            </w:r>
          </w:p>
          <w:p>
            <w:pPr>
              <w:spacing w:line="360" w:lineRule="exact"/>
              <w:jc w:val="center"/>
              <w:rPr>
                <w:rFonts w:hint="eastAsia"/>
                <w:bCs/>
                <w:color w:val="000000" w:themeColor="text1"/>
                <w:sz w:val="24"/>
                <w14:textFill>
                  <w14:solidFill>
                    <w14:schemeClr w14:val="tx1"/>
                  </w14:solidFill>
                </w14:textFill>
              </w:rPr>
            </w:pPr>
            <w:r>
              <w:rPr>
                <w:rFonts w:hint="eastAsia"/>
                <w:bCs/>
                <w:sz w:val="24"/>
              </w:rPr>
              <w:t>图</w:t>
            </w:r>
            <w:r>
              <w:rPr>
                <w:rFonts w:hint="eastAsia"/>
                <w:bCs/>
                <w:sz w:val="24"/>
                <w:lang w:val="en-US" w:eastAsia="zh-CN"/>
              </w:rPr>
              <w:t>7</w:t>
            </w:r>
            <w:r>
              <w:rPr>
                <w:rFonts w:hint="eastAsia"/>
                <w:bCs/>
                <w:sz w:val="24"/>
              </w:rPr>
              <w:t xml:space="preserve"> 光机械耦合特性及光学弹性特性理论与仿真结果</w:t>
            </w:r>
          </w:p>
          <w:p>
            <w:pPr>
              <w:pStyle w:val="8"/>
              <w:numPr>
                <w:ilvl w:val="0"/>
                <w:numId w:val="0"/>
              </w:numPr>
              <w:ind w:leftChars="0"/>
              <w:rPr>
                <w:b/>
                <w:color w:val="000000" w:themeColor="text1"/>
                <w14:textFill>
                  <w14:solidFill>
                    <w14:schemeClr w14:val="tx1"/>
                  </w14:solidFill>
                </w14:textFill>
              </w:rPr>
            </w:pPr>
          </w:p>
          <w:p>
            <w:pPr>
              <w:pStyle w:val="8"/>
              <w:numPr>
                <w:ilvl w:val="0"/>
                <w:numId w:val="2"/>
              </w:numPr>
              <w:ind w:firstLineChars="0"/>
              <w:rPr>
                <w:b/>
                <w:color w:val="000000" w:themeColor="text1"/>
                <w14:textFill>
                  <w14:solidFill>
                    <w14:schemeClr w14:val="tx1"/>
                  </w14:solidFill>
                </w14:textFill>
              </w:rPr>
            </w:pPr>
            <w:r>
              <w:rPr>
                <w:rFonts w:hint="eastAsia"/>
                <w:b/>
                <w:color w:val="000000" w:themeColor="text1"/>
                <w:lang w:val="en-US" w:eastAsia="zh-CN"/>
                <w14:textFill>
                  <w14:solidFill>
                    <w14:schemeClr w14:val="tx1"/>
                  </w14:solidFill>
                </w14:textFill>
              </w:rPr>
              <w:t>铌酸锂基光子晶体腔光力系统的测试</w:t>
            </w:r>
            <w:r>
              <w:rPr>
                <w:rFonts w:hint="eastAsia"/>
                <w:b/>
                <w:color w:val="000000" w:themeColor="text1"/>
                <w14:textFill>
                  <w14:solidFill>
                    <w14:schemeClr w14:val="tx1"/>
                  </w14:solidFill>
                </w14:textFill>
              </w:rPr>
              <w:t>：</w:t>
            </w:r>
          </w:p>
          <w:p>
            <w:pPr>
              <w:rPr>
                <w:rFonts w:hint="eastAsia"/>
                <w:b/>
                <w:color w:val="000000" w:themeColor="text1"/>
                <w14:textFill>
                  <w14:solidFill>
                    <w14:schemeClr w14:val="tx1"/>
                  </w14:solidFill>
                </w14:textFill>
              </w:rPr>
            </w:pPr>
            <w:r>
              <w:rPr>
                <w:rFonts w:hint="eastAsia"/>
                <w:b/>
                <w:color w:val="000000" w:themeColor="text1"/>
                <w14:textFill>
                  <w14:solidFill>
                    <w14:schemeClr w14:val="tx1"/>
                  </w14:solidFill>
                </w14:textFill>
              </w:rPr>
              <w:t>腔体制备</w:t>
            </w:r>
            <w:r>
              <w:rPr>
                <w:rFonts w:hint="eastAsia"/>
                <w:b/>
                <w:color w:val="000000" w:themeColor="text1"/>
                <w:lang w:val="en-US" w:eastAsia="zh-CN"/>
                <w14:textFill>
                  <w14:solidFill>
                    <w14:schemeClr w14:val="tx1"/>
                  </w14:solidFill>
                </w14:textFill>
              </w:rPr>
              <w:t>流程：</w:t>
            </w:r>
          </w:p>
          <w:p>
            <w:pPr>
              <w:widowControl/>
              <w:spacing w:line="360" w:lineRule="exact"/>
              <w:jc w:val="left"/>
            </w:pPr>
            <w:r>
              <w:rPr>
                <w:rFonts w:hint="eastAsia"/>
                <w:b/>
                <w:sz w:val="24"/>
              </w:rPr>
              <w:t xml:space="preserve">    </w:t>
            </w:r>
            <w:r>
              <w:rPr>
                <w:bCs/>
                <w:sz w:val="24"/>
              </w:rPr>
              <w:t>铌酸锂基二维光子晶体微腔的制备</w:t>
            </w:r>
            <w:r>
              <w:rPr>
                <w:bCs/>
                <w:color w:val="000000"/>
                <w:kern w:val="0"/>
                <w:sz w:val="24"/>
                <w:lang w:bidi="ar"/>
              </w:rPr>
              <w:t>拟采用如图</w:t>
            </w:r>
            <w:r>
              <w:rPr>
                <w:rFonts w:hint="eastAsia"/>
                <w:bCs/>
                <w:color w:val="000000"/>
                <w:kern w:val="0"/>
                <w:sz w:val="24"/>
                <w:lang w:bidi="ar"/>
              </w:rPr>
              <w:t>1-6</w:t>
            </w:r>
            <w:r>
              <w:rPr>
                <w:bCs/>
                <w:color w:val="000000"/>
                <w:kern w:val="0"/>
                <w:sz w:val="24"/>
                <w:lang w:bidi="ar"/>
              </w:rPr>
              <w:t>所示成熟制备流程。具体流程包括：（</w:t>
            </w:r>
            <w:r>
              <w:rPr>
                <w:rFonts w:eastAsia="TimesNewRomanPSMT"/>
                <w:bCs/>
                <w:color w:val="000000"/>
                <w:kern w:val="0"/>
                <w:sz w:val="24"/>
                <w:lang w:bidi="ar"/>
              </w:rPr>
              <w:t>1</w:t>
            </w:r>
            <w:r>
              <w:rPr>
                <w:bCs/>
                <w:color w:val="000000"/>
                <w:kern w:val="0"/>
                <w:sz w:val="24"/>
                <w:lang w:bidi="ar"/>
              </w:rPr>
              <w:t>）采用标准</w:t>
            </w:r>
            <w:r>
              <w:rPr>
                <w:color w:val="000000"/>
                <w:kern w:val="0"/>
                <w:sz w:val="24"/>
                <w:lang w:bidi="ar"/>
              </w:rPr>
              <w:t xml:space="preserve"> </w:t>
            </w:r>
            <w:r>
              <w:rPr>
                <w:rFonts w:eastAsia="TimesNewRomanPSMT"/>
                <w:color w:val="000000"/>
                <w:kern w:val="0"/>
                <w:sz w:val="24"/>
                <w:lang w:bidi="ar"/>
              </w:rPr>
              <w:t xml:space="preserve">RCA </w:t>
            </w:r>
            <w:r>
              <w:rPr>
                <w:color w:val="000000"/>
                <w:kern w:val="0"/>
                <w:sz w:val="24"/>
                <w:lang w:bidi="ar"/>
              </w:rPr>
              <w:t>流程清洗从济南晶正电子科技有限公司购买到的高性能</w:t>
            </w:r>
            <w:r>
              <w:rPr>
                <w:rFonts w:eastAsia="TimesNewRomanPSMT"/>
                <w:color w:val="000000"/>
                <w:kern w:val="0"/>
                <w:sz w:val="24"/>
                <w:lang w:bidi="ar"/>
              </w:rPr>
              <w:t>X-</w:t>
            </w:r>
            <w:r>
              <w:rPr>
                <w:color w:val="000000"/>
                <w:kern w:val="0"/>
                <w:sz w:val="24"/>
                <w:lang w:bidi="ar"/>
              </w:rPr>
              <w:t>切向铌酸锂晶圆；（</w:t>
            </w:r>
            <w:r>
              <w:rPr>
                <w:rFonts w:eastAsia="TimesNewRomanPSMT"/>
                <w:color w:val="000000"/>
                <w:kern w:val="0"/>
                <w:sz w:val="24"/>
                <w:lang w:bidi="ar"/>
              </w:rPr>
              <w:t>2</w:t>
            </w:r>
            <w:r>
              <w:rPr>
                <w:color w:val="000000"/>
                <w:kern w:val="0"/>
                <w:sz w:val="24"/>
                <w:lang w:bidi="ar"/>
              </w:rPr>
              <w:t>）采用等离子增强化学气相沉积法（</w:t>
            </w:r>
            <w:r>
              <w:rPr>
                <w:rFonts w:eastAsia="TimesNewRomanPSMT"/>
                <w:color w:val="000000"/>
                <w:kern w:val="0"/>
                <w:sz w:val="24"/>
                <w:lang w:bidi="ar"/>
              </w:rPr>
              <w:t>PECVD</w:t>
            </w:r>
            <w:r>
              <w:rPr>
                <w:color w:val="000000"/>
                <w:kern w:val="0"/>
                <w:sz w:val="24"/>
                <w:lang w:bidi="ar"/>
              </w:rPr>
              <w:t>）在已清洗好的晶圆上沉积非晶硅层；（</w:t>
            </w:r>
            <w:r>
              <w:rPr>
                <w:rFonts w:eastAsia="TimesNewRomanPSMT"/>
                <w:color w:val="000000"/>
                <w:kern w:val="0"/>
                <w:sz w:val="24"/>
                <w:lang w:bidi="ar"/>
              </w:rPr>
              <w:t>3</w:t>
            </w:r>
            <w:r>
              <w:rPr>
                <w:color w:val="000000"/>
                <w:kern w:val="0"/>
                <w:sz w:val="24"/>
                <w:lang w:bidi="ar"/>
              </w:rPr>
              <w:t xml:space="preserve">）在非晶硅表面旋涂 </w:t>
            </w:r>
            <w:r>
              <w:rPr>
                <w:rFonts w:eastAsia="TimesNewRomanPSMT"/>
                <w:color w:val="000000"/>
                <w:kern w:val="0"/>
                <w:sz w:val="24"/>
                <w:lang w:bidi="ar"/>
              </w:rPr>
              <w:t xml:space="preserve">PMMA </w:t>
            </w:r>
            <w:r>
              <w:rPr>
                <w:color w:val="000000"/>
                <w:kern w:val="0"/>
                <w:sz w:val="24"/>
                <w:lang w:bidi="ar"/>
              </w:rPr>
              <w:t>电子束刻蚀光刻胶，然后经电子束光刻机（</w:t>
            </w:r>
            <w:r>
              <w:rPr>
                <w:rFonts w:eastAsia="TimesNewRomanPSMT"/>
                <w:color w:val="000000"/>
                <w:kern w:val="0"/>
                <w:sz w:val="24"/>
                <w:lang w:bidi="ar"/>
              </w:rPr>
              <w:t>EBL</w:t>
            </w:r>
            <w:r>
              <w:rPr>
                <w:color w:val="000000"/>
                <w:kern w:val="0"/>
                <w:sz w:val="24"/>
                <w:lang w:bidi="ar"/>
              </w:rPr>
              <w:t>）曝光、显影得到设计好的光子晶体圆孔阵列和空气槽；（</w:t>
            </w:r>
            <w:r>
              <w:rPr>
                <w:rFonts w:eastAsia="TimesNewRomanPSMT"/>
                <w:color w:val="000000"/>
                <w:kern w:val="0"/>
                <w:sz w:val="24"/>
                <w:lang w:bidi="ar"/>
              </w:rPr>
              <w:t>4</w:t>
            </w:r>
            <w:r>
              <w:rPr>
                <w:color w:val="000000"/>
                <w:kern w:val="0"/>
                <w:sz w:val="24"/>
                <w:lang w:bidi="ar"/>
              </w:rPr>
              <w:t>）采用标准反应离子刻蚀（</w:t>
            </w:r>
            <w:r>
              <w:rPr>
                <w:rFonts w:eastAsia="TimesNewRomanPSMT"/>
                <w:color w:val="000000"/>
                <w:kern w:val="0"/>
                <w:sz w:val="24"/>
                <w:lang w:bidi="ar"/>
              </w:rPr>
              <w:t>RIE</w:t>
            </w:r>
            <w:r>
              <w:rPr>
                <w:color w:val="000000"/>
                <w:kern w:val="0"/>
                <w:sz w:val="24"/>
                <w:lang w:bidi="ar"/>
              </w:rPr>
              <w:t>）法刻蚀非晶硅层；（</w:t>
            </w:r>
            <w:r>
              <w:rPr>
                <w:rFonts w:eastAsia="TimesNewRomanPSMT"/>
                <w:color w:val="000000"/>
                <w:kern w:val="0"/>
                <w:sz w:val="24"/>
                <w:lang w:bidi="ar"/>
              </w:rPr>
              <w:t>5</w:t>
            </w:r>
            <w:r>
              <w:rPr>
                <w:color w:val="000000"/>
                <w:kern w:val="0"/>
                <w:sz w:val="24"/>
                <w:lang w:bidi="ar"/>
              </w:rPr>
              <w:t>）继续采用</w:t>
            </w:r>
            <w:r>
              <w:rPr>
                <w:rFonts w:eastAsia="TimesNewRomanPSMT"/>
                <w:color w:val="000000"/>
                <w:kern w:val="0"/>
                <w:sz w:val="24"/>
                <w:lang w:bidi="ar"/>
              </w:rPr>
              <w:t>Ar</w:t>
            </w:r>
            <w:r>
              <w:rPr>
                <w:rFonts w:eastAsia="TimesNewRomanPSMT"/>
                <w:color w:val="000000"/>
                <w:kern w:val="0"/>
                <w:sz w:val="16"/>
                <w:szCs w:val="16"/>
                <w:lang w:bidi="ar"/>
              </w:rPr>
              <w:t>+</w:t>
            </w:r>
            <w:r>
              <w:rPr>
                <w:color w:val="000000"/>
                <w:kern w:val="0"/>
                <w:sz w:val="24"/>
                <w:lang w:bidi="ar"/>
              </w:rPr>
              <w:t>等离子刻蚀技术刻蚀铌酸锂层；（</w:t>
            </w:r>
            <w:r>
              <w:rPr>
                <w:rFonts w:eastAsia="TimesNewRomanPSMT"/>
                <w:color w:val="000000"/>
                <w:kern w:val="0"/>
                <w:sz w:val="24"/>
                <w:lang w:bidi="ar"/>
              </w:rPr>
              <w:t>6</w:t>
            </w:r>
            <w:r>
              <w:rPr>
                <w:color w:val="000000"/>
                <w:kern w:val="0"/>
                <w:sz w:val="24"/>
                <w:lang w:bidi="ar"/>
              </w:rPr>
              <w:t>）采用丙酮等去除顶层光刻胶、氢氧化钾（</w:t>
            </w:r>
            <w:r>
              <w:rPr>
                <w:rFonts w:eastAsia="TimesNewRomanPSMT"/>
                <w:color w:val="000000"/>
                <w:kern w:val="0"/>
                <w:sz w:val="24"/>
                <w:lang w:bidi="ar"/>
              </w:rPr>
              <w:t>KOH</w:t>
            </w:r>
            <w:r>
              <w:rPr>
                <w:color w:val="000000"/>
                <w:kern w:val="0"/>
                <w:sz w:val="24"/>
                <w:lang w:bidi="ar"/>
              </w:rPr>
              <w:t>）等溶液去除非晶硅层、</w:t>
            </w:r>
            <w:r>
              <w:rPr>
                <w:rFonts w:eastAsia="TimesNewRomanPSMT"/>
                <w:color w:val="000000"/>
                <w:kern w:val="0"/>
                <w:sz w:val="24"/>
                <w:lang w:bidi="ar"/>
              </w:rPr>
              <w:t xml:space="preserve">RCA </w:t>
            </w:r>
            <w:r>
              <w:rPr>
                <w:color w:val="000000"/>
                <w:kern w:val="0"/>
                <w:sz w:val="24"/>
                <w:lang w:bidi="ar"/>
              </w:rPr>
              <w:t>清洗晶圆；（</w:t>
            </w:r>
            <w:r>
              <w:rPr>
                <w:rFonts w:eastAsia="TimesNewRomanPSMT"/>
                <w:color w:val="000000"/>
                <w:kern w:val="0"/>
                <w:sz w:val="24"/>
                <w:lang w:bidi="ar"/>
              </w:rPr>
              <w:t>7</w:t>
            </w:r>
            <w:r>
              <w:rPr>
                <w:color w:val="000000"/>
                <w:kern w:val="0"/>
                <w:sz w:val="24"/>
                <w:lang w:bidi="ar"/>
              </w:rPr>
              <w:t>）使用氢氟酸（</w:t>
            </w:r>
            <w:r>
              <w:rPr>
                <w:rFonts w:eastAsia="TimesNewRomanPSMT"/>
                <w:color w:val="000000"/>
                <w:kern w:val="0"/>
                <w:sz w:val="24"/>
                <w:lang w:bidi="ar"/>
              </w:rPr>
              <w:t>HF</w:t>
            </w:r>
            <w:r>
              <w:rPr>
                <w:color w:val="000000"/>
                <w:kern w:val="0"/>
                <w:sz w:val="24"/>
                <w:lang w:bidi="ar"/>
              </w:rPr>
              <w:t>）气体刻蚀机，释放氧化硅层，得到悬空的铌酸锂基二维光子晶体微腔结构。在上述多步刻蚀及腐蚀过程中，需要多次尝试，优化具体刻蚀工艺精度、刻蚀流程、刻蚀时间，以及优化氢氧化钾和氢氟酸溶液浓度、腐蚀时间，保证最终制备出的光子晶体结构具有良好的表面光滑度，空气孔和空气槽部分具有最为陡峭和光滑的切面。</w:t>
            </w:r>
          </w:p>
          <w:p>
            <w:pPr>
              <w:widowControl/>
              <w:jc w:val="center"/>
            </w:pPr>
            <w:r>
              <w:drawing>
                <wp:inline distT="0" distB="0" distL="114300" distR="114300">
                  <wp:extent cx="5089525" cy="1067435"/>
                  <wp:effectExtent l="0" t="0" r="635" b="14605"/>
                  <wp:docPr id="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
                          <pic:cNvPicPr>
                            <a:picLocks noChangeAspect="1"/>
                          </pic:cNvPicPr>
                        </pic:nvPicPr>
                        <pic:blipFill>
                          <a:blip r:embed="rId86"/>
                          <a:stretch>
                            <a:fillRect/>
                          </a:stretch>
                        </pic:blipFill>
                        <pic:spPr>
                          <a:xfrm>
                            <a:off x="0" y="0"/>
                            <a:ext cx="5089525" cy="1067435"/>
                          </a:xfrm>
                          <a:prstGeom prst="rect">
                            <a:avLst/>
                          </a:prstGeom>
                          <a:noFill/>
                          <a:ln>
                            <a:noFill/>
                          </a:ln>
                        </pic:spPr>
                      </pic:pic>
                    </a:graphicData>
                  </a:graphic>
                </wp:inline>
              </w:drawing>
            </w:r>
          </w:p>
          <w:p>
            <w:pPr>
              <w:spacing w:line="360" w:lineRule="exact"/>
              <w:jc w:val="center"/>
              <w:rPr>
                <w:rFonts w:hint="eastAsia"/>
                <w:bCs/>
                <w:sz w:val="24"/>
              </w:rPr>
            </w:pPr>
            <w:r>
              <w:rPr>
                <w:rFonts w:hint="eastAsia"/>
                <w:bCs/>
                <w:sz w:val="24"/>
              </w:rPr>
              <w:t>图</w:t>
            </w:r>
            <w:r>
              <w:rPr>
                <w:rFonts w:hint="eastAsia"/>
                <w:bCs/>
                <w:sz w:val="24"/>
                <w:lang w:val="en-US" w:eastAsia="zh-CN"/>
              </w:rPr>
              <w:t>8</w:t>
            </w:r>
            <w:r>
              <w:rPr>
                <w:rFonts w:hint="eastAsia"/>
                <w:bCs/>
                <w:sz w:val="24"/>
              </w:rPr>
              <w:t xml:space="preserve"> 铌酸锂基二维光子晶体腔光机械结构加工流程</w:t>
            </w:r>
          </w:p>
          <w:p>
            <w:pPr>
              <w:rPr>
                <w:b/>
                <w:color w:val="000000" w:themeColor="text1"/>
                <w14:textFill>
                  <w14:solidFill>
                    <w14:schemeClr w14:val="tx1"/>
                  </w14:solidFill>
                </w14:textFill>
              </w:rPr>
            </w:pPr>
            <w:r>
              <w:rPr>
                <w:rFonts w:hint="eastAsia"/>
                <w:b/>
                <w:color w:val="000000" w:themeColor="text1"/>
                <w:lang w:val="en-US" w:eastAsia="zh-CN"/>
                <w14:textFill>
                  <w14:solidFill>
                    <w14:schemeClr w14:val="tx1"/>
                  </w14:solidFill>
                </w14:textFill>
              </w:rPr>
              <w:t>测试平台</w:t>
            </w:r>
            <w:r>
              <w:rPr>
                <w:rFonts w:hint="eastAsia"/>
                <w:b/>
                <w:color w:val="000000" w:themeColor="text1"/>
                <w14:textFill>
                  <w14:solidFill>
                    <w14:schemeClr w14:val="tx1"/>
                  </w14:solidFill>
                </w14:textFill>
              </w:rPr>
              <w:t>：</w:t>
            </w:r>
          </w:p>
          <w:p>
            <w:pPr>
              <w:ind w:firstLine="480" w:firstLineChars="200"/>
              <w:rPr>
                <w:rFonts w:hint="eastAsia"/>
                <w:bCs/>
                <w:sz w:val="24"/>
              </w:rPr>
            </w:pPr>
            <w:bookmarkStart w:id="0" w:name="OLE_LINK20"/>
            <w:bookmarkStart w:id="1" w:name="OLE_LINK19"/>
            <w:r>
              <w:rPr>
                <w:rFonts w:hint="eastAsia"/>
                <w:bCs/>
                <w:sz w:val="24"/>
              </w:rPr>
              <w:t>测试系统如图1-7，测试得到的光写和机械谐振特性的数据通过数据采集卡、GPIB等经计算机Labview程序控制进行采集与存储。</w:t>
            </w:r>
          </w:p>
          <w:p>
            <w:pPr>
              <w:jc w:val="center"/>
            </w:pPr>
            <w:r>
              <w:drawing>
                <wp:inline distT="0" distB="0" distL="114300" distR="114300">
                  <wp:extent cx="5001260" cy="1800225"/>
                  <wp:effectExtent l="0" t="0" r="12700" b="13335"/>
                  <wp:docPr id="2" name="图片 31"/>
                  <wp:cNvGraphicFramePr/>
                  <a:graphic xmlns:a="http://schemas.openxmlformats.org/drawingml/2006/main">
                    <a:graphicData uri="http://schemas.openxmlformats.org/drawingml/2006/picture">
                      <pic:pic xmlns:pic="http://schemas.openxmlformats.org/drawingml/2006/picture">
                        <pic:nvPicPr>
                          <pic:cNvPr id="2" name="图片 31"/>
                          <pic:cNvPicPr/>
                        </pic:nvPicPr>
                        <pic:blipFill>
                          <a:blip r:embed="rId87"/>
                          <a:stretch>
                            <a:fillRect/>
                          </a:stretch>
                        </pic:blipFill>
                        <pic:spPr>
                          <a:xfrm>
                            <a:off x="0" y="0"/>
                            <a:ext cx="5001260" cy="1800225"/>
                          </a:xfrm>
                          <a:prstGeom prst="rect">
                            <a:avLst/>
                          </a:prstGeom>
                          <a:noFill/>
                          <a:ln>
                            <a:noFill/>
                          </a:ln>
                        </pic:spPr>
                      </pic:pic>
                    </a:graphicData>
                  </a:graphic>
                </wp:inline>
              </w:drawing>
            </w:r>
          </w:p>
          <w:p>
            <w:pPr>
              <w:spacing w:line="360" w:lineRule="exact"/>
              <w:jc w:val="center"/>
              <w:rPr>
                <w:rFonts w:eastAsia="宋体"/>
                <w:color w:val="000000" w:themeColor="text1"/>
                <w14:textFill>
                  <w14:solidFill>
                    <w14:schemeClr w14:val="tx1"/>
                  </w14:solidFill>
                </w14:textFill>
              </w:rPr>
            </w:pPr>
            <w:r>
              <w:rPr>
                <w:rFonts w:hint="eastAsia"/>
                <w:bCs/>
                <w:sz w:val="24"/>
              </w:rPr>
              <w:t>图</w:t>
            </w:r>
            <w:r>
              <w:rPr>
                <w:rFonts w:hint="eastAsia"/>
                <w:bCs/>
                <w:sz w:val="24"/>
                <w:lang w:val="en-US" w:eastAsia="zh-CN"/>
              </w:rPr>
              <w:t>9</w:t>
            </w:r>
            <w:r>
              <w:rPr>
                <w:rFonts w:hint="eastAsia"/>
                <w:bCs/>
                <w:sz w:val="24"/>
              </w:rPr>
              <w:t xml:space="preserve"> 二维光子晶体腔光机械结构性能测试系统</w:t>
            </w:r>
            <w:bookmarkEnd w:id="0"/>
            <w:bookmarkEnd w:id="1"/>
          </w:p>
          <w:p>
            <w:pPr>
              <w:rPr>
                <w:rFonts w:hint="eastAsia" w:ascii="宋体" w:hAnsi="宋体"/>
                <w:b/>
                <w:bCs/>
                <w:color w:val="000000" w:themeColor="text1"/>
                <w14:textFill>
                  <w14:solidFill>
                    <w14:schemeClr w14:val="tx1"/>
                  </w14:solidFill>
                </w14:textFill>
              </w:rPr>
            </w:pPr>
            <w:r>
              <w:rPr>
                <w:rFonts w:hint="eastAsia" w:ascii="宋体" w:hAnsi="宋体"/>
                <w:b/>
                <w:bCs/>
                <w:color w:val="000000" w:themeColor="text1"/>
                <w14:textFill>
                  <w14:solidFill>
                    <w14:schemeClr w14:val="tx1"/>
                  </w14:solidFill>
                </w14:textFill>
              </w:rPr>
              <w:t>具体内容:</w:t>
            </w:r>
          </w:p>
          <w:p>
            <w:pPr>
              <w:ind w:firstLine="480" w:firstLineChars="200"/>
              <w:rPr>
                <w:rFonts w:hint="eastAsia"/>
                <w:bCs/>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目前已经投版加工了一版芯片，但是天津加工方的芯片刻蚀深宽比无法满足实验设计好的芯片参数需求，未能将空气孔刻透</w:t>
            </w:r>
            <w:r>
              <w:rPr>
                <w:bCs/>
                <w:color w:val="000000" w:themeColor="text1"/>
                <w:sz w:val="24"/>
                <w14:textFill>
                  <w14:solidFill>
                    <w14:schemeClr w14:val="tx1"/>
                  </w14:solidFill>
                </w14:textFill>
              </w:rPr>
              <w:t>。</w:t>
            </w:r>
            <w:r>
              <w:rPr>
                <w:rFonts w:hint="eastAsia"/>
                <w:color w:val="000000" w:themeColor="text1"/>
                <w:sz w:val="24"/>
                <w:lang w:val="en-US" w:eastAsia="zh-CN"/>
                <w14:textFill>
                  <w14:solidFill>
                    <w14:schemeClr w14:val="tx1"/>
                  </w14:solidFill>
                </w14:textFill>
              </w:rPr>
              <w:t>由于第一版铌酸锂基光子晶体微腔芯片加工失败，就先使用之前硅基的小微腔进行光学模式的测试练习</w:t>
            </w:r>
            <w:r>
              <w:rPr>
                <w:bCs/>
                <w:color w:val="000000" w:themeColor="text1"/>
                <w:sz w:val="24"/>
                <w14:textFill>
                  <w14:solidFill>
                    <w14:schemeClr w14:val="tx1"/>
                  </w14:solidFill>
                </w14:textFill>
              </w:rPr>
              <w:t>。</w:t>
            </w:r>
            <w:r>
              <w:rPr>
                <w:rFonts w:hint="eastAsia"/>
                <w:bCs/>
                <w:color w:val="000000" w:themeColor="text1"/>
                <w:sz w:val="24"/>
                <w:lang w:val="en-US" w:eastAsia="zh-CN"/>
                <w14:textFill>
                  <w14:solidFill>
                    <w14:schemeClr w14:val="tx1"/>
                  </w14:solidFill>
                </w14:textFill>
              </w:rPr>
              <w:t>测试过程可以分为三个部分：</w:t>
            </w:r>
          </w:p>
          <w:p>
            <w:pPr>
              <w:ind w:firstLine="480" w:firstLineChars="200"/>
              <w:rPr>
                <w:rFonts w:hint="eastAsia"/>
                <w:bCs/>
                <w:color w:val="000000" w:themeColor="text1"/>
                <w:sz w:val="24"/>
                <w:lang w:val="en-US" w:eastAsia="zh-CN"/>
                <w14:textFill>
                  <w14:solidFill>
                    <w14:schemeClr w14:val="tx1"/>
                  </w14:solidFill>
                </w14:textFill>
              </w:rPr>
            </w:pPr>
            <w:r>
              <w:rPr>
                <w:rFonts w:hint="eastAsia"/>
                <w:bCs/>
                <w:color w:val="000000" w:themeColor="text1"/>
                <w:sz w:val="24"/>
                <w:lang w:val="en-US" w:eastAsia="zh-CN"/>
                <w14:textFill>
                  <w14:solidFill>
                    <w14:schemeClr w14:val="tx1"/>
                  </w14:solidFill>
                </w14:textFill>
              </w:rPr>
              <w:t>首先加工制作带有微凹的光纤，在使用光纤熔融拉锥机将光纤拉倒足够细之后使用打磨好的约100um粗的铅笔芯在光纤最细处压出一个微凹形状并定型封装如图10所示；</w:t>
            </w:r>
          </w:p>
          <w:p>
            <w:pPr>
              <w:ind w:firstLine="480" w:firstLineChars="200"/>
              <w:rPr>
                <w:rFonts w:hint="default"/>
                <w:bCs/>
                <w:color w:val="000000" w:themeColor="text1"/>
                <w:sz w:val="24"/>
                <w:lang w:val="en-US" w:eastAsia="zh-CN"/>
                <w14:textFill>
                  <w14:solidFill>
                    <w14:schemeClr w14:val="tx1"/>
                  </w14:solidFill>
                </w14:textFill>
              </w:rPr>
            </w:pPr>
            <w:r>
              <w:rPr>
                <w:rFonts w:hint="eastAsia"/>
                <w:bCs/>
                <w:color w:val="000000" w:themeColor="text1"/>
                <w:sz w:val="24"/>
                <w:lang w:val="en-US" w:eastAsia="zh-CN"/>
                <w14:textFill>
                  <w14:solidFill>
                    <w14:schemeClr w14:val="tx1"/>
                  </w14:solidFill>
                </w14:textFill>
              </w:rPr>
              <w:t>之后将封装好的亚克力支架固定在搭好的测试平台上，将光纤耦合到光子晶体的空气槽处使用空气槽加载光源观测计算机采集到的光强曲线。</w:t>
            </w:r>
          </w:p>
          <w:p>
            <w:pPr>
              <w:jc w:val="center"/>
              <w:rPr>
                <w:rFonts w:hint="eastAsia" w:eastAsia="宋体"/>
                <w:bCs/>
                <w:color w:val="000000" w:themeColor="text1"/>
                <w:sz w:val="24"/>
                <w:lang w:eastAsia="zh-CN"/>
                <w14:textFill>
                  <w14:solidFill>
                    <w14:schemeClr w14:val="tx1"/>
                  </w14:solidFill>
                </w14:textFill>
              </w:rPr>
            </w:pPr>
            <w:r>
              <w:rPr>
                <w:rFonts w:hint="eastAsia" w:eastAsia="宋体"/>
                <w:bCs/>
                <w:color w:val="000000" w:themeColor="text1"/>
                <w:sz w:val="24"/>
                <w:lang w:eastAsia="zh-CN"/>
                <w14:textFill>
                  <w14:solidFill>
                    <w14:schemeClr w14:val="tx1"/>
                  </w14:solidFill>
                </w14:textFill>
              </w:rPr>
              <w:drawing>
                <wp:inline distT="0" distB="0" distL="114300" distR="114300">
                  <wp:extent cx="2520315" cy="1800225"/>
                  <wp:effectExtent l="0" t="0" r="9525" b="13335"/>
                  <wp:docPr id="4" name="图片 4" descr="9[QLKJ20$HP2$WB]355CO5U"/>
                  <wp:cNvGraphicFramePr/>
                  <a:graphic xmlns:a="http://schemas.openxmlformats.org/drawingml/2006/main">
                    <a:graphicData uri="http://schemas.openxmlformats.org/drawingml/2006/picture">
                      <pic:pic xmlns:pic="http://schemas.openxmlformats.org/drawingml/2006/picture">
                        <pic:nvPicPr>
                          <pic:cNvPr id="4" name="图片 4" descr="9[QLKJ20$HP2$WB]355CO5U"/>
                          <pic:cNvPicPr/>
                        </pic:nvPicPr>
                        <pic:blipFill>
                          <a:blip r:embed="rId88"/>
                          <a:stretch>
                            <a:fillRect/>
                          </a:stretch>
                        </pic:blipFill>
                        <pic:spPr>
                          <a:xfrm>
                            <a:off x="0" y="0"/>
                            <a:ext cx="2520315" cy="1800225"/>
                          </a:xfrm>
                          <a:prstGeom prst="rect">
                            <a:avLst/>
                          </a:prstGeom>
                        </pic:spPr>
                      </pic:pic>
                    </a:graphicData>
                  </a:graphic>
                </wp:inline>
              </w:drawing>
            </w:r>
            <w:r>
              <w:rPr>
                <w:rFonts w:hint="eastAsia"/>
                <w:bCs/>
                <w:color w:val="000000" w:themeColor="text1"/>
                <w:sz w:val="24"/>
                <w:lang w:val="en-US" w:eastAsia="zh-CN"/>
                <w14:textFill>
                  <w14:solidFill>
                    <w14:schemeClr w14:val="tx1"/>
                  </w14:solidFill>
                </w14:textFill>
              </w:rPr>
              <w:t xml:space="preserve">  </w:t>
            </w:r>
            <w:r>
              <w:rPr>
                <w:rFonts w:hint="eastAsia" w:eastAsia="宋体"/>
                <w:bCs/>
                <w:color w:val="000000" w:themeColor="text1"/>
                <w:sz w:val="24"/>
                <w:lang w:eastAsia="zh-CN"/>
                <w14:textFill>
                  <w14:solidFill>
                    <w14:schemeClr w14:val="tx1"/>
                  </w14:solidFill>
                </w14:textFill>
              </w:rPr>
              <w:drawing>
                <wp:inline distT="0" distB="0" distL="114300" distR="114300">
                  <wp:extent cx="1800225" cy="1800225"/>
                  <wp:effectExtent l="0" t="0" r="13335" b="13335"/>
                  <wp:docPr id="7" name="图片 7" descr="D2X46@N0HBWX4WBS4UN%4{O"/>
                  <wp:cNvGraphicFramePr/>
                  <a:graphic xmlns:a="http://schemas.openxmlformats.org/drawingml/2006/main">
                    <a:graphicData uri="http://schemas.openxmlformats.org/drawingml/2006/picture">
                      <pic:pic xmlns:pic="http://schemas.openxmlformats.org/drawingml/2006/picture">
                        <pic:nvPicPr>
                          <pic:cNvPr id="7" name="图片 7" descr="D2X46@N0HBWX4WBS4UN%4{O"/>
                          <pic:cNvPicPr/>
                        </pic:nvPicPr>
                        <pic:blipFill>
                          <a:blip r:embed="rId89"/>
                          <a:stretch>
                            <a:fillRect/>
                          </a:stretch>
                        </pic:blipFill>
                        <pic:spPr>
                          <a:xfrm>
                            <a:off x="0" y="0"/>
                            <a:ext cx="1800225" cy="1800225"/>
                          </a:xfrm>
                          <a:prstGeom prst="rect">
                            <a:avLst/>
                          </a:prstGeom>
                        </pic:spPr>
                      </pic:pic>
                    </a:graphicData>
                  </a:graphic>
                </wp:inline>
              </w:drawing>
            </w:r>
          </w:p>
          <w:p>
            <w:pPr>
              <w:spacing w:line="360" w:lineRule="exact"/>
              <w:jc w:val="center"/>
              <w:rPr>
                <w:rFonts w:hint="default"/>
                <w:bCs/>
                <w:sz w:val="24"/>
                <w:lang w:val="en-US" w:eastAsia="zh-CN"/>
              </w:rPr>
            </w:pPr>
            <w:r>
              <w:rPr>
                <w:rFonts w:hint="eastAsia"/>
                <w:bCs/>
                <w:sz w:val="24"/>
              </w:rPr>
              <w:t>图</w:t>
            </w:r>
            <w:r>
              <w:rPr>
                <w:rFonts w:hint="eastAsia"/>
                <w:bCs/>
                <w:sz w:val="24"/>
                <w:lang w:val="en-US" w:eastAsia="zh-CN"/>
              </w:rPr>
              <w:t>10</w:t>
            </w:r>
            <w:r>
              <w:rPr>
                <w:rFonts w:hint="eastAsia"/>
                <w:bCs/>
                <w:sz w:val="24"/>
              </w:rPr>
              <w:t xml:space="preserve"> </w:t>
            </w:r>
            <w:r>
              <w:rPr>
                <w:rFonts w:hint="eastAsia"/>
                <w:bCs/>
                <w:sz w:val="24"/>
                <w:lang w:val="en-US" w:eastAsia="zh-CN"/>
              </w:rPr>
              <w:t>光纤的加工定型与封装</w:t>
            </w:r>
          </w:p>
          <w:p>
            <w:pPr>
              <w:jc w:val="center"/>
            </w:pPr>
            <w:r>
              <w:drawing>
                <wp:inline distT="0" distB="0" distL="114300" distR="114300">
                  <wp:extent cx="2520315" cy="1800225"/>
                  <wp:effectExtent l="0" t="0" r="9525" b="13335"/>
                  <wp:docPr id="12" name="图片 4" descr="1"/>
                  <wp:cNvGraphicFramePr/>
                  <a:graphic xmlns:a="http://schemas.openxmlformats.org/drawingml/2006/main">
                    <a:graphicData uri="http://schemas.openxmlformats.org/drawingml/2006/picture">
                      <pic:pic xmlns:pic="http://schemas.openxmlformats.org/drawingml/2006/picture">
                        <pic:nvPicPr>
                          <pic:cNvPr id="12" name="图片 4" descr="1"/>
                          <pic:cNvPicPr/>
                        </pic:nvPicPr>
                        <pic:blipFill>
                          <a:blip r:embed="rId90"/>
                          <a:stretch>
                            <a:fillRect/>
                          </a:stretch>
                        </pic:blipFill>
                        <pic:spPr>
                          <a:xfrm>
                            <a:off x="0" y="0"/>
                            <a:ext cx="2520315" cy="1800225"/>
                          </a:xfrm>
                          <a:prstGeom prst="rect">
                            <a:avLst/>
                          </a:prstGeom>
                        </pic:spPr>
                      </pic:pic>
                    </a:graphicData>
                  </a:graphic>
                </wp:inline>
              </w:drawing>
            </w:r>
            <w:r>
              <w:rPr>
                <w:rFonts w:hint="eastAsia"/>
                <w:bCs/>
                <w:color w:val="000000" w:themeColor="text1"/>
                <w:sz w:val="24"/>
                <w:lang w:val="en-US" w:eastAsia="zh-CN"/>
                <w14:textFill>
                  <w14:solidFill>
                    <w14:schemeClr w14:val="tx1"/>
                  </w14:solidFill>
                </w14:textFill>
              </w:rPr>
              <w:t xml:space="preserve"> </w:t>
            </w:r>
            <w:r>
              <w:drawing>
                <wp:inline distT="0" distB="0" distL="114300" distR="114300">
                  <wp:extent cx="2520315" cy="1800225"/>
                  <wp:effectExtent l="0" t="0" r="9525" b="13335"/>
                  <wp:docPr id="15" name="图片 1" descr="Ln-9dbm-耦合2"/>
                  <wp:cNvGraphicFramePr/>
                  <a:graphic xmlns:a="http://schemas.openxmlformats.org/drawingml/2006/main">
                    <a:graphicData uri="http://schemas.openxmlformats.org/drawingml/2006/picture">
                      <pic:pic xmlns:pic="http://schemas.openxmlformats.org/drawingml/2006/picture">
                        <pic:nvPicPr>
                          <pic:cNvPr id="15" name="图片 1" descr="Ln-9dbm-耦合2"/>
                          <pic:cNvPicPr/>
                        </pic:nvPicPr>
                        <pic:blipFill>
                          <a:blip r:embed="rId91"/>
                          <a:stretch>
                            <a:fillRect/>
                          </a:stretch>
                        </pic:blipFill>
                        <pic:spPr>
                          <a:xfrm>
                            <a:off x="0" y="0"/>
                            <a:ext cx="2520315" cy="1800225"/>
                          </a:xfrm>
                          <a:prstGeom prst="rect">
                            <a:avLst/>
                          </a:prstGeom>
                        </pic:spPr>
                      </pic:pic>
                    </a:graphicData>
                  </a:graphic>
                </wp:inline>
              </w:drawing>
            </w:r>
          </w:p>
          <w:p>
            <w:pPr>
              <w:spacing w:line="360" w:lineRule="exact"/>
              <w:jc w:val="center"/>
            </w:pPr>
            <w:r>
              <w:rPr>
                <w:rFonts w:hint="eastAsia"/>
                <w:bCs/>
                <w:sz w:val="24"/>
              </w:rPr>
              <w:t>图</w:t>
            </w:r>
            <w:r>
              <w:rPr>
                <w:rFonts w:hint="eastAsia"/>
                <w:bCs/>
                <w:sz w:val="24"/>
                <w:lang w:val="en-US" w:eastAsia="zh-CN"/>
              </w:rPr>
              <w:t>11</w:t>
            </w:r>
            <w:r>
              <w:rPr>
                <w:rFonts w:hint="eastAsia"/>
                <w:bCs/>
                <w:sz w:val="24"/>
              </w:rPr>
              <w:t xml:space="preserve"> </w:t>
            </w:r>
            <w:r>
              <w:rPr>
                <w:rFonts w:hint="eastAsia"/>
                <w:bCs/>
                <w:sz w:val="24"/>
                <w:lang w:val="en-US" w:eastAsia="zh-CN"/>
              </w:rPr>
              <w:t>光纤与光子晶体微腔的耦合</w:t>
            </w:r>
          </w:p>
          <w:p>
            <w:pPr>
              <w:jc w:val="center"/>
              <w:rPr>
                <w:rFonts w:hint="eastAsia" w:eastAsia="宋体"/>
                <w:bCs/>
                <w:color w:val="000000" w:themeColor="text1"/>
                <w:sz w:val="24"/>
                <w:lang w:eastAsia="zh-CN"/>
                <w14:textFill>
                  <w14:solidFill>
                    <w14:schemeClr w14:val="tx1"/>
                  </w14:solidFill>
                </w14:textFill>
              </w:rPr>
            </w:pPr>
            <w:r>
              <w:drawing>
                <wp:inline distT="0" distB="0" distL="114300" distR="114300">
                  <wp:extent cx="2520315" cy="1800225"/>
                  <wp:effectExtent l="0" t="0" r="9525" b="13335"/>
                  <wp:docPr id="16" name="图片 1" descr="0609"/>
                  <wp:cNvGraphicFramePr/>
                  <a:graphic xmlns:a="http://schemas.openxmlformats.org/drawingml/2006/main">
                    <a:graphicData uri="http://schemas.openxmlformats.org/drawingml/2006/picture">
                      <pic:pic xmlns:pic="http://schemas.openxmlformats.org/drawingml/2006/picture">
                        <pic:nvPicPr>
                          <pic:cNvPr id="16" name="图片 1" descr="0609"/>
                          <pic:cNvPicPr/>
                        </pic:nvPicPr>
                        <pic:blipFill>
                          <a:blip r:embed="rId92"/>
                          <a:stretch>
                            <a:fillRect/>
                          </a:stretch>
                        </pic:blipFill>
                        <pic:spPr>
                          <a:xfrm>
                            <a:off x="0" y="0"/>
                            <a:ext cx="2520315" cy="1800225"/>
                          </a:xfrm>
                          <a:prstGeom prst="rect">
                            <a:avLst/>
                          </a:prstGeom>
                        </pic:spPr>
                      </pic:pic>
                    </a:graphicData>
                  </a:graphic>
                </wp:inline>
              </w:drawing>
            </w:r>
            <w:r>
              <w:drawing>
                <wp:inline distT="0" distB="0" distL="114300" distR="114300">
                  <wp:extent cx="2520315" cy="1800225"/>
                  <wp:effectExtent l="0" t="0" r="9525" b="13335"/>
                  <wp:docPr id="3" name="图片 2" descr="0609--"/>
                  <wp:cNvGraphicFramePr/>
                  <a:graphic xmlns:a="http://schemas.openxmlformats.org/drawingml/2006/main">
                    <a:graphicData uri="http://schemas.openxmlformats.org/drawingml/2006/picture">
                      <pic:pic xmlns:pic="http://schemas.openxmlformats.org/drawingml/2006/picture">
                        <pic:nvPicPr>
                          <pic:cNvPr id="3" name="图片 2" descr="0609--"/>
                          <pic:cNvPicPr/>
                        </pic:nvPicPr>
                        <pic:blipFill>
                          <a:blip r:embed="rId93"/>
                          <a:stretch>
                            <a:fillRect/>
                          </a:stretch>
                        </pic:blipFill>
                        <pic:spPr>
                          <a:xfrm>
                            <a:off x="0" y="0"/>
                            <a:ext cx="2520315" cy="1800225"/>
                          </a:xfrm>
                          <a:prstGeom prst="rect">
                            <a:avLst/>
                          </a:prstGeom>
                        </pic:spPr>
                      </pic:pic>
                    </a:graphicData>
                  </a:graphic>
                </wp:inline>
              </w:drawing>
            </w:r>
          </w:p>
          <w:p>
            <w:pPr>
              <w:spacing w:line="360" w:lineRule="exact"/>
              <w:jc w:val="center"/>
              <w:rPr>
                <w:rFonts w:hint="default"/>
                <w:bCs/>
                <w:sz w:val="24"/>
                <w:lang w:val="en-US" w:eastAsia="zh-CN"/>
              </w:rPr>
            </w:pPr>
            <w:r>
              <w:rPr>
                <w:rFonts w:hint="eastAsia"/>
                <w:bCs/>
                <w:sz w:val="24"/>
              </w:rPr>
              <w:t>图</w:t>
            </w:r>
            <w:r>
              <w:rPr>
                <w:rFonts w:hint="eastAsia"/>
                <w:bCs/>
                <w:sz w:val="24"/>
                <w:lang w:val="en-US" w:eastAsia="zh-CN"/>
              </w:rPr>
              <w:t>12</w:t>
            </w:r>
            <w:r>
              <w:rPr>
                <w:rFonts w:hint="eastAsia"/>
                <w:bCs/>
                <w:sz w:val="24"/>
              </w:rPr>
              <w:t xml:space="preserve"> </w:t>
            </w:r>
            <w:r>
              <w:rPr>
                <w:rFonts w:hint="eastAsia"/>
                <w:bCs/>
                <w:sz w:val="24"/>
                <w:lang w:val="en-US" w:eastAsia="zh-CN"/>
              </w:rPr>
              <w:t>观测到的光子晶体光学模式与机械模式</w:t>
            </w:r>
          </w:p>
          <w:p>
            <w:pPr>
              <w:ind w:firstLine="480" w:firstLineChars="200"/>
              <w:rPr>
                <w:rFonts w:hint="default"/>
                <w:bCs/>
                <w:color w:val="000000" w:themeColor="text1"/>
                <w:sz w:val="24"/>
                <w:lang w:val="en-US" w:eastAsia="zh-CN"/>
                <w14:textFill>
                  <w14:solidFill>
                    <w14:schemeClr w14:val="tx1"/>
                  </w14:solidFill>
                </w14:textFill>
              </w:rPr>
            </w:pPr>
            <w:r>
              <w:rPr>
                <w:rFonts w:hint="eastAsia"/>
                <w:bCs/>
                <w:color w:val="000000" w:themeColor="text1"/>
                <w:sz w:val="24"/>
                <w:lang w:val="en-US" w:eastAsia="zh-CN"/>
                <w14:textFill>
                  <w14:solidFill>
                    <w14:schemeClr w14:val="tx1"/>
                  </w14:solidFill>
                </w14:textFill>
              </w:rPr>
              <w:t>可以看出在1580nm和1595nm处有光的衰减现象，这是由于光子晶体微腔中的缺陷将这一波长的光束缚在光子晶体微腔之中，形成了光学模式和机械模式。</w:t>
            </w:r>
          </w:p>
          <w:p>
            <w:pPr>
              <w:rPr>
                <w:rFonts w:hint="default" w:eastAsia="宋体"/>
                <w:bCs/>
                <w:color w:val="000000" w:themeColor="text1"/>
                <w:sz w:val="24"/>
                <w:lang w:val="en-US" w:eastAsia="zh-CN"/>
                <w14:textFill>
                  <w14:solidFill>
                    <w14:schemeClr w14:val="tx1"/>
                  </w14:solidFill>
                </w14:textFill>
              </w:rPr>
            </w:pPr>
          </w:p>
          <w:p>
            <w:pPr>
              <w:rPr>
                <w:rFonts w:hint="default" w:eastAsia="宋体"/>
                <w:bCs/>
                <w:color w:val="000000" w:themeColor="text1"/>
                <w:sz w:val="24"/>
                <w:lang w:val="en-US" w:eastAsia="zh-CN"/>
                <w14:textFill>
                  <w14:solidFill>
                    <w14:schemeClr w14:val="tx1"/>
                  </w14:solidFill>
                </w14:textFill>
              </w:rPr>
            </w:pPr>
          </w:p>
          <w:p>
            <w:pPr>
              <w:rPr>
                <w:rFonts w:hint="default" w:eastAsia="宋体"/>
                <w:bCs/>
                <w:color w:val="000000" w:themeColor="text1"/>
                <w:sz w:val="24"/>
                <w:lang w:val="en-US" w:eastAsia="zh-CN"/>
                <w14:textFill>
                  <w14:solidFill>
                    <w14:schemeClr w14:val="tx1"/>
                  </w14:solidFill>
                </w14:textFill>
              </w:rPr>
            </w:pPr>
          </w:p>
          <w:p>
            <w:pPr>
              <w:rPr>
                <w:rFonts w:hint="default" w:eastAsia="宋体"/>
                <w:bCs/>
                <w:color w:val="000000" w:themeColor="text1"/>
                <w:sz w:val="24"/>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57" w:type="dxa"/>
            <w:bottom w:w="57" w:type="dxa"/>
            <w:right w:w="57" w:type="dxa"/>
          </w:tblCellMar>
        </w:tblPrEx>
        <w:trPr>
          <w:trHeight w:val="340" w:hRule="atLeast"/>
          <w:jc w:val="center"/>
        </w:trPr>
        <w:tc>
          <w:tcPr>
            <w:tcW w:w="5000" w:type="pct"/>
            <w:gridSpan w:val="2"/>
            <w:vAlign w:val="center"/>
          </w:tcPr>
          <w:p>
            <w:pPr>
              <w:rPr>
                <w:rFonts w:hint="eastAsia" w:ascii="宋体" w:hAnsi="宋体"/>
                <w:b/>
                <w:sz w:val="24"/>
              </w:rPr>
            </w:pPr>
            <w:r>
              <w:rPr>
                <w:rFonts w:ascii="宋体" w:hAnsi="宋体"/>
                <w:b/>
                <w:sz w:val="24"/>
              </w:rPr>
              <w:t>4</w:t>
            </w:r>
            <w:r>
              <w:rPr>
                <w:rFonts w:hint="eastAsia" w:ascii="宋体" w:hAnsi="宋体"/>
                <w:b/>
                <w:sz w:val="24"/>
              </w:rPr>
              <w:t>.</w:t>
            </w:r>
            <w:r>
              <w:rPr>
                <w:rFonts w:ascii="宋体" w:hAnsi="宋体"/>
                <w:b/>
                <w:sz w:val="24"/>
              </w:rPr>
              <w:t xml:space="preserve"> </w:t>
            </w:r>
            <w:r>
              <w:rPr>
                <w:rFonts w:hint="eastAsia" w:ascii="宋体" w:hAnsi="宋体"/>
                <w:b/>
                <w:sz w:val="24"/>
              </w:rPr>
              <w:t>阶段性研究成果</w:t>
            </w:r>
          </w:p>
        </w:tc>
      </w:tr>
    </w:tbl>
    <w:p>
      <w:pPr>
        <w:numPr>
          <w:ilvl w:val="0"/>
          <w:numId w:val="1"/>
        </w:numPr>
        <w:rPr>
          <w:b/>
          <w:bCs/>
          <w:sz w:val="36"/>
        </w:rPr>
      </w:pPr>
      <w:r>
        <w:br w:type="page"/>
      </w:r>
      <w:r>
        <w:rPr>
          <w:rFonts w:hint="eastAsia" w:ascii="黑体" w:hAnsi="黑体" w:eastAsia="黑体"/>
          <w:bCs/>
          <w:sz w:val="28"/>
        </w:rPr>
        <w:t>存在的主要问题和解决办法</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57" w:type="dxa"/>
          <w:bottom w:w="57" w:type="dxa"/>
          <w:right w:w="57" w:type="dxa"/>
        </w:tblCellMar>
      </w:tblPr>
      <w:tblGrid>
        <w:gridCol w:w="9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57" w:type="dxa"/>
            <w:bottom w:w="57" w:type="dxa"/>
            <w:right w:w="57" w:type="dxa"/>
          </w:tblCellMar>
        </w:tblPrEx>
        <w:trPr>
          <w:trHeight w:val="6803" w:hRule="atLeast"/>
          <w:jc w:val="center"/>
        </w:trPr>
        <w:tc>
          <w:tcPr>
            <w:tcW w:w="5000" w:type="pct"/>
          </w:tcPr>
          <w:p>
            <w:pPr>
              <w:spacing w:after="120" w:afterLines="50"/>
              <w:rPr>
                <w:rFonts w:ascii="楷体" w:hAnsi="楷体" w:eastAsia="楷体"/>
                <w:b/>
                <w:bCs/>
                <w:color w:val="000000" w:themeColor="text1"/>
                <w:sz w:val="24"/>
                <w14:textFill>
                  <w14:solidFill>
                    <w14:schemeClr w14:val="tx1"/>
                  </w14:solidFill>
                </w14:textFill>
              </w:rPr>
            </w:pPr>
            <w:r>
              <w:rPr>
                <w:rFonts w:hint="eastAsia" w:ascii="楷体" w:hAnsi="楷体" w:eastAsia="楷体"/>
                <w:sz w:val="24"/>
              </w:rPr>
              <w:t>1.未按开题计划完成的研究工作，研究工作存在的原理性、技术性难题以及在实验条件等方面的限制（可续页）</w:t>
            </w:r>
          </w:p>
          <w:p>
            <w:pPr>
              <w:spacing w:after="120" w:afterLines="50"/>
              <w:rPr>
                <w:rFonts w:ascii="楷体" w:hAnsi="楷体" w:eastAsia="楷体"/>
                <w:b/>
                <w:color w:val="000000" w:themeColor="text1"/>
                <w:sz w:val="24"/>
                <w14:textFill>
                  <w14:solidFill>
                    <w14:schemeClr w14:val="tx1"/>
                  </w14:solidFill>
                </w14:textFill>
              </w:rPr>
            </w:pPr>
            <w:r>
              <w:rPr>
                <w:rFonts w:hint="eastAsia" w:ascii="楷体" w:hAnsi="楷体" w:eastAsia="楷体"/>
                <w:b/>
                <w:color w:val="000000" w:themeColor="text1"/>
                <w:sz w:val="24"/>
                <w14:textFill>
                  <w14:solidFill>
                    <w14:schemeClr w14:val="tx1"/>
                  </w14:solidFill>
                </w14:textFill>
              </w:rPr>
              <w:t>未按开题计划完成的研究工作：</w:t>
            </w:r>
          </w:p>
          <w:p>
            <w:pPr>
              <w:pStyle w:val="8"/>
              <w:numPr>
                <w:ilvl w:val="0"/>
                <w:numId w:val="5"/>
              </w:numPr>
              <w:ind w:firstLineChars="0"/>
              <w:rPr>
                <w:rFonts w:eastAsia="宋体"/>
                <w:color w:val="000000" w:themeColor="text1"/>
                <w14:textFill>
                  <w14:solidFill>
                    <w14:schemeClr w14:val="tx1"/>
                  </w14:solidFill>
                </w14:textFill>
              </w:rPr>
            </w:pPr>
            <w:r>
              <w:rPr>
                <w:rFonts w:hint="eastAsia" w:eastAsia="宋体"/>
                <w:color w:val="000000" w:themeColor="text1"/>
                <w:lang w:val="en-US" w:eastAsia="zh-CN"/>
                <w14:textFill>
                  <w14:solidFill>
                    <w14:schemeClr w14:val="tx1"/>
                  </w14:solidFill>
                </w14:textFill>
              </w:rPr>
              <w:t>加工测试设计的腔光机械振荡器，分析性能指标。工作在1550nm的铌酸锂基光子晶体微腔仍未能拿到芯片成品，天津加工方由于工艺深宽比限制无法加工设计好的铌酸锂基光子晶体微腔，目前更换了加工方，加工进度仍在跟进</w:t>
            </w:r>
            <w:r>
              <w:rPr>
                <w:rFonts w:hint="eastAsia" w:eastAsia="宋体"/>
                <w:color w:val="000000" w:themeColor="text1"/>
                <w14:textFill>
                  <w14:solidFill>
                    <w14:schemeClr w14:val="tx1"/>
                  </w14:solidFill>
                </w14:textFill>
              </w:rPr>
              <w:t>。</w:t>
            </w:r>
          </w:p>
          <w:p>
            <w:pPr>
              <w:pStyle w:val="8"/>
              <w:numPr>
                <w:ilvl w:val="0"/>
                <w:numId w:val="0"/>
              </w:numPr>
              <w:ind w:leftChars="0"/>
              <w:rPr>
                <w:rFonts w:eastAsia="宋体"/>
                <w:color w:val="000000" w:themeColor="text1"/>
                <w14:textFill>
                  <w14:solidFill>
                    <w14:schemeClr w14:val="tx1"/>
                  </w14:solidFill>
                </w14:textFill>
              </w:rPr>
            </w:pPr>
          </w:p>
          <w:p>
            <w:pPr>
              <w:spacing w:after="120" w:afterLines="50"/>
              <w:rPr>
                <w:rFonts w:ascii="楷体" w:hAnsi="楷体" w:eastAsia="楷体"/>
                <w:b/>
                <w:color w:val="000000" w:themeColor="text1"/>
                <w:sz w:val="24"/>
                <w14:textFill>
                  <w14:solidFill>
                    <w14:schemeClr w14:val="tx1"/>
                  </w14:solidFill>
                </w14:textFill>
              </w:rPr>
            </w:pPr>
            <w:r>
              <w:rPr>
                <w:rFonts w:hint="eastAsia" w:ascii="楷体" w:hAnsi="楷体" w:eastAsia="楷体"/>
                <w:b/>
                <w:color w:val="000000" w:themeColor="text1"/>
                <w:sz w:val="24"/>
                <w14:textFill>
                  <w14:solidFill>
                    <w14:schemeClr w14:val="tx1"/>
                  </w14:solidFill>
                </w14:textFill>
              </w:rPr>
              <w:t>研究工作存在的问题:</w:t>
            </w:r>
          </w:p>
          <w:p>
            <w:pPr>
              <w:pStyle w:val="8"/>
              <w:numPr>
                <w:ilvl w:val="0"/>
                <w:numId w:val="6"/>
              </w:numPr>
              <w:ind w:firstLineChars="0"/>
              <w:rPr>
                <w:rFonts w:eastAsia="宋体"/>
                <w:color w:val="000000" w:themeColor="text1"/>
                <w14:textFill>
                  <w14:solidFill>
                    <w14:schemeClr w14:val="tx1"/>
                  </w14:solidFill>
                </w14:textFill>
              </w:rPr>
            </w:pPr>
            <w:bookmarkStart w:id="2" w:name="OLE_LINK1"/>
            <w:bookmarkStart w:id="3" w:name="OLE_LINK2"/>
            <w:r>
              <w:rPr>
                <w:rFonts w:hint="eastAsia" w:eastAsia="宋体"/>
                <w:color w:val="000000" w:themeColor="text1"/>
                <w:lang w:val="en-US" w:eastAsia="zh-CN"/>
                <w14:textFill>
                  <w14:solidFill>
                    <w14:schemeClr w14:val="tx1"/>
                  </w14:solidFill>
                </w14:textFill>
              </w:rPr>
              <w:t>铌酸锂基光子晶体微腔的光学模式品质因子Q值</w:t>
            </w:r>
            <w:bookmarkEnd w:id="2"/>
            <w:bookmarkEnd w:id="3"/>
            <w:r>
              <w:rPr>
                <w:rFonts w:hint="eastAsia" w:eastAsia="宋体"/>
                <w:color w:val="000000" w:themeColor="text1"/>
                <w:lang w:val="en-US" w:eastAsia="zh-CN"/>
                <w14:textFill>
                  <w14:solidFill>
                    <w14:schemeClr w14:val="tx1"/>
                  </w14:solidFill>
                </w14:textFill>
              </w:rPr>
              <w:t>问题</w:t>
            </w:r>
          </w:p>
          <w:p>
            <w:pPr>
              <w:pStyle w:val="8"/>
              <w:numPr>
                <w:ilvl w:val="0"/>
                <w:numId w:val="0"/>
              </w:numPr>
              <w:ind w:left="479" w:leftChars="228" w:firstLine="0" w:firstLineChars="0"/>
              <w:rPr>
                <w:rFonts w:eastAsia="宋体"/>
                <w:color w:val="000000" w:themeColor="text1"/>
                <w14:textFill>
                  <w14:solidFill>
                    <w14:schemeClr w14:val="tx1"/>
                  </w14:solidFill>
                </w14:textFill>
              </w:rPr>
            </w:pPr>
            <w:r>
              <w:rPr>
                <w:rFonts w:hint="eastAsia" w:eastAsia="宋体"/>
                <w:color w:val="000000" w:themeColor="text1"/>
                <w:lang w:val="en-US" w:eastAsia="zh-CN"/>
                <w14:textFill>
                  <w14:solidFill>
                    <w14:schemeClr w14:val="tx1"/>
                  </w14:solidFill>
                </w14:textFill>
              </w:rPr>
              <w:t>光学模式品质因子Q值的计算一直是仿真设计中的一大难点。由于FDTD内置的Q分析器得到的计算结果很容易收到仿真模型中一些无关量的影响（光子晶体品质因子的大小，理论上只取决于光子晶体微腔的参数，而实验中发现光源的位置也会对分析器结果产生影响），因此品质因子的计算只能采用定性的方式，在保证所有其他参数不变的条件下，控制改变其中某一参数变化来定性分析该参数对光学模式品质因子的影响。</w:t>
            </w:r>
          </w:p>
          <w:p>
            <w:pPr>
              <w:pStyle w:val="8"/>
              <w:ind w:left="360" w:firstLine="0" w:firstLineChars="0"/>
              <w:rPr>
                <w:rFonts w:eastAsia="宋体"/>
                <w:color w:val="000000" w:themeColor="text1"/>
                <w14:textFill>
                  <w14:solidFill>
                    <w14:schemeClr w14:val="tx1"/>
                  </w14:solidFill>
                </w14:textFill>
              </w:rPr>
            </w:pPr>
          </w:p>
          <w:p>
            <w:pPr>
              <w:pStyle w:val="8"/>
              <w:numPr>
                <w:ilvl w:val="0"/>
                <w:numId w:val="6"/>
              </w:numPr>
              <w:ind w:firstLineChars="0"/>
              <w:rPr>
                <w:rFonts w:eastAsia="宋体"/>
                <w:color w:val="000000" w:themeColor="text1"/>
                <w14:textFill>
                  <w14:solidFill>
                    <w14:schemeClr w14:val="tx1"/>
                  </w14:solidFill>
                </w14:textFill>
              </w:rPr>
            </w:pPr>
            <w:r>
              <w:rPr>
                <w:rFonts w:hint="eastAsia" w:eastAsia="宋体"/>
                <w:color w:val="000000" w:themeColor="text1"/>
                <w:lang w:val="en-US" w:eastAsia="zh-CN"/>
                <w14:textFill>
                  <w14:solidFill>
                    <w14:schemeClr w14:val="tx1"/>
                  </w14:solidFill>
                </w14:textFill>
              </w:rPr>
              <w:t>硅基光子晶体微腔测试的机械模式分析问题</w:t>
            </w:r>
          </w:p>
          <w:p>
            <w:pPr>
              <w:pStyle w:val="8"/>
              <w:ind w:left="479" w:leftChars="228" w:firstLine="0" w:firstLineChars="0"/>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硅基光子晶体微腔的测试目前也存在两大问题。一方面是</w:t>
            </w:r>
            <w:r>
              <w:rPr>
                <w:rFonts w:eastAsia="宋体"/>
                <w:color w:val="000000" w:themeColor="text1"/>
                <w14:textFill>
                  <w14:solidFill>
                    <w14:schemeClr w14:val="tx1"/>
                  </w14:solidFill>
                </w14:textFill>
              </w:rPr>
              <w:t>由于</w:t>
            </w:r>
            <w:r>
              <w:rPr>
                <w:rFonts w:hint="eastAsia" w:eastAsia="宋体"/>
                <w:color w:val="000000" w:themeColor="text1"/>
                <w:lang w:val="en-US" w:eastAsia="zh-CN"/>
                <w14:textFill>
                  <w14:solidFill>
                    <w14:schemeClr w14:val="tx1"/>
                  </w14:solidFill>
                </w14:textFill>
              </w:rPr>
              <w:t>此硅基芯片已经使用较久，在长期的测试过程中，微腔的很多结构已经出现了一些损毁，光纤与微腔耦合时要谨慎避开损毁处，同时也不好确定芯片上的一些残留是否会对机械模式产生影响；另一方面是光纤与微腔耦合要遵循两大原则：耦合长度足够短、光纤宽度足够细，光纤宽度就需要尽可能让光纤熔断拉锥台将光纤拉倒足够细，耦合长度就对光纤的定型有较大的需求。在实际加工过程中，满足以上两大原则的光纤成品率不高，因为他对仪器和实验员操作熟练度都有很高的需求。</w:t>
            </w: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480" w:firstLineChars="200"/>
              <w:rPr>
                <w:rFonts w:hint="eastAsia" w:eastAsia="宋体"/>
                <w:color w:val="000000" w:themeColor="text1"/>
                <w:lang w:val="en-US" w:eastAsia="zh-CN"/>
                <w14:textFill>
                  <w14:solidFill>
                    <w14:schemeClr w14:val="tx1"/>
                  </w14:solidFill>
                </w14:textFill>
              </w:rPr>
            </w:pPr>
          </w:p>
          <w:p>
            <w:pPr>
              <w:pStyle w:val="8"/>
              <w:ind w:left="0" w:leftChars="0" w:firstLine="0" w:firstLineChars="0"/>
              <w:rPr>
                <w:rFonts w:hint="eastAsia" w:eastAsia="宋体"/>
                <w:color w:val="000000" w:themeColor="text1"/>
                <w:lang w:val="en-US" w:eastAsia="zh-CN"/>
                <w14:textFill>
                  <w14:solidFill>
                    <w14:schemeClr w14:val="tx1"/>
                  </w14:solidFill>
                </w14:textFill>
              </w:rPr>
            </w:pP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57" w:type="dxa"/>
            <w:bottom w:w="57" w:type="dxa"/>
            <w:right w:w="57" w:type="dxa"/>
          </w:tblCellMar>
        </w:tblPrEx>
        <w:trPr>
          <w:trHeight w:val="7030" w:hRule="atLeast"/>
          <w:jc w:val="center"/>
        </w:trPr>
        <w:tc>
          <w:tcPr>
            <w:tcW w:w="5000" w:type="pct"/>
          </w:tcPr>
          <w:p>
            <w:pPr>
              <w:spacing w:after="120" w:afterLines="50"/>
              <w:rPr>
                <w:rFonts w:ascii="楷体" w:hAnsi="楷体" w:eastAsia="楷体"/>
                <w:sz w:val="24"/>
              </w:rPr>
            </w:pPr>
            <w:r>
              <w:rPr>
                <w:rFonts w:hint="eastAsia" w:ascii="楷体" w:hAnsi="楷体" w:eastAsia="楷体"/>
                <w:sz w:val="24"/>
              </w:rPr>
              <w:t>2.针对上述问题采取何种解决办法，对学位论文的研究内容及所采取的理论方法、技术路线和实施方案的进一步调整，以及下一步的研究研究计划（可续页）</w:t>
            </w:r>
          </w:p>
          <w:p>
            <w:pPr>
              <w:pStyle w:val="8"/>
              <w:numPr>
                <w:ilvl w:val="0"/>
                <w:numId w:val="7"/>
              </w:numPr>
              <w:ind w:firstLineChars="0"/>
              <w:rPr>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铌酸锂基光子晶体微腔的光学模式品质因子Q值问题</w:t>
            </w:r>
            <w:r>
              <w:rPr>
                <w:b/>
                <w:bCs/>
                <w:color w:val="000000" w:themeColor="text1"/>
                <w14:textFill>
                  <w14:solidFill>
                    <w14:schemeClr w14:val="tx1"/>
                  </w14:solidFill>
                </w14:textFill>
              </w:rPr>
              <w:t>解决方案：</w:t>
            </w:r>
          </w:p>
          <w:p>
            <w:pPr>
              <w:ind w:firstLine="480" w:firstLineChars="200"/>
              <w:rPr>
                <w:color w:val="000000" w:themeColor="text1"/>
                <w:sz w:val="24"/>
                <w14:textFill>
                  <w14:solidFill>
                    <w14:schemeClr w14:val="tx1"/>
                  </w14:solidFill>
                </w14:textFill>
              </w:rPr>
            </w:pPr>
            <w:r>
              <w:rPr>
                <w:rFonts w:hint="eastAsia"/>
                <w:color w:val="000000" w:themeColor="text1"/>
                <w:sz w:val="24"/>
                <w:lang w:val="en-US" w:eastAsia="zh-CN"/>
                <w14:textFill>
                  <w14:solidFill>
                    <w14:schemeClr w14:val="tx1"/>
                  </w14:solidFill>
                </w14:textFill>
              </w:rPr>
              <w:t>仿真得到的品质因子可以作为参考表征设计得到的铌酸锂基光子晶体微腔的性能，但是由于FDTD软件中内置的Q分析器计算得到的结果不够精确，使得获得的Q值可能低于预期值。我们准备重新设计找到一个比较准确的品质因子计算方式，并结合Comsol软件获得的计算结果，综合考量得到一个比较理想的光学模式品质因子Q值。</w:t>
            </w:r>
          </w:p>
          <w:p>
            <w:pPr>
              <w:pStyle w:val="8"/>
              <w:numPr>
                <w:ilvl w:val="0"/>
                <w:numId w:val="7"/>
              </w:numPr>
              <w:ind w:firstLineChars="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硅基光子晶体微腔测试的机械模式分析问题解决方案：</w:t>
            </w:r>
          </w:p>
          <w:p>
            <w:pPr>
              <w:ind w:firstLine="480" w:firstLineChars="200"/>
              <w:rPr>
                <w:color w:val="000000" w:themeColor="text1"/>
                <w:sz w:val="24"/>
                <w14:textFill>
                  <w14:solidFill>
                    <w14:schemeClr w14:val="tx1"/>
                  </w14:solidFill>
                </w14:textFill>
              </w:rPr>
            </w:pPr>
            <w:r>
              <w:rPr>
                <w:rFonts w:hint="eastAsia"/>
                <w:color w:val="000000" w:themeColor="text1"/>
                <w:sz w:val="24"/>
                <w:lang w:val="en-US" w:eastAsia="zh-CN"/>
                <w14:textFill>
                  <w14:solidFill>
                    <w14:schemeClr w14:val="tx1"/>
                  </w14:solidFill>
                </w14:textFill>
              </w:rPr>
              <w:t>实验测试得到的硅基的机械模式，目前品质因子较低，即其对光的束缚能力比较差，考虑是由于光纤微凹的部分较粗，使得光纤与光子晶体微腔耦合效果较差导致。我们准备多次实验，在尽可能使得微凹处光纤足够细的前提下，同时尽可能减少微凹与光子晶体微腔的耦合长度，理论上就可以得到一个高品质因子的模式。</w:t>
            </w:r>
          </w:p>
          <w:p>
            <w:pPr>
              <w:ind w:firstLine="480" w:firstLineChars="200"/>
              <w:rPr>
                <w:color w:val="000000" w:themeColor="text1"/>
                <w:sz w:val="24"/>
                <w14:textFill>
                  <w14:solidFill>
                    <w14:schemeClr w14:val="tx1"/>
                  </w14:solidFill>
                </w14:textFill>
              </w:rPr>
            </w:pPr>
          </w:p>
          <w:p>
            <w:pP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下一步工作</w:t>
            </w:r>
            <w:r>
              <w:rPr>
                <w:b/>
                <w:color w:val="000000" w:themeColor="text1"/>
                <w:sz w:val="24"/>
                <w14:textFill>
                  <w14:solidFill>
                    <w14:schemeClr w14:val="tx1"/>
                  </w14:solidFill>
                </w14:textFill>
              </w:rPr>
              <w:t>计划及目标</w:t>
            </w:r>
            <w:r>
              <w:rPr>
                <w:rFonts w:hint="eastAsia"/>
                <w:b/>
                <w:color w:val="000000" w:themeColor="text1"/>
                <w:sz w:val="24"/>
                <w14:textFill>
                  <w14:solidFill>
                    <w14:schemeClr w14:val="tx1"/>
                  </w14:solidFill>
                </w14:textFill>
              </w:rPr>
              <w:t>：</w:t>
            </w:r>
          </w:p>
          <w:p>
            <w:pPr>
              <w:rPr>
                <w:b/>
                <w:color w:val="000000" w:themeColor="text1"/>
                <w:sz w:val="24"/>
                <w14:textFill>
                  <w14:solidFill>
                    <w14:schemeClr w14:val="tx1"/>
                  </w14:solidFill>
                </w14:textFill>
              </w:rPr>
            </w:pPr>
          </w:p>
          <w:p>
            <w:pPr>
              <w:pStyle w:val="8"/>
              <w:numPr>
                <w:ilvl w:val="0"/>
                <w:numId w:val="8"/>
              </w:numPr>
              <w:spacing w:line="360" w:lineRule="atLeast"/>
              <w:ind w:firstLineChars="0"/>
              <w:rPr>
                <w:color w:val="0D0D0D" w:themeColor="text1" w:themeTint="F2"/>
                <w14:textFill>
                  <w14:solidFill>
                    <w14:schemeClr w14:val="tx1">
                      <w14:lumMod w14:val="95000"/>
                      <w14:lumOff w14:val="5000"/>
                    </w14:schemeClr>
                  </w14:solidFill>
                </w14:textFill>
              </w:rPr>
            </w:pPr>
            <w:r>
              <w:rPr>
                <w:rFonts w:hint="eastAsia"/>
                <w:color w:val="0D0D0D" w:themeColor="text1" w:themeTint="F2"/>
                <w:lang w:val="en-US" w:eastAsia="zh-CN"/>
                <w14:textFill>
                  <w14:solidFill>
                    <w14:schemeClr w14:val="tx1">
                      <w14:lumMod w14:val="95000"/>
                      <w14:lumOff w14:val="5000"/>
                    </w14:schemeClr>
                  </w14:solidFill>
                </w14:textFill>
              </w:rPr>
              <w:t>测试现有的硅基光子晶体微腔芯片，熟练腔光力系统的测试流程，耦合找到比较理想的机械模式</w:t>
            </w:r>
            <w:r>
              <w:rPr>
                <w:color w:val="0D0D0D" w:themeColor="text1" w:themeTint="F2"/>
                <w14:textFill>
                  <w14:solidFill>
                    <w14:schemeClr w14:val="tx1">
                      <w14:lumMod w14:val="95000"/>
                      <w14:lumOff w14:val="5000"/>
                    </w14:schemeClr>
                  </w14:solidFill>
                </w14:textFill>
              </w:rPr>
              <w:t>。</w:t>
            </w:r>
          </w:p>
          <w:p>
            <w:pPr>
              <w:pStyle w:val="8"/>
              <w:numPr>
                <w:ilvl w:val="0"/>
                <w:numId w:val="8"/>
              </w:numPr>
              <w:spacing w:line="360" w:lineRule="atLeast"/>
              <w:ind w:firstLineChars="0"/>
              <w:rPr>
                <w:color w:val="0D0D0D" w:themeColor="text1" w:themeTint="F2"/>
                <w14:textFill>
                  <w14:solidFill>
                    <w14:schemeClr w14:val="tx1">
                      <w14:lumMod w14:val="95000"/>
                      <w14:lumOff w14:val="5000"/>
                    </w14:schemeClr>
                  </w14:solidFill>
                </w14:textFill>
              </w:rPr>
            </w:pPr>
            <w:r>
              <w:rPr>
                <w:rFonts w:hint="eastAsia"/>
                <w:color w:val="0D0D0D" w:themeColor="text1" w:themeTint="F2"/>
                <w:lang w:val="en-US" w:eastAsia="zh-CN"/>
                <w14:textFill>
                  <w14:solidFill>
                    <w14:schemeClr w14:val="tx1">
                      <w14:lumMod w14:val="95000"/>
                      <w14:lumOff w14:val="5000"/>
                    </w14:schemeClr>
                  </w14:solidFill>
                </w14:textFill>
              </w:rPr>
              <w:t>跟进铌酸锂芯片的加工进度，早日拿到芯片进行测试</w:t>
            </w:r>
            <w:r>
              <w:rPr>
                <w:color w:val="0D0D0D" w:themeColor="text1" w:themeTint="F2"/>
                <w14:textFill>
                  <w14:solidFill>
                    <w14:schemeClr w14:val="tx1">
                      <w14:lumMod w14:val="95000"/>
                      <w14:lumOff w14:val="5000"/>
                    </w14:schemeClr>
                  </w14:solidFill>
                </w14:textFill>
              </w:rPr>
              <w:t>。</w:t>
            </w:r>
            <w:r>
              <w:rPr>
                <w:rFonts w:hint="eastAsia"/>
                <w:color w:val="0D0D0D" w:themeColor="text1" w:themeTint="F2"/>
                <w:lang w:val="en-US" w:eastAsia="zh-CN"/>
                <w14:textFill>
                  <w14:solidFill>
                    <w14:schemeClr w14:val="tx1">
                      <w14:lumMod w14:val="95000"/>
                      <w14:lumOff w14:val="5000"/>
                    </w14:schemeClr>
                  </w14:solidFill>
                </w14:textFill>
              </w:rPr>
              <w:t>测试加工得到芯片的成品率，并在考虑加工误差的条件下，重新优化设计铌酸锂基光子晶体微腔。</w:t>
            </w:r>
          </w:p>
          <w:p>
            <w:pPr>
              <w:pStyle w:val="8"/>
              <w:spacing w:line="360" w:lineRule="atLeast"/>
              <w:ind w:left="780" w:firstLine="0" w:firstLineChars="0"/>
              <w:rPr>
                <w:color w:val="000000" w:themeColor="text1"/>
                <w14:textFill>
                  <w14:solidFill>
                    <w14:schemeClr w14:val="tx1"/>
                  </w14:solidFill>
                </w14:textFill>
              </w:rPr>
            </w:pPr>
          </w:p>
          <w:p>
            <w:pP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时间进度安排及预期成果：</w:t>
            </w:r>
          </w:p>
          <w:p>
            <w:pPr>
              <w:spacing w:after="240"/>
              <w:jc w:val="center"/>
              <w:rPr>
                <w:color w:val="000000" w:themeColor="text1"/>
                <w14:textFill>
                  <w14:solidFill>
                    <w14:schemeClr w14:val="tx1"/>
                  </w14:solidFill>
                </w14:textFill>
              </w:rPr>
            </w:pPr>
            <w:r>
              <w:rPr>
                <w:color w:val="000000" w:themeColor="text1"/>
                <w14:textFill>
                  <w14:solidFill>
                    <w14:schemeClr w14:val="tx1"/>
                  </w14:solidFill>
                </w14:textFill>
              </w:rPr>
              <w:t>表</w:t>
            </w:r>
            <w:r>
              <w:rPr>
                <w:rFonts w:hint="eastAsia"/>
                <w:color w:val="000000" w:themeColor="text1"/>
                <w:lang w:val="en-US" w:eastAsia="zh-CN"/>
                <w14:textFill>
                  <w14:solidFill>
                    <w14:schemeClr w14:val="tx1"/>
                  </w14:solidFill>
                </w14:textFill>
              </w:rPr>
              <w:t>1</w:t>
            </w:r>
            <w:r>
              <w:rPr>
                <w:color w:val="000000" w:themeColor="text1"/>
                <w14:textFill>
                  <w14:solidFill>
                    <w14:schemeClr w14:val="tx1"/>
                  </w14:solidFill>
                </w14:textFill>
              </w:rPr>
              <w:t xml:space="preserve"> 进度安排与研究内容</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5"/>
              <w:gridCol w:w="6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起始时间</w:t>
                  </w:r>
                </w:p>
              </w:tc>
              <w:tc>
                <w:tcPr>
                  <w:tcW w:w="6679" w:type="dxa"/>
                  <w:shd w:val="clear" w:color="auto" w:fill="auto"/>
                  <w:vAlign w:val="center"/>
                </w:tcPr>
                <w:p>
                  <w:pPr>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完成内容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20</w:t>
                  </w:r>
                  <w:r>
                    <w:rPr>
                      <w:color w:val="000000" w:themeColor="text1"/>
                      <w14:textFill>
                        <w14:solidFill>
                          <w14:schemeClr w14:val="tx1"/>
                        </w14:solidFill>
                      </w14:textFill>
                    </w:rPr>
                    <w:t>2</w:t>
                  </w:r>
                  <w:r>
                    <w:rPr>
                      <w:rFonts w:hint="eastAsia"/>
                      <w:color w:val="000000" w:themeColor="text1"/>
                      <w:lang w:val="en-US" w:eastAsia="zh-CN"/>
                      <w14:textFill>
                        <w14:solidFill>
                          <w14:schemeClr w14:val="tx1"/>
                        </w14:solidFill>
                      </w14:textFill>
                    </w:rPr>
                    <w:t>2</w:t>
                  </w:r>
                  <w:r>
                    <w:rPr>
                      <w:rFonts w:hint="eastAsia"/>
                      <w:color w:val="000000" w:themeColor="text1"/>
                      <w14:textFill>
                        <w14:solidFill>
                          <w14:schemeClr w14:val="tx1"/>
                        </w14:solidFill>
                      </w14:textFill>
                    </w:rPr>
                    <w:t>年</w:t>
                  </w:r>
                  <w:r>
                    <w:rPr>
                      <w:rFonts w:hint="eastAsia"/>
                      <w:color w:val="000000" w:themeColor="text1"/>
                      <w:lang w:val="en-US" w:eastAsia="zh-CN"/>
                      <w14:textFill>
                        <w14:solidFill>
                          <w14:schemeClr w14:val="tx1"/>
                        </w14:solidFill>
                      </w14:textFill>
                    </w:rPr>
                    <w:t>7</w:t>
                  </w:r>
                  <w:r>
                    <w:rPr>
                      <w:rFonts w:hint="eastAsia"/>
                      <w:color w:val="000000" w:themeColor="text1"/>
                      <w14:textFill>
                        <w14:solidFill>
                          <w14:schemeClr w14:val="tx1"/>
                        </w14:solidFill>
                      </w14:textFill>
                    </w:rPr>
                    <w:t>月-</w:t>
                  </w:r>
                  <w:r>
                    <w:rPr>
                      <w:color w:val="000000" w:themeColor="text1"/>
                      <w14:textFill>
                        <w14:solidFill>
                          <w14:schemeClr w14:val="tx1"/>
                        </w14:solidFill>
                      </w14:textFill>
                    </w:rPr>
                    <w:t>202</w:t>
                  </w:r>
                  <w:r>
                    <w:rPr>
                      <w:rFonts w:hint="eastAsia"/>
                      <w:color w:val="000000" w:themeColor="text1"/>
                      <w:lang w:val="en-US" w:eastAsia="zh-CN"/>
                      <w14:textFill>
                        <w14:solidFill>
                          <w14:schemeClr w14:val="tx1"/>
                        </w14:solidFill>
                      </w14:textFill>
                    </w:rPr>
                    <w:t>2</w:t>
                  </w:r>
                  <w:r>
                    <w:rPr>
                      <w:color w:val="000000" w:themeColor="text1"/>
                      <w14:textFill>
                        <w14:solidFill>
                          <w14:schemeClr w14:val="tx1"/>
                        </w14:solidFill>
                      </w14:textFill>
                    </w:rPr>
                    <w:t>年</w:t>
                  </w:r>
                  <w:r>
                    <w:rPr>
                      <w:rFonts w:hint="eastAsia"/>
                      <w:color w:val="000000" w:themeColor="text1"/>
                      <w:lang w:val="en-US" w:eastAsia="zh-CN"/>
                      <w14:textFill>
                        <w14:solidFill>
                          <w14:schemeClr w14:val="tx1"/>
                        </w14:solidFill>
                      </w14:textFill>
                    </w:rPr>
                    <w:t>10</w:t>
                  </w:r>
                  <w:r>
                    <w:rPr>
                      <w:rFonts w:hint="eastAsia"/>
                      <w:color w:val="000000" w:themeColor="text1"/>
                      <w14:textFill>
                        <w14:solidFill>
                          <w14:schemeClr w14:val="tx1"/>
                        </w14:solidFill>
                      </w14:textFill>
                    </w:rPr>
                    <w:t>月</w:t>
                  </w:r>
                </w:p>
              </w:tc>
              <w:tc>
                <w:tcPr>
                  <w:tcW w:w="6679" w:type="dxa"/>
                  <w:shd w:val="clear" w:color="auto" w:fill="auto"/>
                </w:tcPr>
                <w:p>
                  <w:pPr>
                    <w:spacing w:line="360" w:lineRule="atLeast"/>
                    <w:rPr>
                      <w:rFonts w:hint="default" w:eastAsia="宋体"/>
                      <w:color w:val="0D0D0D" w:themeColor="text1" w:themeTint="F2"/>
                      <w:lang w:val="en-US" w:eastAsia="zh-CN"/>
                      <w14:textFill>
                        <w14:solidFill>
                          <w14:schemeClr w14:val="tx1">
                            <w14:lumMod w14:val="95000"/>
                            <w14:lumOff w14:val="5000"/>
                          </w14:schemeClr>
                        </w14:solidFill>
                      </w14:textFill>
                    </w:rPr>
                  </w:pPr>
                  <w:r>
                    <w:rPr>
                      <w:rFonts w:hint="eastAsia"/>
                      <w:color w:val="0D0D0D" w:themeColor="text1" w:themeTint="F2"/>
                      <w:lang w:val="en-US" w:eastAsia="zh-CN"/>
                      <w14:textFill>
                        <w14:solidFill>
                          <w14:schemeClr w14:val="tx1">
                            <w14:lumMod w14:val="95000"/>
                            <w14:lumOff w14:val="5000"/>
                          </w14:schemeClr>
                        </w14:solidFill>
                      </w14:textFill>
                    </w:rPr>
                    <w:t>跟进拿到铌酸锂基微腔的芯片，进行成品率及其光机模式的测试。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w:t>
                  </w:r>
                  <w:r>
                    <w:rPr>
                      <w:color w:val="000000" w:themeColor="text1"/>
                      <w14:textFill>
                        <w14:solidFill>
                          <w14:schemeClr w14:val="tx1"/>
                        </w14:solidFill>
                      </w14:textFill>
                    </w:rPr>
                    <w:t>2</w:t>
                  </w:r>
                  <w:r>
                    <w:rPr>
                      <w:rFonts w:hint="eastAsia"/>
                      <w:color w:val="000000" w:themeColor="text1"/>
                      <w:lang w:val="en-US" w:eastAsia="zh-CN"/>
                      <w14:textFill>
                        <w14:solidFill>
                          <w14:schemeClr w14:val="tx1"/>
                        </w14:solidFill>
                      </w14:textFill>
                    </w:rPr>
                    <w:t>2</w:t>
                  </w:r>
                  <w:r>
                    <w:rPr>
                      <w:rFonts w:hint="eastAsia"/>
                      <w:color w:val="000000" w:themeColor="text1"/>
                      <w14:textFill>
                        <w14:solidFill>
                          <w14:schemeClr w14:val="tx1"/>
                        </w14:solidFill>
                      </w14:textFill>
                    </w:rPr>
                    <w:t>年</w:t>
                  </w:r>
                  <w:r>
                    <w:rPr>
                      <w:rFonts w:hint="eastAsia"/>
                      <w:color w:val="000000" w:themeColor="text1"/>
                      <w:lang w:val="en-US" w:eastAsia="zh-CN"/>
                      <w14:textFill>
                        <w14:solidFill>
                          <w14:schemeClr w14:val="tx1"/>
                        </w14:solidFill>
                      </w14:textFill>
                    </w:rPr>
                    <w:t>10</w:t>
                  </w:r>
                  <w:r>
                    <w:rPr>
                      <w:rFonts w:hint="eastAsia"/>
                      <w:color w:val="000000" w:themeColor="text1"/>
                      <w14:textFill>
                        <w14:solidFill>
                          <w14:schemeClr w14:val="tx1"/>
                        </w14:solidFill>
                      </w14:textFill>
                    </w:rPr>
                    <w:t>月-</w:t>
                  </w:r>
                  <w:r>
                    <w:rPr>
                      <w:color w:val="000000" w:themeColor="text1"/>
                      <w14:textFill>
                        <w14:solidFill>
                          <w14:schemeClr w14:val="tx1"/>
                        </w14:solidFill>
                      </w14:textFill>
                    </w:rPr>
                    <w:t>202</w:t>
                  </w:r>
                  <w:r>
                    <w:rPr>
                      <w:rFonts w:hint="eastAsia"/>
                      <w:color w:val="000000" w:themeColor="text1"/>
                      <w:lang w:val="en-US" w:eastAsia="zh-CN"/>
                      <w14:textFill>
                        <w14:solidFill>
                          <w14:schemeClr w14:val="tx1"/>
                        </w14:solidFill>
                      </w14:textFill>
                    </w:rPr>
                    <w:t>3</w:t>
                  </w:r>
                  <w:r>
                    <w:rPr>
                      <w:color w:val="000000" w:themeColor="text1"/>
                      <w14:textFill>
                        <w14:solidFill>
                          <w14:schemeClr w14:val="tx1"/>
                        </w14:solidFill>
                      </w14:textFill>
                    </w:rPr>
                    <w:t>年</w:t>
                  </w:r>
                  <w:r>
                    <w:rPr>
                      <w:rFonts w:hint="eastAsia"/>
                      <w:color w:val="000000" w:themeColor="text1"/>
                      <w:lang w:val="en-US" w:eastAsia="zh-CN"/>
                      <w14:textFill>
                        <w14:solidFill>
                          <w14:schemeClr w14:val="tx1"/>
                        </w14:solidFill>
                      </w14:textFill>
                    </w:rPr>
                    <w:t>1</w:t>
                  </w:r>
                  <w:r>
                    <w:rPr>
                      <w:rFonts w:hint="eastAsia"/>
                      <w:color w:val="000000" w:themeColor="text1"/>
                      <w14:textFill>
                        <w14:solidFill>
                          <w14:schemeClr w14:val="tx1"/>
                        </w14:solidFill>
                      </w14:textFill>
                    </w:rPr>
                    <w:t>月</w:t>
                  </w:r>
                </w:p>
              </w:tc>
              <w:tc>
                <w:tcPr>
                  <w:tcW w:w="6679" w:type="dxa"/>
                  <w:shd w:val="clear" w:color="auto" w:fill="auto"/>
                </w:tcPr>
                <w:p>
                  <w:pPr>
                    <w:spacing w:line="360" w:lineRule="atLeast"/>
                    <w:rPr>
                      <w:rFonts w:hint="default" w:eastAsia="宋体"/>
                      <w:color w:val="0D0D0D" w:themeColor="text1" w:themeTint="F2"/>
                      <w:lang w:val="en-US" w:eastAsia="zh-CN"/>
                      <w14:textFill>
                        <w14:solidFill>
                          <w14:schemeClr w14:val="tx1">
                            <w14:lumMod w14:val="95000"/>
                            <w14:lumOff w14:val="5000"/>
                          </w14:schemeClr>
                        </w14:solidFill>
                      </w14:textFill>
                    </w:rPr>
                  </w:pPr>
                  <w:r>
                    <w:rPr>
                      <w:rFonts w:hint="eastAsia"/>
                      <w:color w:val="0D0D0D" w:themeColor="text1" w:themeTint="F2"/>
                      <w:lang w:val="en-US" w:eastAsia="zh-CN"/>
                      <w14:textFill>
                        <w14:solidFill>
                          <w14:schemeClr w14:val="tx1">
                            <w14:lumMod w14:val="95000"/>
                            <w14:lumOff w14:val="5000"/>
                          </w14:schemeClr>
                        </w14:solidFill>
                      </w14:textFill>
                    </w:rPr>
                    <w:t>考虑加工误差，对之前的铌酸锂基芯片进行优化设计。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5" w:type="dxa"/>
                  <w:shd w:val="clear" w:color="auto" w:fill="auto"/>
                  <w:vAlign w:val="center"/>
                </w:tcPr>
                <w:p>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20</w:t>
                  </w:r>
                  <w:r>
                    <w:rPr>
                      <w:color w:val="000000" w:themeColor="text1"/>
                      <w14:textFill>
                        <w14:solidFill>
                          <w14:schemeClr w14:val="tx1"/>
                        </w14:solidFill>
                      </w14:textFill>
                    </w:rPr>
                    <w:t>2</w:t>
                  </w:r>
                  <w:r>
                    <w:rPr>
                      <w:rFonts w:hint="eastAsia"/>
                      <w:color w:val="000000" w:themeColor="text1"/>
                      <w:lang w:val="en-US" w:eastAsia="zh-CN"/>
                      <w14:textFill>
                        <w14:solidFill>
                          <w14:schemeClr w14:val="tx1"/>
                        </w14:solidFill>
                      </w14:textFill>
                    </w:rPr>
                    <w:t>3</w:t>
                  </w:r>
                  <w:r>
                    <w:rPr>
                      <w:rFonts w:hint="eastAsia"/>
                      <w:color w:val="000000" w:themeColor="text1"/>
                      <w14:textFill>
                        <w14:solidFill>
                          <w14:schemeClr w14:val="tx1"/>
                        </w14:solidFill>
                      </w14:textFill>
                    </w:rPr>
                    <w:t>年</w:t>
                  </w:r>
                  <w:r>
                    <w:rPr>
                      <w:rFonts w:hint="eastAsia"/>
                      <w:color w:val="000000" w:themeColor="text1"/>
                      <w:lang w:val="en-US" w:eastAsia="zh-CN"/>
                      <w14:textFill>
                        <w14:solidFill>
                          <w14:schemeClr w14:val="tx1"/>
                        </w14:solidFill>
                      </w14:textFill>
                    </w:rPr>
                    <w:t>1</w:t>
                  </w:r>
                  <w:r>
                    <w:rPr>
                      <w:rFonts w:hint="eastAsia"/>
                      <w:color w:val="000000" w:themeColor="text1"/>
                      <w14:textFill>
                        <w14:solidFill>
                          <w14:schemeClr w14:val="tx1"/>
                        </w14:solidFill>
                      </w14:textFill>
                    </w:rPr>
                    <w:t>月-</w:t>
                  </w:r>
                  <w:r>
                    <w:rPr>
                      <w:color w:val="000000" w:themeColor="text1"/>
                      <w14:textFill>
                        <w14:solidFill>
                          <w14:schemeClr w14:val="tx1"/>
                        </w14:solidFill>
                      </w14:textFill>
                    </w:rPr>
                    <w:t>202</w:t>
                  </w:r>
                  <w:r>
                    <w:rPr>
                      <w:rFonts w:hint="eastAsia"/>
                      <w:color w:val="000000" w:themeColor="text1"/>
                      <w:lang w:val="en-US" w:eastAsia="zh-CN"/>
                      <w14:textFill>
                        <w14:solidFill>
                          <w14:schemeClr w14:val="tx1"/>
                        </w14:solidFill>
                      </w14:textFill>
                    </w:rPr>
                    <w:t>3</w:t>
                  </w:r>
                  <w:r>
                    <w:rPr>
                      <w:color w:val="000000" w:themeColor="text1"/>
                      <w14:textFill>
                        <w14:solidFill>
                          <w14:schemeClr w14:val="tx1"/>
                        </w14:solidFill>
                      </w14:textFill>
                    </w:rPr>
                    <w:t>年</w:t>
                  </w:r>
                  <w:r>
                    <w:rPr>
                      <w:rFonts w:hint="eastAsia"/>
                      <w:color w:val="000000" w:themeColor="text1"/>
                      <w:lang w:val="en-US" w:eastAsia="zh-CN"/>
                      <w14:textFill>
                        <w14:solidFill>
                          <w14:schemeClr w14:val="tx1"/>
                        </w14:solidFill>
                      </w14:textFill>
                    </w:rPr>
                    <w:t>4</w:t>
                  </w:r>
                  <w:r>
                    <w:rPr>
                      <w:rFonts w:hint="eastAsia"/>
                      <w:color w:val="000000" w:themeColor="text1"/>
                      <w14:textFill>
                        <w14:solidFill>
                          <w14:schemeClr w14:val="tx1"/>
                        </w14:solidFill>
                      </w14:textFill>
                    </w:rPr>
                    <w:t>月</w:t>
                  </w:r>
                </w:p>
              </w:tc>
              <w:tc>
                <w:tcPr>
                  <w:tcW w:w="6679" w:type="dxa"/>
                  <w:shd w:val="clear" w:color="auto" w:fill="auto"/>
                </w:tcPr>
                <w:p>
                  <w:pPr>
                    <w:spacing w:line="360" w:lineRule="atLeast"/>
                    <w:rPr>
                      <w:rFonts w:hint="default" w:eastAsia="宋体"/>
                      <w:color w:val="0D0D0D" w:themeColor="text1" w:themeTint="F2"/>
                      <w:lang w:val="en-US" w:eastAsia="zh-CN"/>
                      <w14:textFill>
                        <w14:solidFill>
                          <w14:schemeClr w14:val="tx1">
                            <w14:lumMod w14:val="95000"/>
                            <w14:lumOff w14:val="5000"/>
                          </w14:schemeClr>
                        </w14:solidFill>
                      </w14:textFill>
                    </w:rPr>
                  </w:pPr>
                  <w:r>
                    <w:rPr>
                      <w:rFonts w:hint="eastAsia"/>
                      <w:color w:val="0D0D0D" w:themeColor="text1" w:themeTint="F2"/>
                      <w:lang w:val="en-US" w:eastAsia="zh-CN"/>
                      <w14:textFill>
                        <w14:solidFill>
                          <w14:schemeClr w14:val="tx1">
                            <w14:lumMod w14:val="95000"/>
                            <w14:lumOff w14:val="5000"/>
                          </w14:schemeClr>
                        </w14:solidFill>
                      </w14:textFill>
                    </w:rPr>
                    <w:t>加工得到的高Q值铌酸锂基微腔的芯片，并完成硕士毕业论文的撰写。</w:t>
                  </w:r>
                </w:p>
              </w:tc>
            </w:tr>
          </w:tbl>
          <w:p>
            <w:pPr>
              <w:spacing w:after="120" w:afterLines="50"/>
              <w:rPr>
                <w:rFonts w:ascii="楷体" w:hAnsi="楷体" w:eastAsia="楷体"/>
                <w:color w:val="000000" w:themeColor="text1"/>
                <w:sz w:val="24"/>
                <w14:textFill>
                  <w14:solidFill>
                    <w14:schemeClr w14:val="tx1"/>
                  </w14:solidFill>
                </w14:textFill>
              </w:rPr>
            </w:pPr>
          </w:p>
          <w:p>
            <w:pPr>
              <w:ind w:firstLine="420" w:firstLineChars="200"/>
              <w:rPr>
                <w:color w:val="000000" w:themeColor="text1"/>
                <w14:textFill>
                  <w14:solidFill>
                    <w14:schemeClr w14:val="tx1"/>
                  </w14:solidFill>
                </w14:textFill>
              </w:rPr>
            </w:pPr>
            <w:bookmarkStart w:id="4" w:name="OLE_LINK7"/>
            <w:bookmarkStart w:id="5" w:name="OLE_LINK8"/>
            <w:r>
              <w:rPr>
                <w:color w:val="000000" w:themeColor="text1"/>
                <w14:textFill>
                  <w14:solidFill>
                    <w14:schemeClr w14:val="tx1"/>
                  </w14:solidFill>
                </w14:textFill>
              </w:rPr>
              <w:t>在后续研究工作中，按照表3进度安排与研究内容进行研究，</w:t>
            </w:r>
            <w:r>
              <w:rPr>
                <w:rFonts w:hint="eastAsia"/>
                <w:color w:val="000000" w:themeColor="text1"/>
                <w14:textFill>
                  <w14:solidFill>
                    <w14:schemeClr w14:val="tx1"/>
                  </w14:solidFill>
                </w14:textFill>
              </w:rPr>
              <w:t>撰写并投稿</w:t>
            </w:r>
            <w:r>
              <w:rPr>
                <w:rFonts w:hint="eastAsia"/>
                <w:color w:val="000000" w:themeColor="text1"/>
                <w:lang w:val="en-US" w:eastAsia="zh-CN"/>
                <w14:textFill>
                  <w14:solidFill>
                    <w14:schemeClr w14:val="tx1"/>
                  </w14:solidFill>
                </w14:textFill>
              </w:rPr>
              <w:t>1</w:t>
            </w:r>
            <w:r>
              <w:rPr>
                <w:color w:val="000000" w:themeColor="text1"/>
                <w14:textFill>
                  <w14:solidFill>
                    <w14:schemeClr w14:val="tx1"/>
                  </w14:solidFill>
                </w14:textFill>
              </w:rPr>
              <w:t>篇高水平论文，同时完成</w:t>
            </w:r>
            <w:r>
              <w:rPr>
                <w:rFonts w:hint="eastAsia"/>
                <w:color w:val="000000" w:themeColor="text1"/>
                <w:lang w:eastAsia="zh-CN"/>
                <w14:textFill>
                  <w14:solidFill>
                    <w14:schemeClr w14:val="tx1"/>
                  </w14:solidFill>
                </w14:textFill>
              </w:rPr>
              <w:t>硕士</w:t>
            </w:r>
            <w:r>
              <w:rPr>
                <w:color w:val="000000" w:themeColor="text1"/>
                <w14:textFill>
                  <w14:solidFill>
                    <w14:schemeClr w14:val="tx1"/>
                  </w14:solidFill>
                </w14:textFill>
              </w:rPr>
              <w:t>论文的撰写以及</w:t>
            </w:r>
            <w:r>
              <w:rPr>
                <w:rFonts w:hint="eastAsia"/>
                <w:color w:val="000000" w:themeColor="text1"/>
                <w:lang w:eastAsia="zh-CN"/>
                <w14:textFill>
                  <w14:solidFill>
                    <w14:schemeClr w14:val="tx1"/>
                  </w14:solidFill>
                </w14:textFill>
              </w:rPr>
              <w:t>硕士</w:t>
            </w:r>
            <w:r>
              <w:rPr>
                <w:color w:val="000000" w:themeColor="text1"/>
                <w14:textFill>
                  <w14:solidFill>
                    <w14:schemeClr w14:val="tx1"/>
                  </w14:solidFill>
                </w14:textFill>
              </w:rPr>
              <w:t>学位论文答辩。</w:t>
            </w:r>
            <w:bookmarkEnd w:id="4"/>
            <w:bookmarkEnd w:id="5"/>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p>
          <w:p>
            <w:pPr>
              <w:rPr>
                <w:color w:val="000000" w:themeColor="text1"/>
                <w14:textFill>
                  <w14:solidFill>
                    <w14:schemeClr w14:val="tx1"/>
                  </w14:solidFill>
                </w14:textFill>
              </w:rPr>
            </w:pPr>
          </w:p>
        </w:tc>
      </w:tr>
    </w:tbl>
    <w:p>
      <w:pPr>
        <w:numPr>
          <w:ilvl w:val="0"/>
          <w:numId w:val="1"/>
        </w:numPr>
        <w:rPr>
          <w:b/>
          <w:bCs/>
          <w:sz w:val="36"/>
        </w:rPr>
      </w:pPr>
      <w:r>
        <w:br w:type="page"/>
      </w:r>
      <w:r>
        <w:rPr>
          <w:rFonts w:hint="eastAsia" w:ascii="黑体" w:hAnsi="黑体" w:eastAsia="黑体"/>
          <w:bCs/>
          <w:sz w:val="28"/>
        </w:rPr>
        <w:t>中期考评审查意见</w:t>
      </w:r>
    </w:p>
    <w:tbl>
      <w:tblPr>
        <w:tblStyle w:val="4"/>
        <w:tblW w:w="5000" w:type="pct"/>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57" w:type="dxa"/>
          <w:left w:w="57" w:type="dxa"/>
          <w:bottom w:w="57" w:type="dxa"/>
          <w:right w:w="57" w:type="dxa"/>
        </w:tblCellMar>
      </w:tblPr>
      <w:tblGrid>
        <w:gridCol w:w="1145"/>
        <w:gridCol w:w="2450"/>
        <w:gridCol w:w="2198"/>
        <w:gridCol w:w="395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trHeight w:val="2268" w:hRule="atLeast"/>
          <w:jc w:val="center"/>
        </w:trPr>
        <w:tc>
          <w:tcPr>
            <w:tcW w:w="5000" w:type="pct"/>
            <w:gridSpan w:val="4"/>
            <w:tcBorders>
              <w:bottom w:val="nil"/>
            </w:tcBorders>
          </w:tcPr>
          <w:p>
            <w:pPr>
              <w:spacing w:after="120" w:afterLines="50"/>
              <w:rPr>
                <w:rFonts w:eastAsia="楷体"/>
                <w:sz w:val="24"/>
              </w:rPr>
            </w:pPr>
            <w:r>
              <w:rPr>
                <w:rFonts w:hint="eastAsia" w:eastAsia="楷体"/>
                <w:sz w:val="24"/>
              </w:rPr>
              <w:t>1.导师对工作进展</w:t>
            </w:r>
            <w:r>
              <w:rPr>
                <w:rFonts w:hint="eastAsia" w:ascii="楷体" w:hAnsi="楷体" w:eastAsia="楷体"/>
                <w:sz w:val="24"/>
              </w:rPr>
              <w:t>及研究计划的</w:t>
            </w:r>
            <w:r>
              <w:rPr>
                <w:rFonts w:hint="eastAsia" w:eastAsia="楷体"/>
                <w:sz w:val="24"/>
              </w:rPr>
              <w:t>意见：</w:t>
            </w:r>
          </w:p>
          <w:p>
            <w:pPr>
              <w:ind w:firstLine="420" w:firstLineChars="20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jc w:val="center"/>
        </w:trPr>
        <w:tc>
          <w:tcPr>
            <w:tcW w:w="5000" w:type="pct"/>
            <w:gridSpan w:val="4"/>
            <w:tcBorders>
              <w:top w:val="nil"/>
            </w:tcBorders>
          </w:tcPr>
          <w:p>
            <w:pPr>
              <w:spacing w:line="720" w:lineRule="auto"/>
            </w:pPr>
            <w:r>
              <w:rPr>
                <w:rFonts w:hint="eastAsia"/>
              </w:rPr>
              <w:t xml:space="preserve">导师（组）签字： </w:t>
            </w:r>
            <w:r>
              <w:t xml:space="preserve">                                                       </w:t>
            </w:r>
            <w:r>
              <w:rPr>
                <w:rFonts w:hint="eastAsia"/>
              </w:rPr>
              <w:t xml:space="preserve">年 </w:t>
            </w:r>
            <w:r>
              <w:t xml:space="preserve">    </w:t>
            </w:r>
            <w:r>
              <w:rPr>
                <w:rFonts w:hint="eastAsia"/>
              </w:rPr>
              <w:t xml:space="preserve">月 </w:t>
            </w:r>
            <w:r>
              <w:t xml:space="preserve">    </w:t>
            </w:r>
            <w:r>
              <w:rPr>
                <w:rFonts w:hint="eastAsia"/>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trHeight w:val="397" w:hRule="atLeast"/>
          <w:jc w:val="center"/>
        </w:trPr>
        <w:tc>
          <w:tcPr>
            <w:tcW w:w="5000" w:type="pct"/>
            <w:gridSpan w:val="4"/>
            <w:vAlign w:val="center"/>
          </w:tcPr>
          <w:p>
            <w:pPr>
              <w:rPr>
                <w:b/>
                <w:sz w:val="24"/>
              </w:rPr>
            </w:pPr>
            <w:r>
              <w:rPr>
                <w:rFonts w:hint="eastAsia"/>
                <w:b/>
                <w:sz w:val="24"/>
              </w:rPr>
              <w:t>2</w:t>
            </w:r>
            <w:r>
              <w:rPr>
                <w:rFonts w:hint="eastAsia" w:ascii="宋体" w:hAnsi="宋体"/>
                <w:b/>
                <w:sz w:val="24"/>
              </w:rPr>
              <w:t>.中期考评专家组意见</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trHeight w:val="397" w:hRule="atLeast"/>
          <w:jc w:val="center"/>
        </w:trPr>
        <w:tc>
          <w:tcPr>
            <w:tcW w:w="587" w:type="pct"/>
            <w:vAlign w:val="center"/>
          </w:tcPr>
          <w:p>
            <w:pPr>
              <w:jc w:val="center"/>
              <w:rPr>
                <w:sz w:val="24"/>
              </w:rPr>
            </w:pPr>
            <w:r>
              <w:rPr>
                <w:rFonts w:hint="eastAsia"/>
                <w:sz w:val="24"/>
              </w:rPr>
              <w:t>考评日期</w:t>
            </w:r>
          </w:p>
        </w:tc>
        <w:tc>
          <w:tcPr>
            <w:tcW w:w="1256" w:type="pct"/>
            <w:vAlign w:val="center"/>
          </w:tcPr>
          <w:p>
            <w:pPr>
              <w:jc w:val="center"/>
              <w:rPr>
                <w:sz w:val="24"/>
              </w:rPr>
            </w:pPr>
          </w:p>
        </w:tc>
        <w:tc>
          <w:tcPr>
            <w:tcW w:w="1127" w:type="pct"/>
            <w:vAlign w:val="center"/>
          </w:tcPr>
          <w:p>
            <w:pPr>
              <w:jc w:val="center"/>
              <w:rPr>
                <w:sz w:val="24"/>
              </w:rPr>
            </w:pPr>
            <w:r>
              <w:rPr>
                <w:rFonts w:hint="eastAsia"/>
                <w:sz w:val="24"/>
              </w:rPr>
              <w:t>考评地点</w:t>
            </w:r>
          </w:p>
        </w:tc>
        <w:tc>
          <w:tcPr>
            <w:tcW w:w="2030" w:type="pct"/>
            <w:vAlign w:val="center"/>
          </w:tcPr>
          <w:p>
            <w:pP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trHeight w:val="397" w:hRule="atLeast"/>
          <w:jc w:val="center"/>
        </w:trPr>
        <w:tc>
          <w:tcPr>
            <w:tcW w:w="587" w:type="pct"/>
            <w:vAlign w:val="center"/>
          </w:tcPr>
          <w:p>
            <w:pPr>
              <w:jc w:val="center"/>
              <w:rPr>
                <w:sz w:val="24"/>
              </w:rPr>
            </w:pPr>
            <w:r>
              <w:rPr>
                <w:rFonts w:hint="eastAsia"/>
                <w:sz w:val="24"/>
              </w:rPr>
              <w:t>考评专家</w:t>
            </w:r>
          </w:p>
        </w:tc>
        <w:tc>
          <w:tcPr>
            <w:tcW w:w="4413" w:type="pct"/>
            <w:gridSpan w:val="3"/>
            <w:vAlign w:val="center"/>
          </w:tcPr>
          <w:p>
            <w:pP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trHeight w:val="397" w:hRule="atLeast"/>
          <w:jc w:val="center"/>
        </w:trPr>
        <w:tc>
          <w:tcPr>
            <w:tcW w:w="587" w:type="pct"/>
            <w:vAlign w:val="center"/>
          </w:tcPr>
          <w:p>
            <w:pPr>
              <w:jc w:val="center"/>
              <w:rPr>
                <w:sz w:val="24"/>
              </w:rPr>
            </w:pPr>
            <w:r>
              <w:rPr>
                <w:rFonts w:hint="eastAsia"/>
                <w:sz w:val="24"/>
              </w:rPr>
              <w:t>考评成绩</w:t>
            </w:r>
          </w:p>
        </w:tc>
        <w:tc>
          <w:tcPr>
            <w:tcW w:w="4413" w:type="pct"/>
            <w:gridSpan w:val="3"/>
            <w:vAlign w:val="center"/>
          </w:tcPr>
          <w:p>
            <w:pPr>
              <w:ind w:firstLine="720" w:firstLineChars="30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trHeight w:val="397" w:hRule="atLeast"/>
          <w:jc w:val="center"/>
        </w:trPr>
        <w:tc>
          <w:tcPr>
            <w:tcW w:w="587" w:type="pct"/>
            <w:tcBorders>
              <w:bottom w:val="single" w:color="auto" w:sz="6" w:space="0"/>
            </w:tcBorders>
            <w:vAlign w:val="center"/>
          </w:tcPr>
          <w:p>
            <w:pPr>
              <w:jc w:val="center"/>
              <w:rPr>
                <w:sz w:val="24"/>
              </w:rPr>
            </w:pPr>
            <w:r>
              <w:rPr>
                <w:rFonts w:hint="eastAsia"/>
                <w:sz w:val="24"/>
              </w:rPr>
              <w:t xml:space="preserve">结 </w:t>
            </w:r>
            <w:r>
              <w:rPr>
                <w:sz w:val="24"/>
              </w:rPr>
              <w:t xml:space="preserve">   </w:t>
            </w:r>
            <w:r>
              <w:rPr>
                <w:rFonts w:hint="eastAsia"/>
                <w:sz w:val="24"/>
              </w:rPr>
              <w:t>论</w:t>
            </w:r>
          </w:p>
        </w:tc>
        <w:tc>
          <w:tcPr>
            <w:tcW w:w="4413" w:type="pct"/>
            <w:gridSpan w:val="3"/>
            <w:tcBorders>
              <w:bottom w:val="single" w:color="auto" w:sz="6" w:space="0"/>
            </w:tcBorders>
            <w:vAlign w:val="center"/>
          </w:tcPr>
          <w:p>
            <w:pPr>
              <w:spacing w:before="240" w:beforeLines="100" w:after="240" w:afterLines="100"/>
              <w:ind w:firstLine="708" w:firstLineChars="300"/>
              <w:rPr>
                <w:spacing w:val="-2"/>
                <w:sz w:val="24"/>
              </w:rPr>
            </w:pPr>
            <w:r>
              <w:rPr>
                <w:rFonts w:hint="eastAsia" w:ascii="宋体" w:hAnsi="宋体"/>
                <w:spacing w:val="-2"/>
                <w:sz w:val="24"/>
              </w:rPr>
              <w:t>□</w:t>
            </w:r>
            <w:r>
              <w:rPr>
                <w:rFonts w:hint="eastAsia"/>
                <w:spacing w:val="-2"/>
                <w:sz w:val="24"/>
              </w:rPr>
              <w:t xml:space="preserve">通过 </w:t>
            </w:r>
            <w:r>
              <w:rPr>
                <w:spacing w:val="-2"/>
                <w:sz w:val="24"/>
              </w:rPr>
              <w:t xml:space="preserve">           </w:t>
            </w:r>
            <w:r>
              <w:rPr>
                <w:rFonts w:hint="eastAsia" w:ascii="宋体" w:hAnsi="宋体"/>
                <w:spacing w:val="-2"/>
                <w:sz w:val="24"/>
              </w:rPr>
              <w:t>□原则</w:t>
            </w:r>
            <w:r>
              <w:rPr>
                <w:rFonts w:hint="eastAsia"/>
                <w:spacing w:val="-2"/>
                <w:sz w:val="24"/>
              </w:rPr>
              <w:t xml:space="preserve">通过 </w:t>
            </w:r>
            <w:r>
              <w:rPr>
                <w:spacing w:val="-2"/>
                <w:sz w:val="24"/>
              </w:rPr>
              <w:t xml:space="preserve">          </w:t>
            </w:r>
            <w:r>
              <w:rPr>
                <w:rFonts w:hint="eastAsia" w:ascii="宋体" w:hAnsi="宋体"/>
                <w:spacing w:val="-2"/>
                <w:sz w:val="24"/>
              </w:rPr>
              <w:t>□不</w:t>
            </w:r>
            <w:r>
              <w:rPr>
                <w:rFonts w:hint="eastAsia"/>
                <w:spacing w:val="-2"/>
                <w:sz w:val="24"/>
              </w:rPr>
              <w:t xml:space="preserve">通过 </w:t>
            </w:r>
          </w:p>
          <w:p>
            <w:pPr>
              <w:rPr>
                <w:spacing w:val="-2"/>
                <w:sz w:val="18"/>
                <w:szCs w:val="18"/>
              </w:rPr>
            </w:pPr>
            <w:r>
              <w:rPr>
                <w:rFonts w:hint="eastAsia"/>
                <w:b/>
                <w:spacing w:val="182"/>
                <w:kern w:val="0"/>
                <w:sz w:val="18"/>
                <w:szCs w:val="18"/>
                <w:fitText w:val="724" w:id="4"/>
              </w:rPr>
              <w:t>通</w:t>
            </w:r>
            <w:r>
              <w:rPr>
                <w:rFonts w:hint="eastAsia"/>
                <w:b/>
                <w:spacing w:val="0"/>
                <w:kern w:val="0"/>
                <w:sz w:val="18"/>
                <w:szCs w:val="18"/>
                <w:fitText w:val="724" w:id="4"/>
              </w:rPr>
              <w:t>过</w:t>
            </w:r>
            <w:r>
              <w:rPr>
                <w:rFonts w:hint="eastAsia"/>
                <w:b/>
                <w:spacing w:val="-2"/>
                <w:sz w:val="18"/>
                <w:szCs w:val="18"/>
              </w:rPr>
              <w:t>：</w:t>
            </w:r>
            <w:r>
              <w:rPr>
                <w:rFonts w:hint="eastAsia"/>
                <w:spacing w:val="-2"/>
                <w:sz w:val="18"/>
                <w:szCs w:val="18"/>
              </w:rPr>
              <w:t>表决票均为合格</w:t>
            </w:r>
          </w:p>
          <w:p>
            <w:pPr>
              <w:rPr>
                <w:spacing w:val="-2"/>
                <w:sz w:val="18"/>
                <w:szCs w:val="18"/>
              </w:rPr>
            </w:pPr>
            <w:r>
              <w:rPr>
                <w:rFonts w:hint="eastAsia"/>
                <w:b/>
                <w:spacing w:val="0"/>
                <w:kern w:val="0"/>
                <w:sz w:val="18"/>
                <w:szCs w:val="18"/>
                <w:fitText w:val="724" w:id="5"/>
              </w:rPr>
              <w:t>原则通过</w:t>
            </w:r>
            <w:r>
              <w:rPr>
                <w:rFonts w:hint="eastAsia"/>
                <w:b/>
                <w:spacing w:val="-2"/>
                <w:sz w:val="18"/>
                <w:szCs w:val="18"/>
              </w:rPr>
              <w:t>：</w:t>
            </w:r>
            <w:r>
              <w:rPr>
                <w:rFonts w:hint="eastAsia"/>
                <w:spacing w:val="-2"/>
                <w:sz w:val="18"/>
                <w:szCs w:val="18"/>
              </w:rPr>
              <w:t>表决票中有1票为基本合格或不合格，其余为合格和基本合格</w:t>
            </w:r>
          </w:p>
          <w:p>
            <w:pPr>
              <w:rPr>
                <w:b/>
                <w:spacing w:val="-2"/>
                <w:sz w:val="24"/>
              </w:rPr>
            </w:pPr>
            <w:r>
              <w:rPr>
                <w:rFonts w:hint="eastAsia"/>
                <w:b/>
                <w:spacing w:val="46"/>
                <w:kern w:val="0"/>
                <w:sz w:val="18"/>
                <w:szCs w:val="18"/>
                <w:fitText w:val="724" w:id="6"/>
              </w:rPr>
              <w:t>不通</w:t>
            </w:r>
            <w:r>
              <w:rPr>
                <w:rFonts w:hint="eastAsia"/>
                <w:b/>
                <w:spacing w:val="0"/>
                <w:kern w:val="0"/>
                <w:sz w:val="18"/>
                <w:szCs w:val="18"/>
                <w:fitText w:val="724" w:id="6"/>
              </w:rPr>
              <w:t>过</w:t>
            </w:r>
            <w:r>
              <w:rPr>
                <w:rFonts w:hint="eastAsia"/>
                <w:b/>
                <w:spacing w:val="-2"/>
                <w:sz w:val="18"/>
                <w:szCs w:val="18"/>
              </w:rPr>
              <w:t>：</w:t>
            </w:r>
            <w:r>
              <w:rPr>
                <w:rFonts w:hint="eastAsia"/>
                <w:spacing w:val="-2"/>
                <w:sz w:val="18"/>
                <w:szCs w:val="18"/>
              </w:rPr>
              <w:t>表决票中有2票及以上为不合格</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jc w:val="center"/>
        </w:trPr>
        <w:tc>
          <w:tcPr>
            <w:tcW w:w="5000" w:type="pct"/>
            <w:gridSpan w:val="4"/>
            <w:tcBorders>
              <w:bottom w:val="nil"/>
            </w:tcBorders>
          </w:tcPr>
          <w:p>
            <w:pPr>
              <w:spacing w:after="120" w:afterLines="50"/>
              <w:rPr>
                <w:rFonts w:eastAsia="楷体"/>
                <w:sz w:val="24"/>
              </w:rPr>
            </w:pPr>
            <w:r>
              <w:rPr>
                <w:rFonts w:hint="eastAsia" w:eastAsia="楷体"/>
                <w:sz w:val="24"/>
              </w:rPr>
              <w:t>对学位论文工作进展，从事科学研究的能力和作风，以及下一步研究计划的建议，是否适合继续攻读学位：</w:t>
            </w:r>
          </w:p>
          <w:p/>
          <w:p/>
          <w:p/>
          <w:p/>
          <w:p/>
          <w:p/>
          <w:p/>
          <w:p/>
          <w:p/>
          <w:p/>
          <w:p/>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trHeight w:val="851" w:hRule="atLeast"/>
          <w:jc w:val="center"/>
        </w:trPr>
        <w:tc>
          <w:tcPr>
            <w:tcW w:w="5000" w:type="pct"/>
            <w:gridSpan w:val="4"/>
            <w:tcBorders>
              <w:top w:val="nil"/>
              <w:bottom w:val="single" w:color="auto" w:sz="6" w:space="0"/>
            </w:tcBorders>
            <w:vAlign w:val="center"/>
          </w:tcPr>
          <w:p>
            <w:pPr>
              <w:tabs>
                <w:tab w:val="left" w:pos="3420"/>
                <w:tab w:val="left" w:pos="8010"/>
              </w:tabs>
              <w:spacing w:after="240" w:afterLines="100"/>
              <w:rPr>
                <w:sz w:val="24"/>
              </w:rPr>
            </w:pPr>
            <w:r>
              <w:tab/>
            </w:r>
            <w:r>
              <w:rPr>
                <w:rFonts w:hint="eastAsia"/>
                <w:sz w:val="24"/>
              </w:rPr>
              <w:t>考评组签名：</w:t>
            </w:r>
            <w:r>
              <w:rPr>
                <w:sz w:val="24"/>
              </w:rPr>
              <w:tab/>
            </w:r>
          </w:p>
          <w:p>
            <w:pPr>
              <w:tabs>
                <w:tab w:val="left" w:pos="4253"/>
                <w:tab w:val="left" w:pos="7730"/>
              </w:tabs>
              <w:jc w:val="right"/>
              <w:rPr>
                <w:rFonts w:eastAsia="楷体"/>
                <w:sz w:val="24"/>
              </w:rPr>
            </w:pPr>
            <w:r>
              <w:rPr>
                <w:rFonts w:hint="eastAsia"/>
                <w:sz w:val="24"/>
              </w:rPr>
              <w:t xml:space="preserve">年 </w:t>
            </w:r>
            <w:r>
              <w:rPr>
                <w:sz w:val="24"/>
              </w:rPr>
              <w:t xml:space="preserve"> </w:t>
            </w:r>
            <w:r>
              <w:rPr>
                <w:rFonts w:hint="eastAsia"/>
                <w:sz w:val="24"/>
              </w:rPr>
              <w:t xml:space="preserve"> </w:t>
            </w:r>
            <w:r>
              <w:rPr>
                <w:sz w:val="24"/>
              </w:rPr>
              <w:t xml:space="preserve"> </w:t>
            </w:r>
            <w:r>
              <w:rPr>
                <w:rFonts w:hint="eastAsia"/>
                <w:sz w:val="24"/>
              </w:rPr>
              <w:t xml:space="preserve">月  </w:t>
            </w:r>
            <w:r>
              <w:rPr>
                <w:sz w:val="24"/>
              </w:rPr>
              <w:t xml:space="preserve"> </w:t>
            </w:r>
            <w:r>
              <w:rPr>
                <w:rFonts w:hint="eastAsia"/>
                <w:sz w:val="24"/>
              </w:rPr>
              <w:t xml:space="preserve">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jc w:val="center"/>
        </w:trPr>
        <w:tc>
          <w:tcPr>
            <w:tcW w:w="5000" w:type="pct"/>
            <w:gridSpan w:val="4"/>
            <w:tcBorders>
              <w:bottom w:val="nil"/>
            </w:tcBorders>
          </w:tcPr>
          <w:p>
            <w:pPr>
              <w:rPr>
                <w:b/>
                <w:sz w:val="24"/>
              </w:rPr>
            </w:pPr>
            <w:r>
              <w:rPr>
                <w:rFonts w:hint="eastAsia"/>
                <w:b/>
                <w:sz w:val="24"/>
              </w:rPr>
              <w:t>3.学院意见：</w:t>
            </w:r>
          </w:p>
          <w:p>
            <w:pPr>
              <w:rPr>
                <w:sz w:val="24"/>
              </w:rPr>
            </w:pPr>
          </w:p>
          <w:p>
            <w:pPr>
              <w:rPr>
                <w:sz w:val="24"/>
              </w:rPr>
            </w:pPr>
          </w:p>
          <w:p>
            <w:pPr>
              <w:rPr>
                <w:sz w:val="24"/>
              </w:rPr>
            </w:pPr>
          </w:p>
          <w:p>
            <w:pPr>
              <w:rPr>
                <w:sz w:val="24"/>
              </w:rPr>
            </w:pPr>
          </w:p>
          <w:p>
            <w:pP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57" w:type="dxa"/>
            <w:left w:w="57" w:type="dxa"/>
            <w:bottom w:w="57" w:type="dxa"/>
            <w:right w:w="57" w:type="dxa"/>
          </w:tblCellMar>
        </w:tblPrEx>
        <w:trPr>
          <w:cantSplit/>
          <w:trHeight w:val="30" w:hRule="atLeast"/>
          <w:jc w:val="center"/>
        </w:trPr>
        <w:tc>
          <w:tcPr>
            <w:tcW w:w="5000" w:type="pct"/>
            <w:gridSpan w:val="4"/>
            <w:tcBorders>
              <w:top w:val="nil"/>
            </w:tcBorders>
          </w:tcPr>
          <w:p>
            <w:pPr>
              <w:tabs>
                <w:tab w:val="left" w:pos="3052"/>
                <w:tab w:val="left" w:pos="7871"/>
              </w:tabs>
              <w:jc w:val="right"/>
              <w:rPr>
                <w:b/>
                <w:sz w:val="24"/>
              </w:rPr>
            </w:pPr>
            <w:r>
              <w:rPr>
                <w:rFonts w:hint="eastAsia"/>
                <w:sz w:val="24"/>
              </w:rPr>
              <w:t xml:space="preserve">负责人签名： </w:t>
            </w:r>
            <w:r>
              <w:rPr>
                <w:sz w:val="24"/>
              </w:rPr>
              <w:t xml:space="preserve">                        </w:t>
            </w:r>
            <w:r>
              <w:rPr>
                <w:rFonts w:hint="eastAsia"/>
                <w:sz w:val="24"/>
              </w:rPr>
              <w:t xml:space="preserve">年 </w:t>
            </w:r>
            <w:r>
              <w:rPr>
                <w:sz w:val="24"/>
              </w:rPr>
              <w:t xml:space="preserve"> </w:t>
            </w:r>
            <w:r>
              <w:rPr>
                <w:rFonts w:hint="eastAsia"/>
                <w:sz w:val="24"/>
              </w:rPr>
              <w:t xml:space="preserve"> </w:t>
            </w:r>
            <w:r>
              <w:rPr>
                <w:sz w:val="24"/>
              </w:rPr>
              <w:t xml:space="preserve"> </w:t>
            </w:r>
            <w:r>
              <w:rPr>
                <w:rFonts w:hint="eastAsia"/>
                <w:sz w:val="24"/>
              </w:rPr>
              <w:t xml:space="preserve">月  </w:t>
            </w:r>
            <w:r>
              <w:rPr>
                <w:sz w:val="24"/>
              </w:rPr>
              <w:t xml:space="preserve"> </w:t>
            </w:r>
            <w:r>
              <w:rPr>
                <w:rFonts w:hint="eastAsia"/>
                <w:sz w:val="24"/>
              </w:rPr>
              <w:t xml:space="preserve"> 日</w:t>
            </w:r>
          </w:p>
        </w:tc>
      </w:tr>
    </w:tbl>
    <w:p>
      <w:pPr>
        <w:spacing w:line="40" w:lineRule="exact"/>
        <w:jc w:val="center"/>
      </w:pPr>
    </w:p>
    <w:sectPr>
      <w:footerReference r:id="rId4" w:type="default"/>
      <w:pgSz w:w="11906" w:h="16838"/>
      <w:pgMar w:top="1134" w:right="1134" w:bottom="1134" w:left="1134"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Wingdings 2">
    <w:panose1 w:val="05020102010507070707"/>
    <w:charset w:val="00"/>
    <w:family w:val="auto"/>
    <w:pitch w:val="default"/>
    <w:sig w:usb0="00000000" w:usb1="00000000" w:usb2="00000000" w:usb3="00000000" w:csb0="80000000"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4</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6F1E3C"/>
    <w:multiLevelType w:val="multilevel"/>
    <w:tmpl w:val="0D6F1E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EE51F4D"/>
    <w:multiLevelType w:val="multilevel"/>
    <w:tmpl w:val="0EE51F4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7B36541"/>
    <w:multiLevelType w:val="multilevel"/>
    <w:tmpl w:val="17B36541"/>
    <w:lvl w:ilvl="0" w:tentative="0">
      <w:start w:val="1"/>
      <w:numFmt w:val="decimal"/>
      <w:lvlText w:val="%1."/>
      <w:lvlJc w:val="left"/>
      <w:pPr>
        <w:ind w:left="2506" w:hanging="420"/>
      </w:pPr>
    </w:lvl>
    <w:lvl w:ilvl="1" w:tentative="0">
      <w:start w:val="1"/>
      <w:numFmt w:val="lowerLetter"/>
      <w:lvlText w:val="%2)"/>
      <w:lvlJc w:val="left"/>
      <w:pPr>
        <w:ind w:left="2926" w:hanging="420"/>
      </w:pPr>
    </w:lvl>
    <w:lvl w:ilvl="2" w:tentative="0">
      <w:start w:val="1"/>
      <w:numFmt w:val="lowerRoman"/>
      <w:lvlText w:val="%3."/>
      <w:lvlJc w:val="right"/>
      <w:pPr>
        <w:ind w:left="3346" w:hanging="420"/>
      </w:pPr>
    </w:lvl>
    <w:lvl w:ilvl="3" w:tentative="0">
      <w:start w:val="1"/>
      <w:numFmt w:val="decimal"/>
      <w:lvlText w:val="%4."/>
      <w:lvlJc w:val="left"/>
      <w:pPr>
        <w:ind w:left="3766" w:hanging="420"/>
      </w:pPr>
    </w:lvl>
    <w:lvl w:ilvl="4" w:tentative="0">
      <w:start w:val="1"/>
      <w:numFmt w:val="lowerLetter"/>
      <w:lvlText w:val="%5)"/>
      <w:lvlJc w:val="left"/>
      <w:pPr>
        <w:ind w:left="4186" w:hanging="420"/>
      </w:pPr>
    </w:lvl>
    <w:lvl w:ilvl="5" w:tentative="0">
      <w:start w:val="1"/>
      <w:numFmt w:val="lowerRoman"/>
      <w:lvlText w:val="%6."/>
      <w:lvlJc w:val="right"/>
      <w:pPr>
        <w:ind w:left="4606" w:hanging="420"/>
      </w:pPr>
    </w:lvl>
    <w:lvl w:ilvl="6" w:tentative="0">
      <w:start w:val="1"/>
      <w:numFmt w:val="decimal"/>
      <w:lvlText w:val="%7."/>
      <w:lvlJc w:val="left"/>
      <w:pPr>
        <w:ind w:left="5026" w:hanging="420"/>
      </w:pPr>
    </w:lvl>
    <w:lvl w:ilvl="7" w:tentative="0">
      <w:start w:val="1"/>
      <w:numFmt w:val="lowerLetter"/>
      <w:lvlText w:val="%8)"/>
      <w:lvlJc w:val="left"/>
      <w:pPr>
        <w:ind w:left="5446" w:hanging="420"/>
      </w:pPr>
    </w:lvl>
    <w:lvl w:ilvl="8" w:tentative="0">
      <w:start w:val="1"/>
      <w:numFmt w:val="lowerRoman"/>
      <w:lvlText w:val="%9."/>
      <w:lvlJc w:val="right"/>
      <w:pPr>
        <w:ind w:left="5866" w:hanging="420"/>
      </w:pPr>
    </w:lvl>
  </w:abstractNum>
  <w:abstractNum w:abstractNumId="3">
    <w:nsid w:val="41B04E70"/>
    <w:multiLevelType w:val="multilevel"/>
    <w:tmpl w:val="41B04E7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0ED5ACE"/>
    <w:multiLevelType w:val="multilevel"/>
    <w:tmpl w:val="50ED5ACE"/>
    <w:lvl w:ilvl="0" w:tentative="0">
      <w:start w:val="1"/>
      <w:numFmt w:val="chineseCountingThousand"/>
      <w:suff w:val="nothing"/>
      <w:lvlText w:val="%1、"/>
      <w:lvlJc w:val="left"/>
      <w:pPr>
        <w:ind w:left="750" w:hanging="750"/>
      </w:pPr>
      <w:rPr>
        <w:rFonts w:hint="default" w:ascii="黑体" w:hAnsi="黑体" w:eastAsia="黑体"/>
        <w:b w:val="0"/>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4293578"/>
    <w:multiLevelType w:val="multilevel"/>
    <w:tmpl w:val="6429357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65C1E58"/>
    <w:multiLevelType w:val="multilevel"/>
    <w:tmpl w:val="665C1E5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6A0B05C8"/>
    <w:multiLevelType w:val="singleLevel"/>
    <w:tmpl w:val="6A0B05C8"/>
    <w:lvl w:ilvl="0" w:tentative="0">
      <w:start w:val="2"/>
      <w:numFmt w:val="decimal"/>
      <w:suff w:val="nothing"/>
      <w:lvlText w:val="（%1）"/>
      <w:lvlJc w:val="left"/>
    </w:lvl>
  </w:abstractNum>
  <w:num w:numId="1">
    <w:abstractNumId w:val="4"/>
  </w:num>
  <w:num w:numId="2">
    <w:abstractNumId w:val="5"/>
  </w:num>
  <w:num w:numId="3">
    <w:abstractNumId w:val="2"/>
  </w:num>
  <w:num w:numId="4">
    <w:abstractNumId w:val="7"/>
  </w:num>
  <w:num w:numId="5">
    <w:abstractNumId w:val="6"/>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VkYjAyY2UyOTM3ZjQ5MTAxY2U5MjZlYmE3MDUzNjIifQ=="/>
  </w:docVars>
  <w:rsids>
    <w:rsidRoot w:val="0061785C"/>
    <w:rsid w:val="000131C1"/>
    <w:rsid w:val="000267D9"/>
    <w:rsid w:val="000303B0"/>
    <w:rsid w:val="0003134E"/>
    <w:rsid w:val="00051BB3"/>
    <w:rsid w:val="00056DDE"/>
    <w:rsid w:val="000660E3"/>
    <w:rsid w:val="00072637"/>
    <w:rsid w:val="00074E6D"/>
    <w:rsid w:val="0007655E"/>
    <w:rsid w:val="000800A0"/>
    <w:rsid w:val="000A4F7E"/>
    <w:rsid w:val="000C2ECA"/>
    <w:rsid w:val="000D0530"/>
    <w:rsid w:val="000E50C0"/>
    <w:rsid w:val="000F24A4"/>
    <w:rsid w:val="000F2CF2"/>
    <w:rsid w:val="000F62BA"/>
    <w:rsid w:val="00125C2C"/>
    <w:rsid w:val="00134BFD"/>
    <w:rsid w:val="00140748"/>
    <w:rsid w:val="00160451"/>
    <w:rsid w:val="00164AB5"/>
    <w:rsid w:val="0016675F"/>
    <w:rsid w:val="00172077"/>
    <w:rsid w:val="0017473F"/>
    <w:rsid w:val="001952D2"/>
    <w:rsid w:val="001A5DA3"/>
    <w:rsid w:val="001C09F5"/>
    <w:rsid w:val="001C0EBF"/>
    <w:rsid w:val="001F2124"/>
    <w:rsid w:val="001F513B"/>
    <w:rsid w:val="001F77F1"/>
    <w:rsid w:val="00232B82"/>
    <w:rsid w:val="00243E5D"/>
    <w:rsid w:val="00245D8F"/>
    <w:rsid w:val="00263ADD"/>
    <w:rsid w:val="00267595"/>
    <w:rsid w:val="002805A9"/>
    <w:rsid w:val="002B6B2A"/>
    <w:rsid w:val="002C6ADC"/>
    <w:rsid w:val="002F4C63"/>
    <w:rsid w:val="003012C0"/>
    <w:rsid w:val="00301859"/>
    <w:rsid w:val="00302A0E"/>
    <w:rsid w:val="00316553"/>
    <w:rsid w:val="00336490"/>
    <w:rsid w:val="003416B4"/>
    <w:rsid w:val="00343263"/>
    <w:rsid w:val="00351C2F"/>
    <w:rsid w:val="00363A94"/>
    <w:rsid w:val="00363BC2"/>
    <w:rsid w:val="00364223"/>
    <w:rsid w:val="003762EA"/>
    <w:rsid w:val="003A0553"/>
    <w:rsid w:val="003F1499"/>
    <w:rsid w:val="003F57C5"/>
    <w:rsid w:val="004130D9"/>
    <w:rsid w:val="004161E6"/>
    <w:rsid w:val="00417390"/>
    <w:rsid w:val="00431612"/>
    <w:rsid w:val="00436096"/>
    <w:rsid w:val="00446549"/>
    <w:rsid w:val="00455D44"/>
    <w:rsid w:val="0047216F"/>
    <w:rsid w:val="0047487B"/>
    <w:rsid w:val="00481AAA"/>
    <w:rsid w:val="00490E65"/>
    <w:rsid w:val="004B2BFD"/>
    <w:rsid w:val="004B32C1"/>
    <w:rsid w:val="004C1483"/>
    <w:rsid w:val="004D02FC"/>
    <w:rsid w:val="004D0D73"/>
    <w:rsid w:val="004D487B"/>
    <w:rsid w:val="004E7C1C"/>
    <w:rsid w:val="004F2454"/>
    <w:rsid w:val="004F45D7"/>
    <w:rsid w:val="004F737F"/>
    <w:rsid w:val="004F7C42"/>
    <w:rsid w:val="005160DE"/>
    <w:rsid w:val="00520FFC"/>
    <w:rsid w:val="005354EE"/>
    <w:rsid w:val="00536AA8"/>
    <w:rsid w:val="00542ABD"/>
    <w:rsid w:val="0056095C"/>
    <w:rsid w:val="00562947"/>
    <w:rsid w:val="00562FAA"/>
    <w:rsid w:val="00573E33"/>
    <w:rsid w:val="00582AB2"/>
    <w:rsid w:val="005B71A4"/>
    <w:rsid w:val="005D4938"/>
    <w:rsid w:val="006056A8"/>
    <w:rsid w:val="00616B1B"/>
    <w:rsid w:val="0061785C"/>
    <w:rsid w:val="00626BBF"/>
    <w:rsid w:val="00631409"/>
    <w:rsid w:val="00631781"/>
    <w:rsid w:val="00636593"/>
    <w:rsid w:val="00650AF5"/>
    <w:rsid w:val="006537FF"/>
    <w:rsid w:val="00656EB9"/>
    <w:rsid w:val="00660F89"/>
    <w:rsid w:val="00662C6C"/>
    <w:rsid w:val="0067028B"/>
    <w:rsid w:val="00692058"/>
    <w:rsid w:val="006A1642"/>
    <w:rsid w:val="006A3E1B"/>
    <w:rsid w:val="006B1592"/>
    <w:rsid w:val="006B2BB3"/>
    <w:rsid w:val="006D21F3"/>
    <w:rsid w:val="006E7145"/>
    <w:rsid w:val="006F44F1"/>
    <w:rsid w:val="00703787"/>
    <w:rsid w:val="007200AB"/>
    <w:rsid w:val="0072239D"/>
    <w:rsid w:val="00731A94"/>
    <w:rsid w:val="007419F7"/>
    <w:rsid w:val="007438C4"/>
    <w:rsid w:val="00744EF1"/>
    <w:rsid w:val="00756604"/>
    <w:rsid w:val="00756F05"/>
    <w:rsid w:val="00757990"/>
    <w:rsid w:val="0078740E"/>
    <w:rsid w:val="00791A82"/>
    <w:rsid w:val="007A70B6"/>
    <w:rsid w:val="007C4021"/>
    <w:rsid w:val="007D4BE6"/>
    <w:rsid w:val="007D57B7"/>
    <w:rsid w:val="007D630B"/>
    <w:rsid w:val="007F16B3"/>
    <w:rsid w:val="00806457"/>
    <w:rsid w:val="00852884"/>
    <w:rsid w:val="008922DC"/>
    <w:rsid w:val="008A35EB"/>
    <w:rsid w:val="008B01C0"/>
    <w:rsid w:val="008B3719"/>
    <w:rsid w:val="008B6756"/>
    <w:rsid w:val="008C4843"/>
    <w:rsid w:val="008C62AD"/>
    <w:rsid w:val="008D150D"/>
    <w:rsid w:val="008D5BB4"/>
    <w:rsid w:val="008E4F17"/>
    <w:rsid w:val="008E71D8"/>
    <w:rsid w:val="008E7216"/>
    <w:rsid w:val="0091733A"/>
    <w:rsid w:val="009273EA"/>
    <w:rsid w:val="00931508"/>
    <w:rsid w:val="009414B1"/>
    <w:rsid w:val="00943BF2"/>
    <w:rsid w:val="009470DE"/>
    <w:rsid w:val="0098039C"/>
    <w:rsid w:val="00990DDF"/>
    <w:rsid w:val="009A0BE8"/>
    <w:rsid w:val="009D3865"/>
    <w:rsid w:val="009E14DE"/>
    <w:rsid w:val="009E18E7"/>
    <w:rsid w:val="00A07A3A"/>
    <w:rsid w:val="00A12151"/>
    <w:rsid w:val="00A54EA6"/>
    <w:rsid w:val="00A61A12"/>
    <w:rsid w:val="00A638F9"/>
    <w:rsid w:val="00A71230"/>
    <w:rsid w:val="00A74692"/>
    <w:rsid w:val="00A8237B"/>
    <w:rsid w:val="00A9360F"/>
    <w:rsid w:val="00A97CCF"/>
    <w:rsid w:val="00AA22E5"/>
    <w:rsid w:val="00AA406A"/>
    <w:rsid w:val="00AE136E"/>
    <w:rsid w:val="00B0023B"/>
    <w:rsid w:val="00B0220D"/>
    <w:rsid w:val="00B03AF4"/>
    <w:rsid w:val="00B04BDF"/>
    <w:rsid w:val="00B1760C"/>
    <w:rsid w:val="00B208E8"/>
    <w:rsid w:val="00B3136A"/>
    <w:rsid w:val="00B33AC3"/>
    <w:rsid w:val="00B358B5"/>
    <w:rsid w:val="00B60A66"/>
    <w:rsid w:val="00B86241"/>
    <w:rsid w:val="00B95BF0"/>
    <w:rsid w:val="00BA0060"/>
    <w:rsid w:val="00BC5D2E"/>
    <w:rsid w:val="00BC63D4"/>
    <w:rsid w:val="00BD4943"/>
    <w:rsid w:val="00BD617A"/>
    <w:rsid w:val="00BE764B"/>
    <w:rsid w:val="00C1290A"/>
    <w:rsid w:val="00C225E8"/>
    <w:rsid w:val="00C34DB3"/>
    <w:rsid w:val="00C37F5D"/>
    <w:rsid w:val="00C4152A"/>
    <w:rsid w:val="00C41ED3"/>
    <w:rsid w:val="00C47D27"/>
    <w:rsid w:val="00C5583B"/>
    <w:rsid w:val="00C62224"/>
    <w:rsid w:val="00C66128"/>
    <w:rsid w:val="00C80BC9"/>
    <w:rsid w:val="00C80BE0"/>
    <w:rsid w:val="00C813C1"/>
    <w:rsid w:val="00C92241"/>
    <w:rsid w:val="00CA3210"/>
    <w:rsid w:val="00CB54D0"/>
    <w:rsid w:val="00CC5CCE"/>
    <w:rsid w:val="00CD176D"/>
    <w:rsid w:val="00CD355D"/>
    <w:rsid w:val="00CD50A1"/>
    <w:rsid w:val="00D00DC5"/>
    <w:rsid w:val="00D035FD"/>
    <w:rsid w:val="00D37238"/>
    <w:rsid w:val="00D557DF"/>
    <w:rsid w:val="00D75508"/>
    <w:rsid w:val="00D75AA9"/>
    <w:rsid w:val="00D77239"/>
    <w:rsid w:val="00D864E5"/>
    <w:rsid w:val="00D86CA6"/>
    <w:rsid w:val="00DA0CAA"/>
    <w:rsid w:val="00DA22C9"/>
    <w:rsid w:val="00DC14C7"/>
    <w:rsid w:val="00DC6140"/>
    <w:rsid w:val="00DC6C66"/>
    <w:rsid w:val="00DD3549"/>
    <w:rsid w:val="00DD7D24"/>
    <w:rsid w:val="00DE4644"/>
    <w:rsid w:val="00DF735E"/>
    <w:rsid w:val="00E577A8"/>
    <w:rsid w:val="00E84DAA"/>
    <w:rsid w:val="00E94F0F"/>
    <w:rsid w:val="00EC2943"/>
    <w:rsid w:val="00EC48EC"/>
    <w:rsid w:val="00EC7B34"/>
    <w:rsid w:val="00F15C3B"/>
    <w:rsid w:val="00F420C7"/>
    <w:rsid w:val="00F511E7"/>
    <w:rsid w:val="00F55C7A"/>
    <w:rsid w:val="00F70EF3"/>
    <w:rsid w:val="00F76EBE"/>
    <w:rsid w:val="00F816FC"/>
    <w:rsid w:val="00F9202F"/>
    <w:rsid w:val="00FD2272"/>
    <w:rsid w:val="00FD7060"/>
    <w:rsid w:val="00FD7C2F"/>
    <w:rsid w:val="00FE3128"/>
    <w:rsid w:val="04C457C6"/>
    <w:rsid w:val="07366515"/>
    <w:rsid w:val="0D0E6B56"/>
    <w:rsid w:val="0EF6289E"/>
    <w:rsid w:val="19D81935"/>
    <w:rsid w:val="1F9C084C"/>
    <w:rsid w:val="21192D2D"/>
    <w:rsid w:val="2C022DBF"/>
    <w:rsid w:val="2D635ACD"/>
    <w:rsid w:val="37FB2D22"/>
    <w:rsid w:val="3FBE0E94"/>
    <w:rsid w:val="44367154"/>
    <w:rsid w:val="485623D8"/>
    <w:rsid w:val="4DC955A9"/>
    <w:rsid w:val="52ED30CF"/>
    <w:rsid w:val="60854484"/>
    <w:rsid w:val="63584C12"/>
    <w:rsid w:val="6A16187A"/>
    <w:rsid w:val="7D417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qFormat/>
    <w:uiPriority w:val="99"/>
    <w:pPr>
      <w:tabs>
        <w:tab w:val="center" w:pos="4153"/>
        <w:tab w:val="right" w:pos="8306"/>
      </w:tabs>
      <w:snapToGrid w:val="0"/>
      <w:jc w:val="left"/>
    </w:pPr>
    <w:rPr>
      <w:sz w:val="18"/>
      <w:szCs w:val="18"/>
    </w:rPr>
  </w:style>
  <w:style w:type="paragraph" w:styleId="3">
    <w:name w:val="header"/>
    <w:basedOn w:val="1"/>
    <w:link w:val="6"/>
    <w:qFormat/>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字符"/>
    <w:link w:val="3"/>
    <w:qFormat/>
    <w:uiPriority w:val="0"/>
    <w:rPr>
      <w:kern w:val="2"/>
      <w:sz w:val="18"/>
      <w:szCs w:val="18"/>
    </w:rPr>
  </w:style>
  <w:style w:type="character" w:customStyle="1" w:styleId="7">
    <w:name w:val="页脚 字符"/>
    <w:link w:val="2"/>
    <w:qFormat/>
    <w:uiPriority w:val="99"/>
    <w:rPr>
      <w:kern w:val="2"/>
      <w:sz w:val="18"/>
      <w:szCs w:val="18"/>
    </w:rPr>
  </w:style>
  <w:style w:type="paragraph" w:styleId="8">
    <w:name w:val="List Paragraph"/>
    <w:basedOn w:val="1"/>
    <w:qFormat/>
    <w:uiPriority w:val="34"/>
    <w:pPr>
      <w:ind w:firstLine="420" w:firstLineChars="200"/>
    </w:pPr>
    <w:rPr>
      <w:rFonts w:eastAsia="华文仿宋"/>
      <w:sz w:val="24"/>
    </w:rPr>
  </w:style>
  <w:style w:type="paragraph" w:customStyle="1" w:styleId="9">
    <w:name w:val="图片"/>
    <w:next w:val="10"/>
    <w:qFormat/>
    <w:uiPriority w:val="0"/>
    <w:pPr>
      <w:keepNext/>
      <w:adjustRightInd w:val="0"/>
      <w:spacing w:before="120" w:line="240" w:lineRule="auto"/>
      <w:jc w:val="center"/>
    </w:pPr>
    <w:rPr>
      <w:rFonts w:ascii="Times New Roman" w:hAnsi="Times New Roman" w:eastAsia="宋体" w:cstheme="minorBidi"/>
      <w:kern w:val="2"/>
      <w:sz w:val="21"/>
      <w:szCs w:val="24"/>
      <w:lang w:val="en-US" w:eastAsia="zh-CN" w:bidi="ar-SA"/>
    </w:rPr>
  </w:style>
  <w:style w:type="paragraph" w:customStyle="1" w:styleId="10">
    <w:name w:val="图题"/>
    <w:next w:val="1"/>
    <w:qFormat/>
    <w:uiPriority w:val="0"/>
    <w:pPr>
      <w:keepLines/>
      <w:spacing w:before="120" w:after="240" w:line="400" w:lineRule="exact"/>
      <w:jc w:val="center"/>
    </w:pPr>
    <w:rPr>
      <w:rFonts w:ascii="Times New Roman" w:hAnsi="Times New Roman" w:eastAsia="宋体" w:cstheme="minorBidi"/>
      <w:kern w:val="2"/>
      <w:sz w:val="21"/>
      <w:szCs w:val="21"/>
      <w:lang w:val="en-US" w:eastAsia="zh-CN" w:bidi="ar-SA"/>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1.xml"/><Relationship Id="rId94" Type="http://schemas.openxmlformats.org/officeDocument/2006/relationships/numbering" Target="numbering.xml"/><Relationship Id="rId93" Type="http://schemas.openxmlformats.org/officeDocument/2006/relationships/image" Target="media/image51.png"/><Relationship Id="rId92" Type="http://schemas.openxmlformats.org/officeDocument/2006/relationships/image" Target="media/image50.png"/><Relationship Id="rId91" Type="http://schemas.openxmlformats.org/officeDocument/2006/relationships/image" Target="media/image1.tiff"/><Relationship Id="rId90" Type="http://schemas.openxmlformats.org/officeDocument/2006/relationships/image" Target="media/image49.jpeg"/><Relationship Id="rId9" Type="http://schemas.openxmlformats.org/officeDocument/2006/relationships/image" Target="media/image2.emf"/><Relationship Id="rId89" Type="http://schemas.openxmlformats.org/officeDocument/2006/relationships/image" Target="media/image48.jpeg"/><Relationship Id="rId88" Type="http://schemas.openxmlformats.org/officeDocument/2006/relationships/image" Target="media/image47.jpe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wmf"/><Relationship Id="rId83" Type="http://schemas.openxmlformats.org/officeDocument/2006/relationships/oleObject" Target="embeddings/oleObject36.bin"/><Relationship Id="rId82" Type="http://schemas.openxmlformats.org/officeDocument/2006/relationships/image" Target="media/image42.wmf"/><Relationship Id="rId81" Type="http://schemas.openxmlformats.org/officeDocument/2006/relationships/oleObject" Target="embeddings/oleObject35.bin"/><Relationship Id="rId80" Type="http://schemas.openxmlformats.org/officeDocument/2006/relationships/image" Target="media/image41.wmf"/><Relationship Id="rId8" Type="http://schemas.openxmlformats.org/officeDocument/2006/relationships/oleObject" Target="embeddings/oleObject2.bin"/><Relationship Id="rId79" Type="http://schemas.openxmlformats.org/officeDocument/2006/relationships/oleObject" Target="embeddings/oleObject34.bin"/><Relationship Id="rId78" Type="http://schemas.openxmlformats.org/officeDocument/2006/relationships/image" Target="media/image40.wmf"/><Relationship Id="rId77" Type="http://schemas.openxmlformats.org/officeDocument/2006/relationships/oleObject" Target="embeddings/oleObject33.bin"/><Relationship Id="rId76" Type="http://schemas.openxmlformats.org/officeDocument/2006/relationships/image" Target="media/image39.wmf"/><Relationship Id="rId75" Type="http://schemas.openxmlformats.org/officeDocument/2006/relationships/oleObject" Target="embeddings/oleObject32.bin"/><Relationship Id="rId74" Type="http://schemas.openxmlformats.org/officeDocument/2006/relationships/image" Target="media/image38.wmf"/><Relationship Id="rId73" Type="http://schemas.openxmlformats.org/officeDocument/2006/relationships/oleObject" Target="embeddings/oleObject31.bin"/><Relationship Id="rId72" Type="http://schemas.openxmlformats.org/officeDocument/2006/relationships/image" Target="media/image37.wmf"/><Relationship Id="rId71" Type="http://schemas.openxmlformats.org/officeDocument/2006/relationships/oleObject" Target="embeddings/oleObject30.bin"/><Relationship Id="rId70" Type="http://schemas.openxmlformats.org/officeDocument/2006/relationships/image" Target="media/image36.wmf"/><Relationship Id="rId7" Type="http://schemas.openxmlformats.org/officeDocument/2006/relationships/image" Target="media/image1.emf"/><Relationship Id="rId69" Type="http://schemas.openxmlformats.org/officeDocument/2006/relationships/oleObject" Target="embeddings/oleObject29.bin"/><Relationship Id="rId68" Type="http://schemas.openxmlformats.org/officeDocument/2006/relationships/image" Target="media/image35.wmf"/><Relationship Id="rId67" Type="http://schemas.openxmlformats.org/officeDocument/2006/relationships/oleObject" Target="embeddings/oleObject28.bin"/><Relationship Id="rId66" Type="http://schemas.openxmlformats.org/officeDocument/2006/relationships/image" Target="media/image34.wmf"/><Relationship Id="rId65" Type="http://schemas.openxmlformats.org/officeDocument/2006/relationships/oleObject" Target="embeddings/oleObject27.bin"/><Relationship Id="rId64" Type="http://schemas.openxmlformats.org/officeDocument/2006/relationships/image" Target="media/image33.wmf"/><Relationship Id="rId63" Type="http://schemas.openxmlformats.org/officeDocument/2006/relationships/oleObject" Target="embeddings/oleObject26.bin"/><Relationship Id="rId62" Type="http://schemas.openxmlformats.org/officeDocument/2006/relationships/image" Target="media/image32.wmf"/><Relationship Id="rId61" Type="http://schemas.openxmlformats.org/officeDocument/2006/relationships/oleObject" Target="embeddings/oleObject25.bin"/><Relationship Id="rId60" Type="http://schemas.openxmlformats.org/officeDocument/2006/relationships/image" Target="media/image31.wmf"/><Relationship Id="rId6" Type="http://schemas.openxmlformats.org/officeDocument/2006/relationships/oleObject" Target="embeddings/oleObject1.bin"/><Relationship Id="rId59" Type="http://schemas.openxmlformats.org/officeDocument/2006/relationships/oleObject" Target="embeddings/oleObject24.bin"/><Relationship Id="rId58" Type="http://schemas.openxmlformats.org/officeDocument/2006/relationships/image" Target="media/image30.wmf"/><Relationship Id="rId57" Type="http://schemas.openxmlformats.org/officeDocument/2006/relationships/oleObject" Target="embeddings/oleObject23.bin"/><Relationship Id="rId56" Type="http://schemas.openxmlformats.org/officeDocument/2006/relationships/image" Target="media/image29.wmf"/><Relationship Id="rId55" Type="http://schemas.openxmlformats.org/officeDocument/2006/relationships/oleObject" Target="embeddings/oleObject22.bin"/><Relationship Id="rId54" Type="http://schemas.openxmlformats.org/officeDocument/2006/relationships/image" Target="media/image28.wmf"/><Relationship Id="rId53" Type="http://schemas.openxmlformats.org/officeDocument/2006/relationships/oleObject" Target="embeddings/oleObject21.bin"/><Relationship Id="rId52" Type="http://schemas.openxmlformats.org/officeDocument/2006/relationships/image" Target="media/image27.wmf"/><Relationship Id="rId51" Type="http://schemas.openxmlformats.org/officeDocument/2006/relationships/oleObject" Target="embeddings/oleObject20.bin"/><Relationship Id="rId50" Type="http://schemas.openxmlformats.org/officeDocument/2006/relationships/image" Target="media/image26.wmf"/><Relationship Id="rId5" Type="http://schemas.openxmlformats.org/officeDocument/2006/relationships/theme" Target="theme/theme1.xml"/><Relationship Id="rId49" Type="http://schemas.openxmlformats.org/officeDocument/2006/relationships/oleObject" Target="embeddings/oleObject19.bin"/><Relationship Id="rId48" Type="http://schemas.openxmlformats.org/officeDocument/2006/relationships/image" Target="media/image25.wmf"/><Relationship Id="rId47" Type="http://schemas.openxmlformats.org/officeDocument/2006/relationships/oleObject" Target="embeddings/oleObject18.bin"/><Relationship Id="rId46" Type="http://schemas.openxmlformats.org/officeDocument/2006/relationships/image" Target="media/image24.wmf"/><Relationship Id="rId45" Type="http://schemas.openxmlformats.org/officeDocument/2006/relationships/oleObject" Target="embeddings/oleObject17.bin"/><Relationship Id="rId44" Type="http://schemas.openxmlformats.org/officeDocument/2006/relationships/image" Target="media/image23.wmf"/><Relationship Id="rId43" Type="http://schemas.openxmlformats.org/officeDocument/2006/relationships/oleObject" Target="embeddings/oleObject16.bin"/><Relationship Id="rId42" Type="http://schemas.openxmlformats.org/officeDocument/2006/relationships/image" Target="media/image22.wmf"/><Relationship Id="rId41" Type="http://schemas.openxmlformats.org/officeDocument/2006/relationships/oleObject" Target="embeddings/oleObject15.bin"/><Relationship Id="rId40" Type="http://schemas.openxmlformats.org/officeDocument/2006/relationships/image" Target="media/image21.wmf"/><Relationship Id="rId4" Type="http://schemas.openxmlformats.org/officeDocument/2006/relationships/footer" Target="footer2.xml"/><Relationship Id="rId39" Type="http://schemas.openxmlformats.org/officeDocument/2006/relationships/oleObject" Target="embeddings/oleObject14.bin"/><Relationship Id="rId38" Type="http://schemas.openxmlformats.org/officeDocument/2006/relationships/image" Target="media/image20.wmf"/><Relationship Id="rId37" Type="http://schemas.openxmlformats.org/officeDocument/2006/relationships/oleObject" Target="embeddings/oleObject13.bin"/><Relationship Id="rId36" Type="http://schemas.openxmlformats.org/officeDocument/2006/relationships/image" Target="media/image19.wmf"/><Relationship Id="rId35" Type="http://schemas.openxmlformats.org/officeDocument/2006/relationships/oleObject" Target="embeddings/oleObject12.bin"/><Relationship Id="rId34" Type="http://schemas.openxmlformats.org/officeDocument/2006/relationships/image" Target="media/image18.emf"/><Relationship Id="rId33" Type="http://schemas.openxmlformats.org/officeDocument/2006/relationships/oleObject" Target="embeddings/oleObject11.bin"/><Relationship Id="rId32" Type="http://schemas.openxmlformats.org/officeDocument/2006/relationships/image" Target="media/image17.emf"/><Relationship Id="rId31" Type="http://schemas.openxmlformats.org/officeDocument/2006/relationships/oleObject" Target="embeddings/oleObject10.bin"/><Relationship Id="rId30" Type="http://schemas.openxmlformats.org/officeDocument/2006/relationships/image" Target="media/image16.emf"/><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wmf"/><Relationship Id="rId27" Type="http://schemas.openxmlformats.org/officeDocument/2006/relationships/oleObject" Target="embeddings/oleObject9.bin"/><Relationship Id="rId26" Type="http://schemas.openxmlformats.org/officeDocument/2006/relationships/image" Target="media/image13.wmf"/><Relationship Id="rId25" Type="http://schemas.openxmlformats.org/officeDocument/2006/relationships/oleObject" Target="embeddings/oleObject8.bin"/><Relationship Id="rId24" Type="http://schemas.openxmlformats.org/officeDocument/2006/relationships/image" Target="media/image12.wmf"/><Relationship Id="rId23" Type="http://schemas.openxmlformats.org/officeDocument/2006/relationships/oleObject" Target="embeddings/oleObject7.bin"/><Relationship Id="rId22" Type="http://schemas.openxmlformats.org/officeDocument/2006/relationships/image" Target="media/image11.wmf"/><Relationship Id="rId21" Type="http://schemas.openxmlformats.org/officeDocument/2006/relationships/oleObject" Target="embeddings/oleObject6.bin"/><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emf"/><Relationship Id="rId17" Type="http://schemas.openxmlformats.org/officeDocument/2006/relationships/image" Target="media/image7.emf"/><Relationship Id="rId16" Type="http://schemas.openxmlformats.org/officeDocument/2006/relationships/image" Target="media/image6.emf"/><Relationship Id="rId15" Type="http://schemas.openxmlformats.org/officeDocument/2006/relationships/image" Target="media/image5.emf"/><Relationship Id="rId14" Type="http://schemas.openxmlformats.org/officeDocument/2006/relationships/oleObject" Target="embeddings/oleObject5.bin"/><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A4452-EC8E-435A-993D-3FEE738CE7DF}">
  <ds:schemaRefs/>
</ds:datastoreItem>
</file>

<file path=docProps/app.xml><?xml version="1.0" encoding="utf-8"?>
<Properties xmlns="http://schemas.openxmlformats.org/officeDocument/2006/extended-properties" xmlns:vt="http://schemas.openxmlformats.org/officeDocument/2006/docPropsVTypes">
  <Template>Normal</Template>
  <Company>uestc</Company>
  <Pages>12</Pages>
  <Words>6470</Words>
  <Characters>6838</Characters>
  <Lines>11</Lines>
  <Paragraphs>3</Paragraphs>
  <TotalTime>1</TotalTime>
  <ScaleCrop>false</ScaleCrop>
  <LinksUpToDate>false</LinksUpToDate>
  <CharactersWithSpaces>7273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2018-07-16T03:02:00Z</dcterms:created>
  <dc:creator>pmx</dc:creator>
  <cp:lastModifiedBy>28944</cp:lastModifiedBy>
  <cp:lastPrinted>2022-07-11T01:49:21Z</cp:lastPrinted>
  <dcterms:modified xsi:type="dcterms:W3CDTF">2022-07-11T01:51:57Z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6BD4128B6FBF41E8A3D15AC9DC3712DD</vt:lpwstr>
  </property>
</Properties>
</file>