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57AB9">
      <w:pPr>
        <w:spacing w:before="360" w:after="20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4E79"/>
          <w:sz w:val="48"/>
        </w:rPr>
        <w:t>农田实地考察汇报</w:t>
      </w:r>
    </w:p>
    <w:p w14:paraId="3347763A">
      <w:pPr>
        <w:spacing w:before="0" w:after="160" w:line="288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4A5568"/>
          <w:sz w:val="25"/>
        </w:rPr>
        <w:t>池塘水质监测、现场设备与无人机机场布设建议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917"/>
      </w:tblGrid>
      <w:tr w14:paraId="5091D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F47FA">
            <w:pPr>
              <w:spacing w:before="0" w:after="0" w:line="288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考察目标</w:t>
            </w:r>
          </w:p>
        </w:tc>
        <w:tc>
          <w:tcPr>
            <w:tcW w:w="6917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11273">
            <w:pPr>
              <w:spacing w:before="0" w:after="0" w:line="312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0"/>
              </w:rPr>
              <w:t>确认池塘水质传感器选型，检查杀虫灯/闸门/监控安装使用情况，并评估无人机机场布设位置。</w:t>
            </w:r>
          </w:p>
        </w:tc>
      </w:tr>
      <w:tr w14:paraId="474A6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E56A5">
            <w:pPr>
              <w:spacing w:before="0" w:after="0" w:line="288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核心结论</w:t>
            </w:r>
          </w:p>
        </w:tc>
        <w:tc>
          <w:tcPr>
            <w:tcW w:w="6917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4EF3C">
            <w:pPr>
              <w:spacing w:before="0" w:after="0" w:line="312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0"/>
              </w:rPr>
              <w:t>水位变化较大，池塘推荐优先采用浮标式水质传感器；杀虫灯、闸门、监控初期安装已基本完成并可正常使用；无人机机场建议优先布设在谷仓位置。</w:t>
            </w:r>
          </w:p>
        </w:tc>
      </w:tr>
      <w:tr w14:paraId="0CDE6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3C010">
            <w:pPr>
              <w:spacing w:before="0" w:after="0" w:line="288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现场判断</w:t>
            </w:r>
          </w:p>
        </w:tc>
        <w:tc>
          <w:tcPr>
            <w:tcW w:w="6917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7A792">
            <w:pPr>
              <w:spacing w:before="0" w:after="0" w:line="312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0"/>
              </w:rPr>
              <w:t>池塘多为单侧具备岸边安装条件，但稳定性和适应性不足；现场已具备设备运行基础；谷仓位置兼顾主要地块覆盖效率。</w:t>
            </w:r>
          </w:p>
        </w:tc>
      </w:tr>
      <w:tr w14:paraId="75CF14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6265B">
            <w:pPr>
              <w:spacing w:before="0" w:after="0" w:line="288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建议动作</w:t>
            </w:r>
          </w:p>
        </w:tc>
        <w:tc>
          <w:tcPr>
            <w:tcW w:w="6917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3BC20">
            <w:pPr>
              <w:spacing w:before="0" w:after="0" w:line="312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0"/>
              </w:rPr>
              <w:t>先按浮标式水质监测方案推进池塘监测设计，同时继续跟进无人机机场谷仓点位的布设条件与后续落地安排。</w:t>
            </w:r>
          </w:p>
        </w:tc>
      </w:tr>
    </w:tbl>
    <w:p w14:paraId="2E4930BF">
      <w:pPr>
        <w:spacing w:before="0" w:after="40" w:line="324" w:lineRule="auto"/>
        <w:rPr>
          <w:rFonts w:hint="eastAsia" w:ascii="微软雅黑" w:hAnsi="微软雅黑" w:eastAsia="微软雅黑" w:cs="微软雅黑"/>
        </w:rPr>
      </w:pPr>
    </w:p>
    <w:p w14:paraId="0AE270AC">
      <w:pPr>
        <w:spacing w:before="0" w:after="60" w:line="324" w:lineRule="auto"/>
        <w:jc w:val="righ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B6573"/>
          <w:sz w:val="21"/>
        </w:rPr>
        <w:t>汇报人：赵汛</w:t>
      </w:r>
    </w:p>
    <w:p w14:paraId="4DA9823F">
      <w:pPr>
        <w:spacing w:before="0" w:after="0" w:line="324" w:lineRule="auto"/>
        <w:jc w:val="righ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B6573"/>
          <w:sz w:val="21"/>
        </w:rPr>
        <w:t>时间：2026年4月10日</w:t>
      </w:r>
    </w:p>
    <w:p w14:paraId="5B26FD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1E85A6D3">
      <w:pPr>
        <w:pStyle w:val="3"/>
        <w:keepNext/>
        <w:spacing w:before="200" w:after="16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4E79"/>
          <w:sz w:val="30"/>
        </w:rPr>
        <w:t>一、现场考察概况</w:t>
      </w:r>
    </w:p>
    <w:p w14:paraId="015A0D52">
      <w:pPr>
        <w:spacing w:before="0" w:after="1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22"/>
        </w:rPr>
        <w:t>本次实地考察围绕池塘水质监测、水利及安防设备现场状态、无人机机场布设条件三个方面展开。结合现场观察和现有设备安装情况，已形成阶段性判断，可为下一步采购、布设和方案确认提供依据。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27E56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6" w:type="dxa"/>
            <w:shd w:val="clear" w:color="auto" w:fill="EEF5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28FE28">
            <w:pPr>
              <w:spacing w:before="0" w:after="4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1"/>
              </w:rPr>
              <w:t>阶段性结论：</w:t>
            </w:r>
          </w:p>
          <w:p w14:paraId="6F8BE2D7">
            <w:pPr>
              <w:pStyle w:val="16"/>
              <w:spacing w:before="0" w:after="4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1）池塘水位变化较大，建议优先采用浮标式水质传感器。</w:t>
            </w:r>
          </w:p>
          <w:p w14:paraId="6BC9AD1F">
            <w:pPr>
              <w:pStyle w:val="16"/>
              <w:spacing w:before="0" w:after="4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2）杀虫灯、闸门与监控初期安装基本完成，当前均可正常使用。</w:t>
            </w:r>
          </w:p>
          <w:p w14:paraId="7214DAFE">
            <w:pPr>
              <w:pStyle w:val="16"/>
              <w:spacing w:before="0" w:after="4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3）无人机机场建议优先放置在谷仓位置，便于覆盖面积更大的第二、第三块地。</w:t>
            </w:r>
          </w:p>
        </w:tc>
      </w:tr>
    </w:tbl>
    <w:p w14:paraId="582B7D68">
      <w:pPr>
        <w:pStyle w:val="3"/>
        <w:keepNext/>
        <w:spacing w:before="200" w:after="16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4E79"/>
          <w:sz w:val="30"/>
        </w:rPr>
        <w:t>二、池塘现场与水质传感器选型判断</w:t>
      </w:r>
    </w:p>
    <w:p w14:paraId="1536C56A">
      <w:pPr>
        <w:spacing w:before="0" w:after="12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22"/>
        </w:rPr>
        <w:t>现场考察显示，池塘基本上每个池塘都只有一侧较适合做岸边安装。虽然岸边具备一定安装条件，但池塘水位变化相对明显，若采用普通岸边固定安装，传感器在不同水位阶段的适应性会受到影响。综合现场情况，建议优先采用浮标式水质传感器方案。</w:t>
      </w:r>
    </w:p>
    <w:p w14:paraId="323EC04A">
      <w:pPr>
        <w:pStyle w:val="16"/>
        <w:spacing w:before="0" w:after="80" w:line="31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每个池塘通常仅有一侧适合岸边安装，点位选择受限。</w:t>
      </w:r>
    </w:p>
    <w:p w14:paraId="26CDC4FD">
      <w:pPr>
        <w:pStyle w:val="16"/>
        <w:spacing w:before="0" w:after="80" w:line="31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池塘水位存在较明显变化，固定式安装对探头工作深度适应性较弱。</w:t>
      </w:r>
    </w:p>
    <w:p w14:paraId="1EE374D9">
      <w:pPr>
        <w:pStyle w:val="16"/>
        <w:spacing w:before="0" w:after="80" w:line="31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浮标式方案更能适应水位涨落，且更贴合池塘场景的连续监测需求。</w:t>
      </w:r>
    </w:p>
    <w:p w14:paraId="47670100">
      <w:pPr>
        <w:spacing w:before="80" w:after="4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217920" cy="2379980"/>
            <wp:effectExtent l="0" t="0" r="1143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8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F84D">
      <w:pPr>
        <w:spacing w:before="0" w:after="200" w:line="324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B6573"/>
          <w:sz w:val="19"/>
        </w:rPr>
        <w:t>图1 池塘现场情况（两处典型点位）</w:t>
      </w:r>
    </w:p>
    <w:p w14:paraId="1A69E269">
      <w:pPr>
        <w:pStyle w:val="3"/>
        <w:keepNext/>
        <w:spacing w:before="200" w:after="16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4E79"/>
          <w:sz w:val="30"/>
        </w:rPr>
        <w:t>三、杀虫灯、闸门与监控安装及使用情况</w:t>
      </w:r>
    </w:p>
    <w:p w14:paraId="584CC666">
      <w:pPr>
        <w:spacing w:before="0" w:after="1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22"/>
        </w:rPr>
        <w:t>本次同步查看了杀虫灯、闸门和监控的安装情况。现场观察显示，这三类设备的初期安装基本完成，整体状态较稳定，当前均可以正常使用，后续可根据实际运行表现继续优化细节。</w:t>
      </w:r>
    </w:p>
    <w:p w14:paraId="4245B46E">
      <w:pPr>
        <w:pStyle w:val="4"/>
        <w:keepNext/>
        <w:spacing w:before="160" w:after="12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E4053"/>
          <w:sz w:val="25"/>
        </w:rPr>
        <w:t>3.1 杀虫灯</w:t>
      </w:r>
    </w:p>
    <w:p w14:paraId="78DD932A">
      <w:pPr>
        <w:spacing w:before="0" w:after="8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21"/>
        </w:rPr>
        <w:t>杀虫灯立杆、太阳能板及箱体已完成安装，从现场状态看整体布设规范，具备正常投入使用条件。</w:t>
      </w:r>
    </w:p>
    <w:p w14:paraId="78C550F7">
      <w:pPr>
        <w:spacing w:before="80" w:after="4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217920" cy="2304415"/>
            <wp:effectExtent l="0" t="0" r="1143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0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2743">
      <w:pPr>
        <w:spacing w:before="0" w:after="200" w:line="324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B6573"/>
          <w:sz w:val="19"/>
        </w:rPr>
        <w:t>图2 杀虫灯安装情况</w:t>
      </w:r>
    </w:p>
    <w:p w14:paraId="5F931162">
      <w:pPr>
        <w:pStyle w:val="4"/>
        <w:keepNext/>
        <w:spacing w:before="160" w:after="12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E4053"/>
          <w:sz w:val="25"/>
        </w:rPr>
        <w:t>3.2 闸门</w:t>
      </w:r>
    </w:p>
    <w:p w14:paraId="396188E0">
      <w:pPr>
        <w:spacing w:before="0" w:after="8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21"/>
        </w:rPr>
        <w:t>闸门设备箱体、供电与安装位置已落实，现场检查表明其基础安装已完成，具备正常运行条件。</w:t>
      </w:r>
    </w:p>
    <w:p w14:paraId="62598138">
      <w:pPr>
        <w:spacing w:before="80" w:after="4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217920" cy="2304415"/>
            <wp:effectExtent l="0" t="0" r="1143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0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5F56">
      <w:pPr>
        <w:spacing w:before="0" w:after="200" w:line="324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B6573"/>
          <w:sz w:val="19"/>
        </w:rPr>
        <w:t>图3 闸门安装情况</w:t>
      </w:r>
    </w:p>
    <w:p w14:paraId="5EB2912D">
      <w:pPr>
        <w:pStyle w:val="4"/>
        <w:keepNext/>
        <w:spacing w:before="160" w:after="12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E4053"/>
          <w:sz w:val="25"/>
        </w:rPr>
        <w:t>3.3 监控</w:t>
      </w:r>
    </w:p>
    <w:p w14:paraId="4C2E8558">
      <w:pPr>
        <w:spacing w:before="0" w:after="8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21"/>
        </w:rPr>
        <w:t>监控立杆、摄像头和太阳能供电单元均已安装到位，现场点位已基本具备日常监测使用条件。</w:t>
      </w:r>
    </w:p>
    <w:p w14:paraId="55E00E25">
      <w:pPr>
        <w:spacing w:before="80" w:after="4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217920" cy="2304415"/>
            <wp:effectExtent l="0" t="0" r="1143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0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982E">
      <w:pPr>
        <w:spacing w:before="0" w:after="200" w:line="324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B6573"/>
          <w:sz w:val="19"/>
        </w:rPr>
        <w:t>图4 监控安装情况</w:t>
      </w:r>
    </w:p>
    <w:p w14:paraId="695BDD0A">
      <w:pPr>
        <w:pStyle w:val="3"/>
        <w:keepNext/>
        <w:spacing w:before="200" w:after="16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4E79"/>
          <w:sz w:val="30"/>
        </w:rPr>
        <w:t>四、无人机机场位置建议</w:t>
      </w:r>
    </w:p>
    <w:p w14:paraId="5B094772">
      <w:pPr>
        <w:spacing w:before="0" w:after="1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22"/>
        </w:rPr>
        <w:t>现场对无人机机场备选布设位置进行了综合判断。结合地块分布和后续作业效率，当前认为谷仓位置更合适。该位置距离面积较大的第二、第三块地更近，有利于提升主要作业区域的覆盖效率。虽然与第一块地存在一定距离，但综合整体调度便利性和重点地块覆盖需求，谷仓位置是目前更合理的折中方案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690"/>
      </w:tblGrid>
      <w:tr w14:paraId="53C1B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2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8DAC9">
            <w:pPr>
              <w:spacing w:before="0" w:after="0" w:line="288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推荐位置</w:t>
            </w:r>
          </w:p>
        </w:tc>
        <w:tc>
          <w:tcPr>
            <w:tcW w:w="49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52986">
            <w:pPr>
              <w:spacing w:before="0"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0"/>
              </w:rPr>
              <w:t>谷仓附近</w:t>
            </w:r>
          </w:p>
        </w:tc>
      </w:tr>
      <w:tr w14:paraId="4BA05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2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CEB46">
            <w:pPr>
              <w:spacing w:before="0" w:after="0" w:line="288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主要依据</w:t>
            </w:r>
          </w:p>
        </w:tc>
        <w:tc>
          <w:tcPr>
            <w:tcW w:w="49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91C11">
            <w:pPr>
              <w:spacing w:before="0"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0"/>
              </w:rPr>
              <w:t>距离面积更大的第二、第三块地更近，便于提高重点作业区的覆盖效率。</w:t>
            </w:r>
          </w:p>
        </w:tc>
      </w:tr>
      <w:tr w14:paraId="614E1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2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2C8C0">
            <w:pPr>
              <w:spacing w:before="0" w:after="0" w:line="288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不足之处</w:t>
            </w:r>
          </w:p>
        </w:tc>
        <w:tc>
          <w:tcPr>
            <w:tcW w:w="49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1051E">
            <w:pPr>
              <w:spacing w:before="0"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0"/>
              </w:rPr>
              <w:t>与第一块地相对较远，调度时需要兼顾首块地的到达路径。</w:t>
            </w:r>
          </w:p>
        </w:tc>
      </w:tr>
      <w:tr w14:paraId="27E3F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2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B4219">
            <w:pPr>
              <w:spacing w:before="0" w:after="0" w:line="288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综合判断</w:t>
            </w:r>
          </w:p>
        </w:tc>
        <w:tc>
          <w:tcPr>
            <w:tcW w:w="49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DA73A">
            <w:pPr>
              <w:spacing w:before="0"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0"/>
              </w:rPr>
              <w:t>从整体覆盖、运行效率和使用便利性出发，谷仓位置仍是当前最优建议。</w:t>
            </w:r>
          </w:p>
        </w:tc>
      </w:tr>
    </w:tbl>
    <w:p w14:paraId="5EDD6497">
      <w:pPr>
        <w:pStyle w:val="3"/>
        <w:keepNext/>
        <w:spacing w:before="200" w:after="160" w:line="264" w:lineRule="auto"/>
        <w:rPr>
          <w:rFonts w:hint="eastAsia" w:ascii="微软雅黑" w:hAnsi="微软雅黑" w:eastAsia="微软雅黑" w:cs="微软雅黑"/>
          <w:b/>
          <w:color w:val="1F4E79"/>
          <w:sz w:val="30"/>
        </w:rPr>
      </w:pPr>
    </w:p>
    <w:p w14:paraId="3663EE9A">
      <w:pPr>
        <w:pStyle w:val="3"/>
        <w:keepNext/>
        <w:spacing w:before="200" w:after="16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4E79"/>
          <w:sz w:val="30"/>
        </w:rPr>
        <w:t>五、结论与下一步建议</w:t>
      </w:r>
    </w:p>
    <w:p w14:paraId="5E82FF54">
      <w:pPr>
        <w:pStyle w:val="16"/>
        <w:spacing w:before="0" w:after="80" w:line="31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水质监测方面：建议优先按浮标式水质传感器方案推进，后续再结合预算和细化点位做进一步优化。</w:t>
      </w:r>
    </w:p>
    <w:p w14:paraId="0C3525EC">
      <w:pPr>
        <w:pStyle w:val="16"/>
        <w:spacing w:before="0" w:after="80" w:line="31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现场设备方面：杀虫灯、闸门、监控已具备基本使用条件，建议进入试运行与细化调试阶段。</w:t>
      </w:r>
    </w:p>
    <w:p w14:paraId="4BC91E3D">
      <w:pPr>
        <w:pStyle w:val="16"/>
        <w:spacing w:before="0" w:after="80" w:line="31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无人机机场方面：建议继续围绕谷仓位置推进布设，并同步核查供电、通信及起降周边净空条件。</w:t>
      </w:r>
    </w:p>
    <w:p w14:paraId="1F4D5B50">
      <w:pPr>
        <w:spacing w:before="0" w:after="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22"/>
        </w:rPr>
        <w:t>以上为本次农田实地考察的阶段性成果汇总，供老师审阅。</w:t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020" w:right="1020" w:bottom="90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C280C">
    <w:pPr>
      <w:pStyle w:val="24"/>
      <w:jc w:val="center"/>
    </w:pPr>
    <w:r>
      <w:rPr>
        <w:rFonts w:ascii="Noto Sans CJK SC" w:hAnsi="Noto Sans CJK SC" w:eastAsia="Noto Sans CJK SC"/>
        <w:b w:val="0"/>
        <w:color w:val="7F8C8D"/>
        <w:sz w:val="18"/>
      </w:rPr>
      <w:t xml:space="preserve">—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Noto Sans CJK SC" w:hAnsi="Noto Sans CJK SC" w:eastAsia="Noto Sans CJK SC"/>
        <w:b w:val="0"/>
        <w:color w:val="7F8C8D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1D2D4">
    <w:pPr>
      <w:pStyle w:val="25"/>
      <w:jc w:val="right"/>
    </w:pPr>
    <w:r>
      <w:rPr>
        <w:rFonts w:ascii="Noto Sans CJK SC" w:hAnsi="Noto Sans CJK SC" w:eastAsia="Noto Sans CJK SC"/>
        <w:b w:val="0"/>
        <w:color w:val="7F8C8D"/>
        <w:sz w:val="18"/>
      </w:rPr>
      <w:t>农田实地考察汇报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CE26B8"/>
    <w:rsid w:val="2B6B65E2"/>
    <w:rsid w:val="300F6E18"/>
    <w:rsid w:val="3C812E4B"/>
    <w:rsid w:val="764E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1369</Words>
  <Characters>1379</Characters>
  <Lines>0</Lines>
  <Paragraphs>0</Paragraphs>
  <TotalTime>1</TotalTime>
  <ScaleCrop>false</ScaleCrop>
  <LinksUpToDate>false</LinksUpToDate>
  <CharactersWithSpaces>1386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寂寥</cp:lastModifiedBy>
  <dcterms:modified xsi:type="dcterms:W3CDTF">2026-04-10T05:25:48Z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eyJoZGlkIjoiMjYwZjE4MjI4NWNjMDUzMGFmNDhkM2ViYTY5YTRhMzAiLCJ1c2VySWQiOiI3Njc5MzQ0MDgifQ==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C98D4304D0F1486E875AC5DC2025C890_12</vt:lpwstr>
  </property>
</Properties>
</file>