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驗證(內部通道改 mTLS、Secret Protection 兩台共用與輪替):第 18 章整章腳本 0 失敗(兩台 broker 共用同一把主金鑰與同一份檔;主金鑰與資料金鑰輪替都實跑;檔與金鑰不成對時 broker 起不來、換回即恢復;滾動重啟期間 producer 送出 1200 筆 = topic 1200 筆);第 9、18、19、20 章共 49 步的手動指令這次重新實跑並判定,0 不符合;第 6 章與其餘章節的手動指令為上一輪實跑 0 不符合的結果,本次未逐步重跑。第 20 章的欄位級加密(CSFLE)需要企業版加購授權,加密與解密在這個環境未驗證。停用 SCRAM 帳號一律覆寫成隨機密碼、不刪除;刪除會讓之後重啟 broker 失敗或讓 SCRAM 登入全壞(KAFKA-20774,全新叢集可重現,跑過很多章節的環境不一定重現,見 Lab 19.9 與 RUNBOOK)。confluent secret 的 --passphrase 不會讀檔(@檔案 被當成字面值),輪替要在受控的管理主機上做。有介面操作的步驟以等效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2026-10-09T11:54:54.998Z</dcterms:created>
  <dcterms:modified xsi:type="dcterms:W3CDTF">2026-10-09T11:54:54.999Z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