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驗證方式:本手冊的每一條「手動指令」2026-10-11 驗證:從 ha.sh off 全新重建(含 REST Proxy、Control Center)後,第 1 至 20 章整章腳本各 0 失敗(preflight --full 18/18);再從 ha.sh on 全新重建,第 21 至 29 章整章腳本各 0 失敗;第 30 章(告警寄成信)接在其後整章 0 失敗、手冊自檢 6 步 0 不符合。手冊自檢(手動指令實跑):第 21 至 30 章 0 不符合(第 21–23 章的「實際執行輸出」是改寫腳本前的實跑結果,指令與判定行相同,只少了新增的「▶」白話說明行);第 9、18、19、20 章為 2026-10-09 的結果;其餘章節為更早一輪 0 不符合的結果,本次未逐步重跑。第 21 章「停 2 台 controller」曾有一輪寫入 0 筆(原因未查明,腳本已加重試並留下錯誤訊息)。第 30 章用 Mailpit 代替行內郵件伺服器,未接真正的行內伺服器。HA 環境用靜態 quorum 簡化。第 20 章的欄位級加密(CSFLE)需要企業版加購授權,加密與解密未驗證。停用 SCRAM 帳號一律覆寫成隨機密碼、不刪除(KAFKA-20774)。JMX exporter 1.0.1 只支援 TLS+Basic、不支援 mTLS。有介面操作的步驟以等效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0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31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模式加 Control Center / Prometheus / Alertmanager:scripts/ha.sh on --with-c3,再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image" Target="media/c9820416088ab0d035696fdf748fb997d770c95c.png"/><Relationship Id="rId37" Type="http://schemas.openxmlformats.org/officeDocument/2006/relationships/image" Target="media/92d7c910287bd07aeed5adb7ed062b4e7153856e.png"/><Relationship Id="rId38" Type="http://schemas.openxmlformats.org/officeDocument/2006/relationships/image" Target="media/aebf7674f0b118a5c826a6cdeb7fdbd71ddac757.png"/><Relationship Id="rId39" Type="http://schemas.openxmlformats.org/officeDocument/2006/relationships/image" Target="media/442ebb3048b6c2e2ffd762451b237258c43595f4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2026-10-11T00:59:42.129Z</dcterms:created>
  <dcterms:modified xsi:type="dcterms:W3CDTF">2026-10-11T00:59:42.130Z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