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horzAnchor="margin" w:tblpXSpec="center" w:tblpY="454"/>
        <w:tblW w:w="10224" w:type="dxa"/>
        <w:tblLayout w:type="fixed"/>
        <w:tblLook w:val="04A0" w:firstRow="1" w:lastRow="0" w:firstColumn="1" w:lastColumn="0" w:noHBand="0" w:noVBand="1"/>
      </w:tblPr>
      <w:tblGrid>
        <w:gridCol w:w="2830"/>
        <w:gridCol w:w="7394"/>
      </w:tblGrid>
      <w:tr w:rsidR="002C1B55" w:rsidRPr="00483ED3" w14:paraId="4B8EFFE1" w14:textId="77777777" w:rsidTr="007962E9">
        <w:trPr>
          <w:trHeight w:val="579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EAA14" w14:textId="40DE4608" w:rsidR="002C1B55" w:rsidRPr="00483ED3" w:rsidRDefault="002C1B55" w:rsidP="007962E9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  <w:lang w:eastAsia="zh-TW"/>
              </w:rPr>
              <w:t>ETF 名稱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F8FDE" w14:textId="77777777" w:rsidR="002C1B55" w:rsidRPr="00483ED3" w:rsidRDefault="002C1B55" w:rsidP="007962E9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color w:val="404040"/>
                <w:sz w:val="19"/>
                <w:lang w:eastAsia="zh-TW"/>
              </w:rPr>
              <w:t>AI Agent 證據決策 ETF</w:t>
            </w:r>
          </w:p>
        </w:tc>
      </w:tr>
      <w:tr w:rsidR="002C1B55" w:rsidRPr="00483ED3" w14:paraId="549B9B64" w14:textId="77777777" w:rsidTr="007962E9">
        <w:trPr>
          <w:trHeight w:val="421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B3879" w14:textId="473E6CBC" w:rsidR="002C1B55" w:rsidRPr="00483ED3" w:rsidRDefault="002C1B55" w:rsidP="007962E9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  <w:lang w:eastAsia="zh-TW"/>
              </w:rPr>
              <w:t>ETF 投資主題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25CB7" w14:textId="77777777" w:rsidR="002C1B55" w:rsidRPr="00483ED3" w:rsidRDefault="002C1B55" w:rsidP="007962E9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color w:val="404040"/>
                <w:sz w:val="19"/>
                <w:lang w:eastAsia="zh-TW"/>
              </w:rPr>
              <w:t>多 Agent 協作之台股基本面、技術趨勢與事件風險選股</w:t>
            </w:r>
          </w:p>
        </w:tc>
      </w:tr>
      <w:tr w:rsidR="002C1B55" w:rsidRPr="00483ED3" w14:paraId="00E5E93C" w14:textId="77777777" w:rsidTr="007962E9">
        <w:trPr>
          <w:trHeight w:val="2956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52D08" w14:textId="48C28E3A" w:rsidR="002C1B55" w:rsidRPr="00483ED3" w:rsidRDefault="002C1B55" w:rsidP="007962E9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</w:rPr>
              <w:t xml:space="preserve">ETF </w:t>
            </w:r>
            <w:proofErr w:type="spellStart"/>
            <w:r w:rsidRPr="00483ED3">
              <w:rPr>
                <w:rFonts w:ascii="標楷體" w:eastAsia="標楷體" w:hAnsi="標楷體"/>
                <w:b/>
                <w:color w:val="1F4E79"/>
                <w:sz w:val="19"/>
              </w:rPr>
              <w:t>投資理念</w:t>
            </w:r>
            <w:proofErr w:type="spellEnd"/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D86B8" w14:textId="77777777" w:rsidR="002C1B55" w:rsidRPr="00483ED3" w:rsidRDefault="002C1B55" w:rsidP="007962E9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/>
                <w:color w:val="404040"/>
                <w:sz w:val="19"/>
                <w:lang w:eastAsia="zh-TW"/>
              </w:rPr>
              <w:t>本投資主題同時整合基本面、技術趨勢、公司事件與市場情緒，因為企業價值、價格行為、外部變化與市場風險會共同影響投資結果：基本面用來理解企業的營收、獲利與財務體質；技術趨勢用來觀察市場是否支持目前方向；公司事件用來辨識可能改變企業預期的重大變化；市場情緒則用來補充整體市場的風險偏好與背景。主要投資邏輯是由不同分析 Agent 對同一批標的分別判讀，再由多頭與空頭研究交叉檢查，交易 Agent 綜合證據形成意圖，風險 Agent 審查整體組合。投資目標是在決策可追溯與可驗證的前提下，追求中長期資本增值，同時控制回撤與集中風險。</w:t>
            </w:r>
          </w:p>
        </w:tc>
      </w:tr>
    </w:tbl>
    <w:p w14:paraId="342584D5" w14:textId="77777777" w:rsidR="007962E9" w:rsidRDefault="007962E9">
      <w:pPr>
        <w:rPr>
          <w:rFonts w:ascii="標楷體" w:eastAsia="標楷體" w:hAnsi="標楷體"/>
          <w:b/>
          <w:color w:val="2E74B5"/>
          <w:sz w:val="32"/>
          <w:lang w:eastAsia="zh-TW"/>
        </w:rPr>
      </w:pPr>
    </w:p>
    <w:p w14:paraId="0F31529B" w14:textId="493FEAF5" w:rsidR="00534563" w:rsidRDefault="007962E9">
      <w:pPr>
        <w:rPr>
          <w:lang w:eastAsia="zh-TW"/>
        </w:rPr>
      </w:pPr>
      <w:r>
        <w:rPr>
          <w:rFonts w:ascii="標楷體" w:eastAsia="標楷體" w:hAnsi="標楷體"/>
          <w:b/>
          <w:color w:val="2E74B5"/>
          <w:sz w:val="32"/>
          <w:lang w:eastAsia="zh-TW"/>
        </w:rPr>
        <w:t>附錄一：ETF 選股因子</w:t>
      </w:r>
    </w:p>
    <w:tbl>
      <w:tblPr>
        <w:tblStyle w:val="a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7424"/>
      </w:tblGrid>
      <w:tr w:rsidR="00200689" w14:paraId="37829CEB" w14:textId="77777777">
        <w:trPr>
          <w:jc w:val="center"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2BEB1" w14:textId="77777777" w:rsidR="00200689" w:rsidRDefault="00000000">
            <w:r>
              <w:rPr>
                <w:rFonts w:ascii="標楷體" w:eastAsia="標楷體" w:hAnsi="標楷體"/>
                <w:b/>
                <w:color w:val="FFFFFF"/>
                <w:sz w:val="18"/>
                <w:lang w:eastAsia="zh-TW"/>
              </w:rPr>
              <w:t>因子</w:t>
            </w:r>
          </w:p>
        </w:tc>
        <w:tc>
          <w:tcPr>
            <w:tcW w:w="742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7D37" w14:textId="77777777" w:rsidR="00200689" w:rsidRDefault="00000000">
            <w:r>
              <w:rPr>
                <w:rFonts w:ascii="標楷體" w:eastAsia="標楷體" w:hAnsi="標楷體"/>
                <w:b/>
                <w:color w:val="FFFFFF"/>
                <w:sz w:val="18"/>
                <w:lang w:eastAsia="zh-TW"/>
              </w:rPr>
              <w:t>AI Agent 觀察重點</w:t>
            </w:r>
          </w:p>
        </w:tc>
      </w:tr>
      <w:tr w:rsidR="00200689" w14:paraId="3A3D4BBD" w14:textId="77777777">
        <w:trPr>
          <w:jc w:val="center"/>
        </w:trPr>
        <w:tc>
          <w:tcPr>
            <w:tcW w:w="2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AB977" w14:textId="77777777" w:rsidR="00200689" w:rsidRDefault="00000000">
            <w:r>
              <w:rPr>
                <w:rFonts w:ascii="標楷體" w:eastAsia="標楷體" w:hAnsi="標楷體"/>
                <w:b/>
                <w:color w:val="1F4E79"/>
                <w:sz w:val="18"/>
                <w:lang w:eastAsia="zh-TW"/>
              </w:rPr>
              <w:t>基本面</w:t>
            </w:r>
          </w:p>
        </w:tc>
        <w:tc>
          <w:tcPr>
            <w:tcW w:w="7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9D8C2" w14:textId="77777777" w:rsidR="00200689" w:rsidRDefault="00000000">
            <w:pPr>
              <w:rPr>
                <w:lang w:eastAsia="zh-TW"/>
              </w:rPr>
            </w:pPr>
            <w:r>
              <w:rPr>
                <w:rFonts w:ascii="標楷體" w:eastAsia="標楷體" w:hAnsi="標楷體"/>
                <w:color w:val="404040"/>
                <w:sz w:val="18"/>
                <w:lang w:eastAsia="zh-TW"/>
              </w:rPr>
              <w:t>營收、獲利、負債、現金流與期間比較。</w:t>
            </w:r>
          </w:p>
        </w:tc>
      </w:tr>
      <w:tr w:rsidR="00200689" w14:paraId="30BBB6AD" w14:textId="77777777">
        <w:trPr>
          <w:jc w:val="center"/>
        </w:trPr>
        <w:tc>
          <w:tcPr>
            <w:tcW w:w="2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F7384" w14:textId="77777777" w:rsidR="00200689" w:rsidRDefault="00000000">
            <w:r>
              <w:rPr>
                <w:rFonts w:ascii="標楷體" w:eastAsia="標楷體" w:hAnsi="標楷體"/>
                <w:b/>
                <w:color w:val="1F4E79"/>
                <w:sz w:val="18"/>
                <w:lang w:eastAsia="zh-TW"/>
              </w:rPr>
              <w:t>技術趨勢</w:t>
            </w:r>
          </w:p>
        </w:tc>
        <w:tc>
          <w:tcPr>
            <w:tcW w:w="7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F7156" w14:textId="77777777" w:rsidR="00200689" w:rsidRDefault="00000000">
            <w:pPr>
              <w:rPr>
                <w:lang w:eastAsia="zh-TW"/>
              </w:rPr>
            </w:pPr>
            <w:r>
              <w:rPr>
                <w:rFonts w:ascii="標楷體" w:eastAsia="標楷體" w:hAnsi="標楷體"/>
                <w:color w:val="404040"/>
                <w:sz w:val="18"/>
                <w:lang w:eastAsia="zh-TW"/>
              </w:rPr>
              <w:t>5／20／60 日變化、均線、ATR 與下行波動。</w:t>
            </w:r>
          </w:p>
        </w:tc>
      </w:tr>
      <w:tr w:rsidR="00200689" w14:paraId="34D2717F" w14:textId="77777777">
        <w:trPr>
          <w:jc w:val="center"/>
        </w:trPr>
        <w:tc>
          <w:tcPr>
            <w:tcW w:w="2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BDACC" w14:textId="77777777" w:rsidR="00200689" w:rsidRDefault="00000000">
            <w:r>
              <w:rPr>
                <w:rFonts w:ascii="標楷體" w:eastAsia="標楷體" w:hAnsi="標楷體"/>
                <w:b/>
                <w:color w:val="1F4E79"/>
                <w:sz w:val="18"/>
                <w:lang w:eastAsia="zh-TW"/>
              </w:rPr>
              <w:t>公司事件</w:t>
            </w:r>
          </w:p>
        </w:tc>
        <w:tc>
          <w:tcPr>
            <w:tcW w:w="7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596AE" w14:textId="77777777" w:rsidR="00200689" w:rsidRDefault="00000000">
            <w:pPr>
              <w:rPr>
                <w:lang w:eastAsia="zh-TW"/>
              </w:rPr>
            </w:pPr>
            <w:r>
              <w:rPr>
                <w:rFonts w:ascii="標楷體" w:eastAsia="標楷體" w:hAnsi="標楷體"/>
                <w:color w:val="404040"/>
                <w:sz w:val="18"/>
                <w:lang w:eastAsia="zh-TW"/>
              </w:rPr>
              <w:t>事件影響、反證與尚待確認事項。</w:t>
            </w:r>
          </w:p>
        </w:tc>
      </w:tr>
      <w:tr w:rsidR="00200689" w14:paraId="35456C4B" w14:textId="77777777">
        <w:trPr>
          <w:jc w:val="center"/>
        </w:trPr>
        <w:tc>
          <w:tcPr>
            <w:tcW w:w="2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8D847" w14:textId="77777777" w:rsidR="00200689" w:rsidRDefault="00000000">
            <w:r>
              <w:rPr>
                <w:rFonts w:ascii="標楷體" w:eastAsia="標楷體" w:hAnsi="標楷體"/>
                <w:b/>
                <w:color w:val="1F4E79"/>
                <w:sz w:val="18"/>
                <w:lang w:eastAsia="zh-TW"/>
              </w:rPr>
              <w:t>市場背景與風險</w:t>
            </w:r>
          </w:p>
        </w:tc>
        <w:tc>
          <w:tcPr>
            <w:tcW w:w="7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DC5AD" w14:textId="77777777" w:rsidR="00200689" w:rsidRDefault="00000000">
            <w:pPr>
              <w:rPr>
                <w:lang w:eastAsia="zh-TW"/>
              </w:rPr>
            </w:pPr>
            <w:r>
              <w:rPr>
                <w:rFonts w:ascii="標楷體" w:eastAsia="標楷體" w:hAnsi="標楷體"/>
                <w:color w:val="404040"/>
                <w:sz w:val="18"/>
                <w:lang w:eastAsia="zh-TW"/>
              </w:rPr>
              <w:t>整體市場情緒、集中度、流動性與壓力情境。</w:t>
            </w:r>
          </w:p>
        </w:tc>
      </w:tr>
    </w:tbl>
    <w:p w14:paraId="3E76F6EA" w14:textId="77777777" w:rsidR="007962E9" w:rsidRDefault="007962E9">
      <w:pPr>
        <w:rPr>
          <w:rFonts w:ascii="標楷體" w:eastAsia="標楷體" w:hAnsi="標楷體"/>
          <w:b/>
          <w:color w:val="2E74B5"/>
          <w:sz w:val="32"/>
          <w:lang w:eastAsia="zh-TW"/>
        </w:rPr>
      </w:pPr>
    </w:p>
    <w:p w14:paraId="0098C70B" w14:textId="77777777" w:rsidR="007962E9" w:rsidRDefault="007962E9">
      <w:pPr>
        <w:spacing w:after="160" w:line="278" w:lineRule="auto"/>
        <w:rPr>
          <w:rFonts w:ascii="標楷體" w:eastAsia="標楷體" w:hAnsi="標楷體"/>
          <w:b/>
          <w:color w:val="2E74B5"/>
          <w:sz w:val="32"/>
          <w:lang w:eastAsia="zh-TW"/>
        </w:rPr>
      </w:pPr>
      <w:r>
        <w:rPr>
          <w:rFonts w:ascii="標楷體" w:eastAsia="標楷體" w:hAnsi="標楷體"/>
          <w:b/>
          <w:color w:val="2E74B5"/>
          <w:sz w:val="32"/>
          <w:lang w:eastAsia="zh-TW"/>
        </w:rPr>
        <w:br w:type="page"/>
      </w:r>
    </w:p>
    <w:p w14:paraId="4358490B" w14:textId="74EB43E6" w:rsidR="00200689" w:rsidRDefault="00000000">
      <w:r>
        <w:rPr>
          <w:rFonts w:ascii="標楷體" w:eastAsia="標楷體" w:hAnsi="標楷體"/>
          <w:b/>
          <w:color w:val="2E74B5"/>
          <w:sz w:val="32"/>
          <w:lang w:eastAsia="zh-TW"/>
        </w:rPr>
        <w:lastRenderedPageBreak/>
        <w:t>附錄二：AI Agent 專案架構圖</w:t>
      </w:r>
    </w:p>
    <w:p w14:paraId="2CF715FF" w14:textId="41B4DC55" w:rsidR="00200689" w:rsidRDefault="00000000">
      <w:r>
        <w:rPr>
          <w:rFonts w:ascii="標楷體" w:eastAsia="標楷體" w:hAnsi="標楷體"/>
          <w:color w:val="595959"/>
          <w:sz w:val="19"/>
          <w:lang w:eastAsia="zh-TW"/>
        </w:rPr>
        <w:t xml:space="preserve">資料由 </w:t>
      </w:r>
      <w:proofErr w:type="spellStart"/>
      <w:r>
        <w:rPr>
          <w:rFonts w:ascii="標楷體" w:eastAsia="標楷體" w:hAnsi="標楷體"/>
          <w:color w:val="595959"/>
          <w:sz w:val="19"/>
          <w:lang w:eastAsia="zh-TW"/>
        </w:rPr>
        <w:t>ResearchSnapshot</w:t>
      </w:r>
      <w:proofErr w:type="spellEnd"/>
      <w:r>
        <w:rPr>
          <w:rFonts w:ascii="標楷體" w:eastAsia="標楷體" w:hAnsi="標楷體"/>
          <w:color w:val="595959"/>
          <w:sz w:val="19"/>
          <w:lang w:eastAsia="zh-TW"/>
        </w:rPr>
        <w:t xml:space="preserve"> 進入分析團隊，再依序流向多空研究、交易整合與風險審查，最後交由程式驗證並產生 Decision run。</w:t>
      </w:r>
    </w:p>
    <w:p w14:paraId="71000FDB" w14:textId="510E2884" w:rsidR="00200689" w:rsidRDefault="006F0C56" w:rsidP="007962E9">
      <w:pPr>
        <w:jc w:val="center"/>
        <w:rPr>
          <w:lang w:eastAsia="zh-TW"/>
        </w:rPr>
      </w:pPr>
      <w:r>
        <w:rPr>
          <w:noProof/>
          <w:lang w:eastAsia="zh-TW"/>
          <w14:ligatures w14:val="standardContextual"/>
        </w:rPr>
        <w:drawing>
          <wp:inline distT="0" distB="0" distL="0" distR="0" wp14:anchorId="27352AC5" wp14:editId="41870F12">
            <wp:extent cx="5274310" cy="3956050"/>
            <wp:effectExtent l="0" t="0" r="0" b="6350"/>
            <wp:docPr id="448366195" name="圖片 2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66195" name="圖片 2" descr="一張含有 文字, 螢幕擷取畫面, 字型, 行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6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893AF" w14:textId="77777777" w:rsidR="009F526F" w:rsidRDefault="009F526F" w:rsidP="002C1B55">
      <w:pPr>
        <w:spacing w:after="0" w:line="240" w:lineRule="auto"/>
      </w:pPr>
      <w:r>
        <w:separator/>
      </w:r>
    </w:p>
  </w:endnote>
  <w:endnote w:type="continuationSeparator" w:id="0">
    <w:p w14:paraId="47C6221D" w14:textId="77777777" w:rsidR="009F526F" w:rsidRDefault="009F526F" w:rsidP="002C1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3CD1" w14:textId="77777777" w:rsidR="009F526F" w:rsidRDefault="009F526F" w:rsidP="002C1B55">
      <w:pPr>
        <w:spacing w:after="0" w:line="240" w:lineRule="auto"/>
      </w:pPr>
      <w:r>
        <w:separator/>
      </w:r>
    </w:p>
  </w:footnote>
  <w:footnote w:type="continuationSeparator" w:id="0">
    <w:p w14:paraId="66FB56AA" w14:textId="77777777" w:rsidR="009F526F" w:rsidRDefault="009F526F" w:rsidP="002C1B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55"/>
    <w:rsid w:val="00180810"/>
    <w:rsid w:val="00200689"/>
    <w:rsid w:val="002727AF"/>
    <w:rsid w:val="002C1B55"/>
    <w:rsid w:val="003A13CE"/>
    <w:rsid w:val="00534563"/>
    <w:rsid w:val="006E4707"/>
    <w:rsid w:val="006F0C56"/>
    <w:rsid w:val="007962E9"/>
    <w:rsid w:val="009F526F"/>
    <w:rsid w:val="00A17127"/>
    <w:rsid w:val="00AC49E2"/>
    <w:rsid w:val="00C61583"/>
    <w:rsid w:val="00EE45D1"/>
    <w:rsid w:val="00F6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6F0F0"/>
  <w15:chartTrackingRefBased/>
  <w15:docId w15:val="{733981A2-44FA-4E7E-8A68-B5AF44F7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B55"/>
    <w:pPr>
      <w:spacing w:after="200" w:line="276" w:lineRule="auto"/>
    </w:pPr>
    <w:rPr>
      <w:rFonts w:ascii="微軟正黑體" w:eastAsia="微軟正黑體" w:hAnsi="微軟正黑體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1B5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B5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B55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B55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B5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1B5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1B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1B55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1B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1B55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1B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1B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1B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1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B55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2C1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B5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2C1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B5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2C1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B5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2C1B5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B55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2E74B5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2C1B5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C1B55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59"/>
    <w:rsid w:val="002C1B55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C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C1B55"/>
    <w:rPr>
      <w:rFonts w:ascii="微軟正黑體" w:eastAsia="微軟正黑體" w:hAnsi="微軟正黑體"/>
      <w:kern w:val="0"/>
      <w:sz w:val="20"/>
      <w:szCs w:val="20"/>
      <w:lang w:eastAsia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2C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C1B55"/>
    <w:rPr>
      <w:rFonts w:ascii="微軟正黑體" w:eastAsia="微軟正黑體" w:hAnsi="微軟正黑體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潘皓天17786</dc:creator>
  <cp:keywords/>
  <dc:description/>
  <cp:lastModifiedBy>劉元浩</cp:lastModifiedBy>
  <cp:revision>2</cp:revision>
  <cp:lastPrinted>2026-10-22T13:01:00Z</cp:lastPrinted>
  <dcterms:created xsi:type="dcterms:W3CDTF">2026-10-22T13:07:00Z</dcterms:created>
  <dcterms:modified xsi:type="dcterms:W3CDTF">2026-10-22T13:07:00Z</dcterms:modified>
</cp:coreProperties>
</file>