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异构无人集群协同封控项目七项指标状态汇总（修正版）</w:t>
      </w:r>
    </w:p>
    <w:p>
      <w:pPr>
        <w:jc w:val="center"/>
      </w:pPr>
      <w:r>
        <w:rPr>
          <w:sz w:val="20"/>
        </w:rPr>
        <w:t>原版编制人：马子越（2026 年 8 月 28 日）　修正日期：2026 年 8 月 28 日</w:t>
      </w:r>
      <w:r>
        <w:rPr>
          <w:sz w:val="20"/>
        </w:rPr>
        <w:t xml:space="preserve">　数据源：swarm-control-system 仓库（main 分支）</w:t>
      </w:r>
    </w:p>
    <w:p>
      <w:r>
        <w:rPr>
          <w:sz w:val="20"/>
        </w:rPr>
        <w:t>修正说明：本版在马子越原版基础上修正两处数字引用（指标 4、指标 5），其余五项经仓库证据文件逐项复核与原版一致。修正依据见第三节。</w:t>
      </w:r>
    </w:p>
    <w:p>
      <w:pPr>
        <w:pStyle w:val="Heading1"/>
      </w:pPr>
      <w:r>
        <w:t>一、指标状态总览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考核指标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目标值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当前状态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数据来源 / 备注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异构平台接入数量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5 台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已达成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 UAV + 2 UGV 配置（swarm_sim.launch.py）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集群全任务分配平均耗时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 3 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已达成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3UAV+2UGV × 10 任务 × 10 场景 × 5 次重复；auction 最差样本 1.938 ms，远小于 3 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动态路径重规划耗时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 2 s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已达成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D* Lite 50×50 grid，5~15 个随机障碍，10 轮；平均 0.959 ms，最大 1.871 ms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目标检测准确率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90%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未达标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三场景人工 GT 约 200 帧、2192 个 GT 实例，conf=0.50：P=70.26%，R=72.76%，F1=71.49%（IoU=0.3 项目口径）。任何口径下 F1 均远低于 90%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动态目标连续跟踪成功率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90%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未达标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90 帧 Tracking GT、7 条轨迹、210 个 GT 实例，IoU≥0.3 逐帧匹配，总体 74.76%（Park 83.33%、Security 75.56%、Border 46.67%），ID Switch=1（GT 标注修正后）。口径为 GT 实例逐帧匹配成功率，非轨迹级连续跟踪成功率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三类场景综合封控成功率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85%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已达成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8/27 测试 60 次，有效样本 59；综合成功率 89.8%，border/park/security 分别为 89.5/90.0/90.0%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全系统无宕机连续运行时长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≥ 2 h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已达成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三链路八节点 headless soak，请求 7200 s，实际 7256 s（约 2.02 h），状态 PASS</w:t>
            </w:r>
          </w:p>
        </w:tc>
      </w:tr>
    </w:tbl>
    <w:p>
      <w:r>
        <w:rPr>
          <w:sz w:val="18"/>
        </w:rPr>
        <w:t>表 1　七项量化指标状态（截至 2026 年 8 月 28 日，含 8 月 28 日感知交付与 GT 修正）</w:t>
      </w:r>
    </w:p>
    <w:p>
      <w:pPr>
        <w:pStyle w:val="Heading1"/>
      </w:pPr>
      <w:r>
        <w:t>二、仓库实测数据来源明细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证据文件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关键数值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口径说明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ros2_ws/src/scheduler_pkg/scheduler_pkg/bench_auction.py；swarm_sim.launch.py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 台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 无人机 + 2 无人车配置；与 launch 文件一致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docs/bench_results/bench_3uav2ugv_three_mode.md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1.938 ms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auction 模式在 3UAV+2UGV、10 任务、10 随机场景、每场景 5 次重复下的最差样本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docs/evidence/dstar_benchmark_20260824.txt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1.871 ms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D* Lite 在 50×50 grid、5~15 个随机障碍、10 轮测试中的最大单轮耗时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ros2_ws/src/perception_pkg/cvtrack/eval/uav_detection_delivery/01_detection/threshold_results.csv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P=70.26% R=72.76% F1=71.49%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约 200 帧三场景人工 GT（2192 个 GT 实例）、conf=0.50、IoU=0.3 项目口径（感知代码实现统一采用 IoU=0.30，见 04_code/ 下评估脚本）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ros2_ws/src/perception_pkg/cvtrack/eval/uav_detection_delivery/02_tracking/tracking_success_result_corrected.csv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74.76%（P 83.33 / S 75.56 / B 46.67）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90 帧 Tracking GT、7 条轨迹、210 个 GT 实例；同帧同类且 IoU≥0.3 的逐帧匹配；实现为 IoU Tracker 非 DeepSORT；统计口径为 GT 实例逐帧匹配成功率，非“连续跟踪 ≥N 帧算成功”的轨迹级成功率；ID Switch=1（security GT gt_id 复用修正后，原始 14 中 13 次为标注假象）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docs/evidence/eval_results_2026-08-27.csv；eval_results_2026-08-27_summary.md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89.8%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园区/赛事/边境各 20 次随机逃逸测试；INVALID（无法归因）样本 1 次，不计入分母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docs/evidence/soak_20260820_004344_report.json；three_links_soak_20260820.md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7256 s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三链路八节点 headless 挂机；启动宽限期后 115 条样本均为 8/8 节点在线，RSS 36.7 MB 左右</w:t>
            </w:r>
          </w:p>
        </w:tc>
      </w:tr>
    </w:tbl>
    <w:p>
      <w:r>
        <w:rPr>
          <w:sz w:val="18"/>
        </w:rPr>
        <w:t>表 2　仓库实测数据来源与口径（截至 2026 年 8 月 28 日）</w:t>
      </w:r>
    </w:p>
    <w:p>
      <w:pPr>
        <w:pStyle w:val="Heading1"/>
      </w:pPr>
      <w:r>
        <w:t>三、相对原版的修正记录</w:t>
      </w:r>
    </w:p>
    <w:p>
      <w:r>
        <w:rPr>
          <w:sz w:val="20"/>
        </w:rPr>
        <w:t>修正 1（指标 4，数字引用错误）：原版引用“IoU=0.5：P=27.29%、R=58.53%、F1=37.22%”在仓库中无出处，无法核验；原版“IoU=0.3 宽松口径：P=39.41%、R=84.53%、F1=53.76%”经比对为 threshold_results.csv 中 conf=0.10/0.15 行的数据，系将置信度阈值差异误标为 IoU 口径差异。本版改用仓库可复现的定案数字（conf=0.50：P=70.26%、R=72.76%、F1=71.49%）。指标判定结论不受影响（任何口径 F1 均远低于 90%，仍为未达标）。</w:t>
      </w:r>
    </w:p>
    <w:p>
      <w:r>
        <w:rPr>
          <w:sz w:val="20"/>
        </w:rPr>
        <w:t>修正 2（指标 5，数据过时）：原版 ID Switch=14、6 条轨迹基于原始 GT。2026 年 8 月 28 日感知交付入库时（提交 d123ca8）修正了 security 场景 GT 的 gt_id 复用问题（一辆 car 与一辆 motorcycle 共用 gt_id=1），修正后 ID Switch 为 1（原 14 次中 13 次为标注假象）、轨迹数为 7 条，总体成功率 74.76% 不变。状态由“待确认”改为“未达标”：74.76% 低于 90% 目标，且口径差异（逐帧匹配对轨迹级）不会使数值变高。security 场景真实瓶颈为小型目标（motorcycle）检测召回，两辆 car 目标均为 100% 跟踪。</w:t>
      </w:r>
    </w:p>
    <w:p>
      <w:r>
        <w:rPr>
          <w:sz w:val="20"/>
        </w:rPr>
        <w:t>其余五项（指标 1、2、3、6、7）经仓库证据文件逐项复核，与原版一致，未作改动。原版对指标 5 口径差异的说明（IoU Tracker 非 DeepSORT、逐帧匹配非轨迹级）诚实准确，本版予以保留。</w:t>
      </w:r>
    </w:p>
    <w:p>
      <w:pPr>
        <w:pStyle w:val="Heading1"/>
      </w:pPr>
      <w:r>
        <w:t>四、情况说明</w:t>
      </w:r>
    </w:p>
    <w:p>
      <w:r>
        <w:rPr>
          <w:sz w:val="20"/>
        </w:rPr>
        <w:t>截至 8 月 28 日，仓库中可核验的七项指标状态为：5 项已达标（指标 1、2、3、6、7），2 项未达标（指标 4、5）。指标 1 与指标 2 由 bench 结果直接支撑；指标 3 的 D* Lite 重规划耗时在 50×50 grid 与 5~15 个动态障碍条件下最大仅 1.871 ms；指标 6 的 8 月 27 日三场景测试综合成功率为 89.8%，满足 ≥85% 目标；指标 7 的 headless 三链路挂机实际运行 7256 s（约 2.02 h），报告状态 PASS。</w:t>
      </w:r>
    </w:p>
    <w:p>
      <w:r>
        <w:rPr>
          <w:sz w:val="20"/>
        </w:rPr>
        <w:t>指标 4（目标检测准确率）：三场景人工 GT 约 200 帧（2192 个 GT 实例）、conf=0.50 实测，IoU=0.3 项目口径下 P=70.26%、R=72.76%、F1=71.49%，低于 90% 目标，判定为未达标。主要受限于三场景小样本训练、目标尺度变化与遮挡；security 场景小型目标（motorcycle）召回不足是主要短板。后续可通过扩充 GT 数据、引入数据增强与多尺度训练提升。</w:t>
      </w:r>
    </w:p>
    <w:p>
      <w:r>
        <w:rPr>
          <w:sz w:val="20"/>
        </w:rPr>
        <w:t>指标 5（动态目标连续跟踪成功率）：当前实现为 IoU Tracker（未启用 DeepSORT），在 90 帧 Tracking GT、7 条轨迹、210 个 GT 实例上，按同帧同类且 IoU≥0.3 的逐帧匹配口径，总体成功率为 74.76%，场景级分别为 Park 83.33%、Security 75.56%、Border 46.67%，ID Switch=1（GT 修正后）。该口径为“GT 实例逐帧匹配成功率”，并非任务指标定义中“连续跟踪 ≥N 帧算成功”的轨迹级成功率，且当前实现与指标名“DeepSORT 连续跟踪”存在技术路径差异，判定为未达标。后续需统一实现为 DeepSORT/ByteTrack 等外观关联跟踪器，并采用轨迹级成功率口径重新评估。</w:t>
      </w:r>
    </w:p>
    <w:p>
      <w:r>
        <w:rPr>
          <w:sz w:val="20"/>
        </w:rPr>
        <w:t>注：对未按期达标的指标，报告中将如实说明实测数值、分析原因并给出改进方向，不作数据修饰。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