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0.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1.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2.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3.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4.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5.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6.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7.xml" ContentType="application/vnd.openxmlformats-officedocument.drawingml.chart+xml"/>
  <Override PartName="/word/theme/themeOverride1.xml" ContentType="application/vnd.openxmlformats-officedocument.themeOverride+xml"/>
  <Override PartName="/word/charts/chart18.xml" ContentType="application/vnd.openxmlformats-officedocument.drawingml.chart+xml"/>
  <Override PartName="/word/theme/themeOverride2.xml" ContentType="application/vnd.openxmlformats-officedocument.themeOverride+xml"/>
  <Override PartName="/word/charts/chart19.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20.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21.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22.xml" ContentType="application/vnd.openxmlformats-officedocument.drawingml.chart+xml"/>
  <Override PartName="/word/theme/themeOverride3.xml" ContentType="application/vnd.openxmlformats-officedocument.themeOverride+xml"/>
  <Override PartName="/word/charts/chart23.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4.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5.xml" ContentType="application/vnd.openxmlformats-officedocument.drawingml.chart+xml"/>
  <Override PartName="/word/charts/style21.xml" ContentType="application/vnd.ms-office.chartstyle+xml"/>
  <Override PartName="/word/charts/colors2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8963F" w14:textId="6964F21F" w:rsidR="009A667E" w:rsidRPr="003444A2" w:rsidRDefault="00BE1A21" w:rsidP="00D006D1">
      <w:pPr>
        <w:pStyle w:val="TOCHeading"/>
        <w:spacing w:before="0" w:line="240" w:lineRule="auto"/>
        <w:rPr>
          <w:rFonts w:asciiTheme="majorHAnsi" w:hAnsiTheme="majorHAnsi" w:cstheme="majorHAnsi"/>
          <w:b/>
          <w:color w:val="auto"/>
          <w:szCs w:val="26"/>
        </w:rPr>
      </w:pPr>
      <w:r w:rsidRPr="003444A2">
        <w:rPr>
          <w:rFonts w:asciiTheme="majorHAnsi" w:hAnsiTheme="majorHAnsi" w:cstheme="majorHAnsi"/>
          <w:b/>
          <w:color w:val="auto"/>
          <w:szCs w:val="26"/>
        </w:rPr>
        <w:t>HANOI UNIVERSITY OF SCIENCE AND TECHNOLOGY</w:t>
      </w:r>
    </w:p>
    <w:p w14:paraId="1D28AEE1" w14:textId="1DE6BE42" w:rsidR="009A667E" w:rsidRPr="003444A2" w:rsidRDefault="00BE1A21" w:rsidP="00D006D1">
      <w:pPr>
        <w:spacing w:after="0" w:line="240" w:lineRule="auto"/>
        <w:jc w:val="center"/>
        <w:rPr>
          <w:rFonts w:cstheme="majorHAnsi"/>
          <w:b/>
          <w:sz w:val="28"/>
          <w:szCs w:val="26"/>
        </w:rPr>
      </w:pPr>
      <w:r w:rsidRPr="003444A2">
        <w:rPr>
          <w:rFonts w:cstheme="majorHAnsi"/>
          <w:b/>
          <w:sz w:val="28"/>
          <w:szCs w:val="26"/>
        </w:rPr>
        <w:t>SCHOOL OF ECONOMICS AND MANAGEMENT</w:t>
      </w:r>
    </w:p>
    <w:p w14:paraId="3CC9A5DC" w14:textId="77777777" w:rsidR="009A667E" w:rsidRPr="003444A2" w:rsidRDefault="009A667E" w:rsidP="00D006D1">
      <w:pPr>
        <w:pStyle w:val="TOCHeading"/>
        <w:spacing w:before="0" w:after="240" w:line="240" w:lineRule="auto"/>
        <w:rPr>
          <w:rFonts w:asciiTheme="majorHAnsi" w:hAnsiTheme="majorHAnsi" w:cstheme="majorHAnsi"/>
          <w:b/>
          <w:color w:val="auto"/>
          <w:szCs w:val="26"/>
        </w:rPr>
      </w:pPr>
      <w:r w:rsidRPr="003444A2">
        <w:rPr>
          <w:rFonts w:asciiTheme="majorHAnsi" w:hAnsiTheme="majorHAnsi" w:cstheme="majorHAnsi"/>
          <w:color w:val="auto"/>
          <w:szCs w:val="26"/>
        </w:rPr>
        <w:t xml:space="preserve">----- </w:t>
      </w:r>
      <w:r w:rsidRPr="003444A2">
        <w:rPr>
          <w:rFonts w:asciiTheme="majorHAnsi" w:eastAsia="Wingdings" w:hAnsiTheme="majorHAnsi" w:cstheme="majorHAnsi"/>
          <w:color w:val="auto"/>
          <w:szCs w:val="26"/>
        </w:rPr>
        <w:t>□</w:t>
      </w:r>
      <w:r w:rsidRPr="003444A2">
        <w:rPr>
          <w:rFonts w:asciiTheme="majorHAnsi" w:hAnsiTheme="majorHAnsi" w:cstheme="majorHAnsi"/>
          <w:color w:val="auto"/>
          <w:szCs w:val="26"/>
        </w:rPr>
        <w:t xml:space="preserve"> </w:t>
      </w:r>
      <w:r w:rsidRPr="003444A2">
        <w:rPr>
          <w:rFonts w:asciiTheme="majorHAnsi" w:eastAsia="Wingdings" w:hAnsiTheme="majorHAnsi" w:cstheme="majorHAnsi"/>
          <w:color w:val="auto"/>
          <w:szCs w:val="26"/>
        </w:rPr>
        <w:t>&amp;</w:t>
      </w:r>
      <w:r w:rsidRPr="003444A2">
        <w:rPr>
          <w:rFonts w:asciiTheme="majorHAnsi" w:hAnsiTheme="majorHAnsi" w:cstheme="majorHAnsi"/>
          <w:color w:val="auto"/>
          <w:szCs w:val="26"/>
        </w:rPr>
        <w:t xml:space="preserve"> </w:t>
      </w:r>
      <w:r w:rsidRPr="003444A2">
        <w:rPr>
          <w:rFonts w:asciiTheme="majorHAnsi" w:eastAsia="Wingdings" w:hAnsiTheme="majorHAnsi" w:cstheme="majorHAnsi"/>
          <w:color w:val="auto"/>
          <w:szCs w:val="26"/>
        </w:rPr>
        <w:t>□</w:t>
      </w:r>
      <w:r w:rsidRPr="003444A2">
        <w:rPr>
          <w:rFonts w:asciiTheme="majorHAnsi" w:hAnsiTheme="majorHAnsi" w:cstheme="majorHAnsi"/>
          <w:color w:val="auto"/>
          <w:szCs w:val="26"/>
        </w:rPr>
        <w:t xml:space="preserve"> -----</w:t>
      </w:r>
    </w:p>
    <w:p w14:paraId="1EECC4A3" w14:textId="77777777" w:rsidR="009A667E" w:rsidRPr="003444A2" w:rsidRDefault="009A667E" w:rsidP="00D006D1">
      <w:pPr>
        <w:spacing w:after="240" w:line="240" w:lineRule="auto"/>
        <w:jc w:val="center"/>
        <w:rPr>
          <w:rFonts w:cstheme="majorHAnsi"/>
          <w:sz w:val="24"/>
        </w:rPr>
      </w:pPr>
    </w:p>
    <w:p w14:paraId="7C406146" w14:textId="77777777" w:rsidR="009A667E" w:rsidRPr="003444A2" w:rsidRDefault="009A667E" w:rsidP="00D006D1">
      <w:pPr>
        <w:spacing w:after="240" w:line="240" w:lineRule="auto"/>
        <w:jc w:val="center"/>
        <w:rPr>
          <w:rFonts w:cstheme="majorHAnsi"/>
        </w:rPr>
      </w:pPr>
      <w:r w:rsidRPr="003444A2">
        <w:rPr>
          <w:rFonts w:cstheme="majorHAnsi"/>
          <w:noProof/>
        </w:rPr>
        <w:drawing>
          <wp:inline distT="0" distB="0" distL="0" distR="0" wp14:anchorId="3A0421B4" wp14:editId="4B8DC3D4">
            <wp:extent cx="1078128" cy="1590675"/>
            <wp:effectExtent l="0" t="0" r="8255" b="0"/>
            <wp:docPr id="35" name="Picture 35" descr="Káº¿t quáº£ hÃ¬nh áº£nh cho logo h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Káº¿t quáº£ hÃ¬nh áº£nh cho logo hu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8007" cy="1605250"/>
                    </a:xfrm>
                    <a:prstGeom prst="rect">
                      <a:avLst/>
                    </a:prstGeom>
                    <a:noFill/>
                    <a:ln>
                      <a:noFill/>
                    </a:ln>
                  </pic:spPr>
                </pic:pic>
              </a:graphicData>
            </a:graphic>
          </wp:inline>
        </w:drawing>
      </w:r>
    </w:p>
    <w:p w14:paraId="4CE0C63F" w14:textId="77777777" w:rsidR="009A667E" w:rsidRPr="003444A2" w:rsidRDefault="009A667E" w:rsidP="00D006D1">
      <w:pPr>
        <w:spacing w:after="240" w:line="240" w:lineRule="auto"/>
        <w:jc w:val="center"/>
        <w:rPr>
          <w:rFonts w:cstheme="majorHAnsi"/>
        </w:rPr>
      </w:pPr>
    </w:p>
    <w:p w14:paraId="49968CDD" w14:textId="6171AD03" w:rsidR="009A667E" w:rsidRPr="003444A2" w:rsidRDefault="00BE1A21" w:rsidP="00D006D1">
      <w:pPr>
        <w:spacing w:after="0" w:line="240" w:lineRule="auto"/>
        <w:jc w:val="center"/>
        <w:rPr>
          <w:rFonts w:cstheme="majorHAnsi"/>
          <w:b/>
          <w:sz w:val="44"/>
          <w:szCs w:val="32"/>
        </w:rPr>
      </w:pPr>
      <w:r w:rsidRPr="003444A2">
        <w:rPr>
          <w:rFonts w:cstheme="majorHAnsi"/>
          <w:b/>
          <w:sz w:val="44"/>
          <w:szCs w:val="32"/>
        </w:rPr>
        <w:t>EM</w:t>
      </w:r>
      <w:r w:rsidR="00457D80">
        <w:rPr>
          <w:rFonts w:cstheme="majorHAnsi"/>
          <w:b/>
          <w:sz w:val="44"/>
          <w:szCs w:val="32"/>
        </w:rPr>
        <w:t>3535</w:t>
      </w:r>
      <w:r w:rsidRPr="003444A2">
        <w:rPr>
          <w:rFonts w:cstheme="majorHAnsi"/>
          <w:b/>
          <w:sz w:val="44"/>
          <w:szCs w:val="32"/>
        </w:rPr>
        <w:t xml:space="preserve">E </w:t>
      </w:r>
      <w:r w:rsidR="00B73D9B" w:rsidRPr="003444A2">
        <w:rPr>
          <w:rFonts w:cstheme="majorHAnsi"/>
          <w:b/>
          <w:sz w:val="44"/>
          <w:szCs w:val="32"/>
        </w:rPr>
        <w:t>–</w:t>
      </w:r>
      <w:r w:rsidRPr="003444A2">
        <w:rPr>
          <w:rFonts w:cstheme="majorHAnsi"/>
          <w:b/>
          <w:sz w:val="44"/>
          <w:szCs w:val="32"/>
        </w:rPr>
        <w:t xml:space="preserve"> </w:t>
      </w:r>
      <w:r w:rsidR="00457D80">
        <w:rPr>
          <w:rFonts w:cstheme="majorHAnsi"/>
          <w:b/>
          <w:sz w:val="44"/>
          <w:szCs w:val="32"/>
        </w:rPr>
        <w:t>FINANCIAL ANALYSIS</w:t>
      </w:r>
    </w:p>
    <w:p w14:paraId="2E097DCA" w14:textId="77777777" w:rsidR="00CA7D32" w:rsidRPr="003444A2" w:rsidRDefault="00CA7D32" w:rsidP="00D006D1">
      <w:pPr>
        <w:spacing w:after="0" w:line="240" w:lineRule="auto"/>
        <w:jc w:val="center"/>
        <w:rPr>
          <w:rFonts w:cstheme="majorHAnsi"/>
          <w:b/>
          <w:sz w:val="44"/>
          <w:szCs w:val="32"/>
        </w:rPr>
      </w:pPr>
    </w:p>
    <w:p w14:paraId="58166976" w14:textId="77777777" w:rsidR="00457D80" w:rsidRDefault="00457D80" w:rsidP="00457D80">
      <w:pPr>
        <w:tabs>
          <w:tab w:val="left" w:pos="2268"/>
        </w:tabs>
        <w:spacing w:after="240" w:line="240" w:lineRule="auto"/>
        <w:jc w:val="center"/>
        <w:rPr>
          <w:rFonts w:cstheme="majorHAnsi"/>
          <w:b/>
          <w:sz w:val="32"/>
          <w:szCs w:val="32"/>
        </w:rPr>
      </w:pPr>
      <w:r>
        <w:rPr>
          <w:rFonts w:cstheme="majorHAnsi"/>
          <w:b/>
          <w:sz w:val="32"/>
          <w:szCs w:val="32"/>
        </w:rPr>
        <w:t xml:space="preserve">GROUP ASSIGNMENT: FINANCIAL ANALYSIS OF </w:t>
      </w:r>
    </w:p>
    <w:p w14:paraId="5398F347" w14:textId="3354D259" w:rsidR="00446777" w:rsidRPr="003444A2" w:rsidRDefault="00457D80" w:rsidP="00457D80">
      <w:pPr>
        <w:tabs>
          <w:tab w:val="left" w:pos="2268"/>
        </w:tabs>
        <w:spacing w:after="240" w:line="240" w:lineRule="auto"/>
        <w:jc w:val="center"/>
        <w:rPr>
          <w:rFonts w:cstheme="majorHAnsi"/>
          <w:i/>
          <w:iCs/>
          <w:sz w:val="28"/>
          <w:szCs w:val="32"/>
        </w:rPr>
      </w:pPr>
      <w:r>
        <w:rPr>
          <w:rFonts w:cstheme="majorHAnsi"/>
          <w:b/>
          <w:sz w:val="32"/>
          <w:szCs w:val="32"/>
        </w:rPr>
        <w:t>HOA SEN GROUP (HSG)</w:t>
      </w:r>
    </w:p>
    <w:p w14:paraId="4B6B8481" w14:textId="77777777" w:rsidR="00446777" w:rsidRPr="003444A2" w:rsidRDefault="00446777" w:rsidP="00D006D1">
      <w:pPr>
        <w:tabs>
          <w:tab w:val="left" w:pos="2268"/>
        </w:tabs>
        <w:spacing w:after="240" w:line="240" w:lineRule="auto"/>
        <w:rPr>
          <w:rFonts w:cstheme="majorHAnsi"/>
          <w:i/>
          <w:iCs/>
          <w:sz w:val="28"/>
          <w:szCs w:val="32"/>
        </w:rPr>
      </w:pPr>
    </w:p>
    <w:p w14:paraId="55E88A97" w14:textId="77777777" w:rsidR="00446777" w:rsidRDefault="00446777" w:rsidP="00D006D1">
      <w:pPr>
        <w:tabs>
          <w:tab w:val="left" w:pos="2268"/>
        </w:tabs>
        <w:spacing w:after="240" w:line="240" w:lineRule="auto"/>
        <w:rPr>
          <w:rFonts w:cstheme="majorHAnsi"/>
          <w:i/>
          <w:iCs/>
          <w:sz w:val="28"/>
          <w:szCs w:val="32"/>
        </w:rPr>
      </w:pPr>
    </w:p>
    <w:p w14:paraId="7928B5D5" w14:textId="77777777" w:rsidR="00F23072" w:rsidRPr="003444A2" w:rsidRDefault="00F23072" w:rsidP="00D006D1">
      <w:pPr>
        <w:tabs>
          <w:tab w:val="left" w:pos="2268"/>
        </w:tabs>
        <w:spacing w:after="240" w:line="240" w:lineRule="auto"/>
        <w:rPr>
          <w:rFonts w:cstheme="majorHAnsi"/>
          <w:i/>
          <w:iCs/>
          <w:sz w:val="28"/>
          <w:szCs w:val="32"/>
        </w:rPr>
      </w:pPr>
    </w:p>
    <w:p w14:paraId="12B32D2F" w14:textId="03FBF3A9" w:rsidR="00F23072" w:rsidRPr="00F23072" w:rsidRDefault="00446777" w:rsidP="00F23072">
      <w:pPr>
        <w:tabs>
          <w:tab w:val="left" w:pos="1276"/>
        </w:tabs>
        <w:rPr>
          <w:rFonts w:cstheme="majorHAnsi"/>
          <w:i/>
          <w:iCs/>
          <w:sz w:val="28"/>
          <w:szCs w:val="32"/>
        </w:rPr>
      </w:pPr>
      <w:r w:rsidRPr="003444A2">
        <w:rPr>
          <w:rFonts w:cstheme="majorHAnsi"/>
          <w:i/>
          <w:iCs/>
          <w:sz w:val="28"/>
          <w:szCs w:val="32"/>
        </w:rPr>
        <w:tab/>
      </w:r>
      <w:r w:rsidR="00457D80">
        <w:rPr>
          <w:rFonts w:cstheme="majorHAnsi"/>
          <w:i/>
          <w:iCs/>
          <w:sz w:val="28"/>
          <w:szCs w:val="32"/>
        </w:rPr>
        <w:t>Instructor</w:t>
      </w:r>
      <w:r w:rsidR="00F23072" w:rsidRPr="00F23072">
        <w:rPr>
          <w:rFonts w:cstheme="majorHAnsi"/>
          <w:i/>
          <w:iCs/>
          <w:sz w:val="28"/>
          <w:szCs w:val="32"/>
        </w:rPr>
        <w:t xml:space="preserve">:          </w:t>
      </w:r>
      <w:r w:rsidR="00F23072" w:rsidRPr="00F23072">
        <w:rPr>
          <w:rFonts w:cstheme="majorHAnsi"/>
          <w:i/>
          <w:iCs/>
          <w:sz w:val="28"/>
          <w:szCs w:val="32"/>
        </w:rPr>
        <w:tab/>
      </w:r>
      <w:r w:rsidR="00457D80">
        <w:rPr>
          <w:rFonts w:cstheme="majorHAnsi"/>
          <w:i/>
          <w:iCs/>
          <w:sz w:val="28"/>
          <w:szCs w:val="32"/>
        </w:rPr>
        <w:t>Ngô Thu Giang</w:t>
      </w:r>
      <w:r w:rsidR="00F23072" w:rsidRPr="00F23072">
        <w:rPr>
          <w:rFonts w:cstheme="majorHAnsi"/>
          <w:i/>
          <w:iCs/>
          <w:sz w:val="28"/>
          <w:szCs w:val="32"/>
        </w:rPr>
        <w:t xml:space="preserve">    </w:t>
      </w:r>
      <w:r w:rsidR="00F23072" w:rsidRPr="00F23072">
        <w:rPr>
          <w:rFonts w:cstheme="majorHAnsi"/>
          <w:i/>
          <w:iCs/>
          <w:sz w:val="28"/>
          <w:szCs w:val="32"/>
        </w:rPr>
        <w:tab/>
      </w:r>
    </w:p>
    <w:p w14:paraId="7ED93166" w14:textId="77777777" w:rsidR="00F23072" w:rsidRPr="00F23072" w:rsidRDefault="00F23072" w:rsidP="00F23072">
      <w:pPr>
        <w:tabs>
          <w:tab w:val="left" w:pos="1276"/>
        </w:tabs>
        <w:spacing w:after="240" w:line="240" w:lineRule="auto"/>
        <w:rPr>
          <w:rFonts w:cstheme="majorHAnsi"/>
          <w:i/>
          <w:iCs/>
          <w:sz w:val="28"/>
          <w:szCs w:val="32"/>
        </w:rPr>
      </w:pPr>
      <w:r w:rsidRPr="00F23072">
        <w:rPr>
          <w:rFonts w:cstheme="majorHAnsi"/>
          <w:i/>
          <w:iCs/>
          <w:sz w:val="28"/>
          <w:szCs w:val="32"/>
        </w:rPr>
        <w:t>              </w:t>
      </w:r>
      <w:r w:rsidRPr="00F23072">
        <w:rPr>
          <w:rFonts w:cstheme="majorHAnsi"/>
          <w:i/>
          <w:iCs/>
          <w:sz w:val="28"/>
          <w:szCs w:val="32"/>
        </w:rPr>
        <w:tab/>
        <w:t xml:space="preserve">Students:   </w:t>
      </w:r>
      <w:r w:rsidRPr="00F23072">
        <w:rPr>
          <w:rFonts w:cstheme="majorHAnsi"/>
          <w:i/>
          <w:iCs/>
          <w:sz w:val="28"/>
          <w:szCs w:val="32"/>
        </w:rPr>
        <w:tab/>
        <w:t xml:space="preserve">      </w:t>
      </w:r>
      <w:r w:rsidRPr="00F23072">
        <w:rPr>
          <w:rFonts w:cstheme="majorHAnsi"/>
          <w:i/>
          <w:iCs/>
          <w:sz w:val="28"/>
          <w:szCs w:val="32"/>
        </w:rPr>
        <w:tab/>
        <w:t xml:space="preserve">Phan Nhật Minh                  </w:t>
      </w:r>
      <w:r w:rsidRPr="00F23072">
        <w:rPr>
          <w:rFonts w:cstheme="majorHAnsi"/>
          <w:i/>
          <w:iCs/>
          <w:sz w:val="28"/>
          <w:szCs w:val="32"/>
        </w:rPr>
        <w:tab/>
        <w:t>20233076</w:t>
      </w:r>
    </w:p>
    <w:p w14:paraId="6D490146" w14:textId="505B6083" w:rsidR="00F23072" w:rsidRPr="00F23072" w:rsidRDefault="00F23072" w:rsidP="00F23072">
      <w:pPr>
        <w:tabs>
          <w:tab w:val="left" w:pos="1276"/>
        </w:tabs>
        <w:spacing w:after="240" w:line="240" w:lineRule="auto"/>
        <w:rPr>
          <w:rFonts w:cstheme="majorHAnsi"/>
          <w:i/>
          <w:iCs/>
          <w:sz w:val="28"/>
          <w:szCs w:val="32"/>
        </w:rPr>
      </w:pPr>
      <w:r>
        <w:rPr>
          <w:rFonts w:cstheme="majorHAnsi"/>
          <w:i/>
          <w:iCs/>
          <w:sz w:val="28"/>
          <w:szCs w:val="32"/>
        </w:rPr>
        <w:tab/>
      </w:r>
      <w:r>
        <w:rPr>
          <w:rFonts w:cstheme="majorHAnsi"/>
          <w:i/>
          <w:iCs/>
          <w:sz w:val="28"/>
          <w:szCs w:val="32"/>
        </w:rPr>
        <w:tab/>
      </w:r>
      <w:r>
        <w:rPr>
          <w:rFonts w:cstheme="majorHAnsi"/>
          <w:i/>
          <w:iCs/>
          <w:sz w:val="28"/>
          <w:szCs w:val="32"/>
        </w:rPr>
        <w:tab/>
      </w:r>
      <w:r>
        <w:rPr>
          <w:rFonts w:cstheme="majorHAnsi"/>
          <w:i/>
          <w:iCs/>
          <w:sz w:val="28"/>
          <w:szCs w:val="32"/>
        </w:rPr>
        <w:tab/>
      </w:r>
      <w:r>
        <w:rPr>
          <w:rFonts w:cstheme="majorHAnsi"/>
          <w:i/>
          <w:iCs/>
          <w:sz w:val="28"/>
          <w:szCs w:val="32"/>
        </w:rPr>
        <w:tab/>
      </w:r>
      <w:r w:rsidRPr="00F23072">
        <w:rPr>
          <w:rFonts w:cstheme="majorHAnsi"/>
          <w:i/>
          <w:iCs/>
          <w:sz w:val="28"/>
          <w:szCs w:val="32"/>
        </w:rPr>
        <w:t xml:space="preserve">Dương Ánh Ngọc       </w:t>
      </w:r>
      <w:r w:rsidRPr="00F23072">
        <w:rPr>
          <w:rFonts w:cstheme="majorHAnsi"/>
          <w:i/>
          <w:iCs/>
          <w:sz w:val="28"/>
          <w:szCs w:val="32"/>
        </w:rPr>
        <w:tab/>
      </w:r>
      <w:r w:rsidRPr="00F23072">
        <w:rPr>
          <w:rFonts w:cstheme="majorHAnsi"/>
          <w:i/>
          <w:iCs/>
          <w:sz w:val="28"/>
          <w:szCs w:val="32"/>
        </w:rPr>
        <w:tab/>
        <w:t>20233082</w:t>
      </w:r>
    </w:p>
    <w:p w14:paraId="24C2D7F0" w14:textId="70FD3885" w:rsidR="00F23072" w:rsidRPr="00F23072" w:rsidRDefault="00F23072" w:rsidP="00F23072">
      <w:pPr>
        <w:tabs>
          <w:tab w:val="left" w:pos="1276"/>
        </w:tabs>
        <w:spacing w:after="240" w:line="240" w:lineRule="auto"/>
        <w:rPr>
          <w:rFonts w:cstheme="majorHAnsi"/>
          <w:i/>
          <w:iCs/>
          <w:sz w:val="28"/>
          <w:szCs w:val="32"/>
        </w:rPr>
      </w:pPr>
      <w:r w:rsidRPr="00F23072">
        <w:rPr>
          <w:rFonts w:cstheme="majorHAnsi"/>
          <w:i/>
          <w:iCs/>
          <w:sz w:val="28"/>
          <w:szCs w:val="32"/>
        </w:rPr>
        <w:t>                                               </w:t>
      </w:r>
      <w:r w:rsidRPr="00F23072">
        <w:rPr>
          <w:rFonts w:cstheme="majorHAnsi"/>
          <w:i/>
          <w:iCs/>
          <w:sz w:val="28"/>
          <w:szCs w:val="32"/>
        </w:rPr>
        <w:tab/>
      </w:r>
      <w:r w:rsidR="00457D80">
        <w:rPr>
          <w:rFonts w:cstheme="majorHAnsi"/>
          <w:i/>
          <w:iCs/>
          <w:sz w:val="28"/>
          <w:szCs w:val="32"/>
        </w:rPr>
        <w:t>Đinh Diễm Huyền</w:t>
      </w:r>
      <w:r w:rsidRPr="00F23072">
        <w:rPr>
          <w:rFonts w:cstheme="majorHAnsi"/>
          <w:i/>
          <w:iCs/>
          <w:sz w:val="28"/>
          <w:szCs w:val="32"/>
        </w:rPr>
        <w:t xml:space="preserve">              </w:t>
      </w:r>
      <w:r w:rsidRPr="00F23072">
        <w:rPr>
          <w:rFonts w:cstheme="majorHAnsi"/>
          <w:i/>
          <w:iCs/>
          <w:sz w:val="28"/>
          <w:szCs w:val="32"/>
        </w:rPr>
        <w:tab/>
        <w:t>2023305</w:t>
      </w:r>
      <w:r w:rsidR="00457D80">
        <w:rPr>
          <w:rFonts w:cstheme="majorHAnsi"/>
          <w:i/>
          <w:iCs/>
          <w:sz w:val="28"/>
          <w:szCs w:val="32"/>
        </w:rPr>
        <w:t>4</w:t>
      </w:r>
    </w:p>
    <w:p w14:paraId="61E2CF41" w14:textId="36C341B0" w:rsidR="00F23072" w:rsidRDefault="00F23072" w:rsidP="00F23072">
      <w:pPr>
        <w:tabs>
          <w:tab w:val="left" w:pos="1276"/>
        </w:tabs>
        <w:spacing w:after="240" w:line="240" w:lineRule="auto"/>
        <w:rPr>
          <w:rFonts w:cstheme="majorHAnsi"/>
          <w:i/>
          <w:iCs/>
          <w:sz w:val="28"/>
          <w:szCs w:val="32"/>
        </w:rPr>
      </w:pPr>
      <w:r w:rsidRPr="00F23072">
        <w:rPr>
          <w:rFonts w:cstheme="majorHAnsi"/>
          <w:i/>
          <w:iCs/>
          <w:sz w:val="28"/>
          <w:szCs w:val="32"/>
        </w:rPr>
        <w:tab/>
      </w:r>
      <w:r w:rsidRPr="00F23072">
        <w:rPr>
          <w:rFonts w:cstheme="majorHAnsi"/>
          <w:i/>
          <w:iCs/>
          <w:sz w:val="28"/>
          <w:szCs w:val="32"/>
        </w:rPr>
        <w:tab/>
      </w:r>
      <w:r w:rsidRPr="00F23072">
        <w:rPr>
          <w:rFonts w:cstheme="majorHAnsi"/>
          <w:i/>
          <w:iCs/>
          <w:sz w:val="28"/>
          <w:szCs w:val="32"/>
        </w:rPr>
        <w:tab/>
      </w:r>
      <w:r w:rsidRPr="00F23072">
        <w:rPr>
          <w:rFonts w:cstheme="majorHAnsi"/>
          <w:i/>
          <w:iCs/>
          <w:sz w:val="28"/>
          <w:szCs w:val="32"/>
        </w:rPr>
        <w:tab/>
      </w:r>
      <w:r w:rsidRPr="00F23072">
        <w:rPr>
          <w:rFonts w:cstheme="majorHAnsi"/>
          <w:i/>
          <w:iCs/>
          <w:sz w:val="28"/>
          <w:szCs w:val="32"/>
        </w:rPr>
        <w:tab/>
      </w:r>
      <w:r w:rsidR="00457D80">
        <w:rPr>
          <w:rFonts w:cstheme="majorHAnsi"/>
          <w:i/>
          <w:iCs/>
          <w:sz w:val="28"/>
          <w:szCs w:val="32"/>
        </w:rPr>
        <w:t xml:space="preserve">Lê Quỳnh Chi           </w:t>
      </w:r>
      <w:r w:rsidRPr="00F23072">
        <w:rPr>
          <w:rFonts w:cstheme="majorHAnsi"/>
          <w:i/>
          <w:iCs/>
          <w:sz w:val="28"/>
          <w:szCs w:val="32"/>
        </w:rPr>
        <w:tab/>
      </w:r>
      <w:r w:rsidRPr="00F23072">
        <w:rPr>
          <w:rFonts w:cstheme="majorHAnsi"/>
          <w:i/>
          <w:iCs/>
          <w:sz w:val="28"/>
          <w:szCs w:val="32"/>
        </w:rPr>
        <w:tab/>
        <w:t>202330</w:t>
      </w:r>
      <w:r w:rsidR="00457D80">
        <w:rPr>
          <w:rFonts w:cstheme="majorHAnsi"/>
          <w:i/>
          <w:iCs/>
          <w:sz w:val="28"/>
          <w:szCs w:val="32"/>
        </w:rPr>
        <w:t>24</w:t>
      </w:r>
    </w:p>
    <w:p w14:paraId="29C33DEF" w14:textId="15983B57" w:rsidR="00457D80" w:rsidRPr="00F23072" w:rsidRDefault="00457D80" w:rsidP="00F23072">
      <w:pPr>
        <w:tabs>
          <w:tab w:val="left" w:pos="1276"/>
        </w:tabs>
        <w:spacing w:after="240" w:line="240" w:lineRule="auto"/>
        <w:rPr>
          <w:rFonts w:cstheme="majorHAnsi"/>
          <w:i/>
          <w:iCs/>
          <w:sz w:val="28"/>
          <w:szCs w:val="32"/>
        </w:rPr>
      </w:pPr>
      <w:r>
        <w:rPr>
          <w:rFonts w:cstheme="majorHAnsi"/>
          <w:i/>
          <w:iCs/>
          <w:sz w:val="28"/>
          <w:szCs w:val="32"/>
        </w:rPr>
        <w:tab/>
      </w:r>
      <w:r>
        <w:rPr>
          <w:rFonts w:cstheme="majorHAnsi"/>
          <w:i/>
          <w:iCs/>
          <w:sz w:val="28"/>
          <w:szCs w:val="32"/>
        </w:rPr>
        <w:tab/>
      </w:r>
      <w:r>
        <w:rPr>
          <w:rFonts w:cstheme="majorHAnsi"/>
          <w:i/>
          <w:iCs/>
          <w:sz w:val="28"/>
          <w:szCs w:val="32"/>
        </w:rPr>
        <w:tab/>
      </w:r>
      <w:r>
        <w:rPr>
          <w:rFonts w:cstheme="majorHAnsi"/>
          <w:i/>
          <w:iCs/>
          <w:sz w:val="28"/>
          <w:szCs w:val="32"/>
        </w:rPr>
        <w:tab/>
        <w:t xml:space="preserve">          Nguyễn Duy Khánh</w:t>
      </w:r>
      <w:r>
        <w:rPr>
          <w:rFonts w:cstheme="majorHAnsi"/>
          <w:i/>
          <w:iCs/>
          <w:sz w:val="28"/>
          <w:szCs w:val="32"/>
        </w:rPr>
        <w:tab/>
      </w:r>
      <w:r>
        <w:rPr>
          <w:rFonts w:cstheme="majorHAnsi"/>
          <w:i/>
          <w:iCs/>
          <w:sz w:val="28"/>
          <w:szCs w:val="32"/>
        </w:rPr>
        <w:tab/>
        <w:t>20233058</w:t>
      </w:r>
    </w:p>
    <w:p w14:paraId="5535CBE0" w14:textId="1038099D" w:rsidR="00F23072" w:rsidRPr="00F23072" w:rsidRDefault="00F23072" w:rsidP="00F23072">
      <w:pPr>
        <w:tabs>
          <w:tab w:val="left" w:pos="1276"/>
        </w:tabs>
        <w:spacing w:after="240" w:line="240" w:lineRule="auto"/>
        <w:rPr>
          <w:rFonts w:cstheme="majorHAnsi"/>
          <w:i/>
          <w:iCs/>
          <w:sz w:val="28"/>
          <w:szCs w:val="32"/>
        </w:rPr>
      </w:pPr>
      <w:r w:rsidRPr="00F23072">
        <w:rPr>
          <w:rFonts w:cstheme="majorHAnsi"/>
          <w:i/>
          <w:iCs/>
          <w:sz w:val="28"/>
          <w:szCs w:val="32"/>
        </w:rPr>
        <w:t>              </w:t>
      </w:r>
      <w:r w:rsidRPr="00F23072">
        <w:rPr>
          <w:rFonts w:cstheme="majorHAnsi"/>
          <w:i/>
          <w:iCs/>
          <w:sz w:val="28"/>
          <w:szCs w:val="32"/>
        </w:rPr>
        <w:tab/>
        <w:t xml:space="preserve">Class ID:                </w:t>
      </w:r>
      <w:r w:rsidR="00457D80">
        <w:rPr>
          <w:rFonts w:cstheme="majorHAnsi"/>
          <w:i/>
          <w:iCs/>
          <w:sz w:val="28"/>
          <w:szCs w:val="32"/>
        </w:rPr>
        <w:tab/>
      </w:r>
      <w:r w:rsidRPr="00F23072">
        <w:rPr>
          <w:rFonts w:cstheme="majorHAnsi"/>
          <w:i/>
          <w:iCs/>
          <w:sz w:val="28"/>
          <w:szCs w:val="32"/>
        </w:rPr>
        <w:t>1</w:t>
      </w:r>
      <w:r w:rsidR="00457D80">
        <w:rPr>
          <w:rFonts w:cstheme="majorHAnsi"/>
          <w:i/>
          <w:iCs/>
          <w:sz w:val="28"/>
          <w:szCs w:val="32"/>
        </w:rPr>
        <w:t>7069</w:t>
      </w:r>
      <w:r w:rsidRPr="00F23072">
        <w:rPr>
          <w:rFonts w:cstheme="majorHAnsi"/>
          <w:i/>
          <w:iCs/>
          <w:sz w:val="28"/>
          <w:szCs w:val="32"/>
        </w:rPr>
        <w:t>8</w:t>
      </w:r>
    </w:p>
    <w:p w14:paraId="241443E9" w14:textId="0BDB335C" w:rsidR="00446777" w:rsidRPr="003444A2" w:rsidRDefault="00446777" w:rsidP="00F23072">
      <w:pPr>
        <w:tabs>
          <w:tab w:val="left" w:pos="1276"/>
        </w:tabs>
        <w:spacing w:after="240" w:line="240" w:lineRule="auto"/>
        <w:rPr>
          <w:rFonts w:cstheme="majorHAnsi"/>
          <w:sz w:val="28"/>
          <w:szCs w:val="32"/>
        </w:rPr>
      </w:pPr>
    </w:p>
    <w:p w14:paraId="715F3363" w14:textId="5D8EF1A7" w:rsidR="009A667E" w:rsidRPr="003444A2" w:rsidRDefault="00BE1A21" w:rsidP="00D006D1">
      <w:pPr>
        <w:tabs>
          <w:tab w:val="left" w:pos="3810"/>
          <w:tab w:val="center" w:pos="4513"/>
        </w:tabs>
        <w:spacing w:after="240" w:line="240" w:lineRule="auto"/>
        <w:jc w:val="center"/>
        <w:rPr>
          <w:rFonts w:cstheme="majorHAnsi"/>
          <w:b/>
          <w:sz w:val="28"/>
          <w:szCs w:val="32"/>
        </w:rPr>
        <w:sectPr w:rsidR="009A667E" w:rsidRPr="003444A2">
          <w:footerReference w:type="even" r:id="rId9"/>
          <w:pgSz w:w="11906" w:h="16838" w:code="9"/>
          <w:pgMar w:top="1440" w:right="1440" w:bottom="1440" w:left="1728" w:header="720" w:footer="1365"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3444A2">
        <w:rPr>
          <w:rFonts w:cstheme="majorHAnsi"/>
          <w:b/>
          <w:sz w:val="28"/>
          <w:szCs w:val="32"/>
        </w:rPr>
        <w:t>H</w:t>
      </w:r>
      <w:r w:rsidR="00E01F74" w:rsidRPr="003444A2">
        <w:rPr>
          <w:rFonts w:cstheme="majorHAnsi"/>
          <w:b/>
          <w:sz w:val="28"/>
          <w:szCs w:val="32"/>
        </w:rPr>
        <w:t>à Nội</w:t>
      </w:r>
      <w:r w:rsidRPr="003444A2">
        <w:rPr>
          <w:rFonts w:cstheme="majorHAnsi"/>
          <w:b/>
          <w:sz w:val="28"/>
          <w:szCs w:val="32"/>
        </w:rPr>
        <w:t>, 202</w:t>
      </w:r>
      <w:r w:rsidR="00F23072">
        <w:rPr>
          <w:rFonts w:cstheme="majorHAnsi"/>
          <w:b/>
          <w:sz w:val="28"/>
          <w:szCs w:val="32"/>
        </w:rPr>
        <w:t>6</w:t>
      </w:r>
    </w:p>
    <w:sdt>
      <w:sdtPr>
        <w:rPr>
          <w:rFonts w:asciiTheme="majorHAnsi" w:eastAsiaTheme="minorHAnsi" w:hAnsiTheme="majorHAnsi" w:cstheme="majorHAnsi"/>
          <w:bCs w:val="0"/>
          <w:color w:val="auto"/>
          <w:sz w:val="22"/>
          <w:szCs w:val="22"/>
        </w:rPr>
        <w:id w:val="47736675"/>
        <w:docPartObj>
          <w:docPartGallery w:val="Table of Contents"/>
          <w:docPartUnique/>
        </w:docPartObj>
      </w:sdtPr>
      <w:sdtEndPr>
        <w:rPr>
          <w:b/>
        </w:rPr>
      </w:sdtEndPr>
      <w:sdtContent>
        <w:p w14:paraId="04A242A6" w14:textId="4A752CC3" w:rsidR="00F76257" w:rsidRPr="003444A2" w:rsidRDefault="00F767AE">
          <w:pPr>
            <w:pStyle w:val="TOCHeading"/>
            <w:rPr>
              <w:rStyle w:val="Heading1Char"/>
              <w:rFonts w:cstheme="majorHAnsi"/>
            </w:rPr>
          </w:pPr>
          <w:r w:rsidRPr="003444A2">
            <w:rPr>
              <w:rStyle w:val="Heading1Char"/>
              <w:rFonts w:cstheme="majorHAnsi"/>
            </w:rPr>
            <w:t>TABLE OF CONTENTS</w:t>
          </w:r>
        </w:p>
        <w:p w14:paraId="0D6F7563" w14:textId="43F4BEB1" w:rsidR="004C5575" w:rsidRDefault="00F76257">
          <w:pPr>
            <w:pStyle w:val="TOC1"/>
            <w:rPr>
              <w:rFonts w:asciiTheme="minorHAnsi" w:eastAsiaTheme="minorEastAsia" w:hAnsiTheme="minorHAnsi" w:cstheme="minorBidi"/>
              <w:b w:val="0"/>
              <w:kern w:val="2"/>
              <w:sz w:val="24"/>
              <w:szCs w:val="24"/>
              <w14:ligatures w14:val="standardContextual"/>
            </w:rPr>
          </w:pPr>
          <w:r w:rsidRPr="003444A2">
            <w:rPr>
              <w:rFonts w:asciiTheme="majorHAnsi" w:hAnsiTheme="majorHAnsi" w:cstheme="majorHAnsi"/>
              <w:noProof w:val="0"/>
            </w:rPr>
            <w:fldChar w:fldCharType="begin"/>
          </w:r>
          <w:r w:rsidRPr="003444A2">
            <w:rPr>
              <w:rFonts w:asciiTheme="majorHAnsi" w:hAnsiTheme="majorHAnsi" w:cstheme="majorHAnsi"/>
              <w:noProof w:val="0"/>
            </w:rPr>
            <w:instrText xml:space="preserve"> TOC \o "1-3" \h \z \u </w:instrText>
          </w:r>
          <w:r w:rsidRPr="003444A2">
            <w:rPr>
              <w:rFonts w:asciiTheme="majorHAnsi" w:hAnsiTheme="majorHAnsi" w:cstheme="majorHAnsi"/>
              <w:noProof w:val="0"/>
            </w:rPr>
            <w:fldChar w:fldCharType="separate"/>
          </w:r>
          <w:hyperlink w:anchor="_Toc233984122" w:history="1">
            <w:r w:rsidR="004C5575" w:rsidRPr="008E6096">
              <w:rPr>
                <w:rStyle w:val="Hyperlink"/>
                <w:rFonts w:cstheme="majorHAnsi"/>
              </w:rPr>
              <w:t>PART 1. INTRODUCTION OF COMPANY</w:t>
            </w:r>
            <w:r w:rsidR="004C5575">
              <w:rPr>
                <w:webHidden/>
              </w:rPr>
              <w:tab/>
            </w:r>
            <w:r w:rsidR="004C5575">
              <w:rPr>
                <w:webHidden/>
              </w:rPr>
              <w:fldChar w:fldCharType="begin"/>
            </w:r>
            <w:r w:rsidR="004C5575">
              <w:rPr>
                <w:webHidden/>
              </w:rPr>
              <w:instrText xml:space="preserve"> PAGEREF _Toc233984122 \h </w:instrText>
            </w:r>
            <w:r w:rsidR="004C5575">
              <w:rPr>
                <w:webHidden/>
              </w:rPr>
            </w:r>
            <w:r w:rsidR="004C5575">
              <w:rPr>
                <w:webHidden/>
              </w:rPr>
              <w:fldChar w:fldCharType="separate"/>
            </w:r>
            <w:r w:rsidR="004C5575">
              <w:rPr>
                <w:webHidden/>
              </w:rPr>
              <w:t>4</w:t>
            </w:r>
            <w:r w:rsidR="004C5575">
              <w:rPr>
                <w:webHidden/>
              </w:rPr>
              <w:fldChar w:fldCharType="end"/>
            </w:r>
          </w:hyperlink>
        </w:p>
        <w:p w14:paraId="07F70340" w14:textId="1D37AE74" w:rsidR="004C5575" w:rsidRDefault="004C5575">
          <w:pPr>
            <w:pStyle w:val="TOC2"/>
            <w:rPr>
              <w:rFonts w:asciiTheme="minorHAnsi" w:eastAsiaTheme="minorEastAsia" w:hAnsiTheme="minorHAnsi" w:cstheme="minorBidi"/>
              <w:kern w:val="2"/>
              <w:sz w:val="24"/>
              <w:szCs w:val="24"/>
              <w14:ligatures w14:val="standardContextual"/>
            </w:rPr>
          </w:pPr>
          <w:hyperlink w:anchor="_Toc233984123" w:history="1">
            <w:r w:rsidRPr="008E6096">
              <w:rPr>
                <w:rStyle w:val="Hyperlink"/>
                <w:rFonts w:cstheme="majorHAnsi"/>
              </w:rPr>
              <w:t>I. Corporate Profile: Hoa Sen Group (HSG)</w:t>
            </w:r>
            <w:r>
              <w:rPr>
                <w:webHidden/>
              </w:rPr>
              <w:tab/>
            </w:r>
            <w:r>
              <w:rPr>
                <w:webHidden/>
              </w:rPr>
              <w:fldChar w:fldCharType="begin"/>
            </w:r>
            <w:r>
              <w:rPr>
                <w:webHidden/>
              </w:rPr>
              <w:instrText xml:space="preserve"> PAGEREF _Toc233984123 \h </w:instrText>
            </w:r>
            <w:r>
              <w:rPr>
                <w:webHidden/>
              </w:rPr>
            </w:r>
            <w:r>
              <w:rPr>
                <w:webHidden/>
              </w:rPr>
              <w:fldChar w:fldCharType="separate"/>
            </w:r>
            <w:r>
              <w:rPr>
                <w:webHidden/>
              </w:rPr>
              <w:t>4</w:t>
            </w:r>
            <w:r>
              <w:rPr>
                <w:webHidden/>
              </w:rPr>
              <w:fldChar w:fldCharType="end"/>
            </w:r>
          </w:hyperlink>
        </w:p>
        <w:p w14:paraId="2A446F24" w14:textId="4A9FDB18" w:rsidR="004C5575" w:rsidRDefault="004C5575">
          <w:pPr>
            <w:pStyle w:val="TOC2"/>
            <w:rPr>
              <w:rFonts w:asciiTheme="minorHAnsi" w:eastAsiaTheme="minorEastAsia" w:hAnsiTheme="minorHAnsi" w:cstheme="minorBidi"/>
              <w:kern w:val="2"/>
              <w:sz w:val="24"/>
              <w:szCs w:val="24"/>
              <w14:ligatures w14:val="standardContextual"/>
            </w:rPr>
          </w:pPr>
          <w:hyperlink w:anchor="_Toc233984124" w:history="1">
            <w:r w:rsidRPr="008E6096">
              <w:rPr>
                <w:rStyle w:val="Hyperlink"/>
                <w:rFonts w:cstheme="majorHAnsi"/>
              </w:rPr>
              <w:t>II. Operation Structure</w:t>
            </w:r>
            <w:r>
              <w:rPr>
                <w:webHidden/>
              </w:rPr>
              <w:tab/>
            </w:r>
            <w:r>
              <w:rPr>
                <w:webHidden/>
              </w:rPr>
              <w:fldChar w:fldCharType="begin"/>
            </w:r>
            <w:r>
              <w:rPr>
                <w:webHidden/>
              </w:rPr>
              <w:instrText xml:space="preserve"> PAGEREF _Toc233984124 \h </w:instrText>
            </w:r>
            <w:r>
              <w:rPr>
                <w:webHidden/>
              </w:rPr>
            </w:r>
            <w:r>
              <w:rPr>
                <w:webHidden/>
              </w:rPr>
              <w:fldChar w:fldCharType="separate"/>
            </w:r>
            <w:r>
              <w:rPr>
                <w:webHidden/>
              </w:rPr>
              <w:t>4</w:t>
            </w:r>
            <w:r>
              <w:rPr>
                <w:webHidden/>
              </w:rPr>
              <w:fldChar w:fldCharType="end"/>
            </w:r>
          </w:hyperlink>
        </w:p>
        <w:p w14:paraId="1E687718" w14:textId="65363A38" w:rsidR="004C5575" w:rsidRDefault="004C5575">
          <w:pPr>
            <w:pStyle w:val="TOC2"/>
            <w:rPr>
              <w:rFonts w:asciiTheme="minorHAnsi" w:eastAsiaTheme="minorEastAsia" w:hAnsiTheme="minorHAnsi" w:cstheme="minorBidi"/>
              <w:kern w:val="2"/>
              <w:sz w:val="24"/>
              <w:szCs w:val="24"/>
              <w14:ligatures w14:val="standardContextual"/>
            </w:rPr>
          </w:pPr>
          <w:hyperlink w:anchor="_Toc233984125" w:history="1">
            <w:r w:rsidRPr="008E6096">
              <w:rPr>
                <w:rStyle w:val="Hyperlink"/>
                <w:rFonts w:cstheme="majorHAnsi"/>
              </w:rPr>
              <w:t>III. Business Segments</w:t>
            </w:r>
            <w:r>
              <w:rPr>
                <w:webHidden/>
              </w:rPr>
              <w:tab/>
            </w:r>
            <w:r>
              <w:rPr>
                <w:webHidden/>
              </w:rPr>
              <w:fldChar w:fldCharType="begin"/>
            </w:r>
            <w:r>
              <w:rPr>
                <w:webHidden/>
              </w:rPr>
              <w:instrText xml:space="preserve"> PAGEREF _Toc233984125 \h </w:instrText>
            </w:r>
            <w:r>
              <w:rPr>
                <w:webHidden/>
              </w:rPr>
            </w:r>
            <w:r>
              <w:rPr>
                <w:webHidden/>
              </w:rPr>
              <w:fldChar w:fldCharType="separate"/>
            </w:r>
            <w:r>
              <w:rPr>
                <w:webHidden/>
              </w:rPr>
              <w:t>5</w:t>
            </w:r>
            <w:r>
              <w:rPr>
                <w:webHidden/>
              </w:rPr>
              <w:fldChar w:fldCharType="end"/>
            </w:r>
          </w:hyperlink>
        </w:p>
        <w:p w14:paraId="28ADA458" w14:textId="61C65154" w:rsidR="004C5575" w:rsidRDefault="004C5575">
          <w:pPr>
            <w:pStyle w:val="TOC2"/>
            <w:rPr>
              <w:rFonts w:asciiTheme="minorHAnsi" w:eastAsiaTheme="minorEastAsia" w:hAnsiTheme="minorHAnsi" w:cstheme="minorBidi"/>
              <w:kern w:val="2"/>
              <w:sz w:val="24"/>
              <w:szCs w:val="24"/>
              <w14:ligatures w14:val="standardContextual"/>
            </w:rPr>
          </w:pPr>
          <w:hyperlink w:anchor="_Toc233984126" w:history="1">
            <w:r w:rsidRPr="008E6096">
              <w:rPr>
                <w:rStyle w:val="Hyperlink"/>
                <w:rFonts w:cstheme="majorHAnsi"/>
              </w:rPr>
              <w:t>IV. External Environment Analysis</w:t>
            </w:r>
            <w:r>
              <w:rPr>
                <w:webHidden/>
              </w:rPr>
              <w:tab/>
            </w:r>
            <w:r>
              <w:rPr>
                <w:webHidden/>
              </w:rPr>
              <w:fldChar w:fldCharType="begin"/>
            </w:r>
            <w:r>
              <w:rPr>
                <w:webHidden/>
              </w:rPr>
              <w:instrText xml:space="preserve"> PAGEREF _Toc233984126 \h </w:instrText>
            </w:r>
            <w:r>
              <w:rPr>
                <w:webHidden/>
              </w:rPr>
            </w:r>
            <w:r>
              <w:rPr>
                <w:webHidden/>
              </w:rPr>
              <w:fldChar w:fldCharType="separate"/>
            </w:r>
            <w:r>
              <w:rPr>
                <w:webHidden/>
              </w:rPr>
              <w:t>5</w:t>
            </w:r>
            <w:r>
              <w:rPr>
                <w:webHidden/>
              </w:rPr>
              <w:fldChar w:fldCharType="end"/>
            </w:r>
          </w:hyperlink>
        </w:p>
        <w:p w14:paraId="28868888" w14:textId="58BCAF3F" w:rsidR="004C5575" w:rsidRDefault="004C5575">
          <w:pPr>
            <w:pStyle w:val="TOC2"/>
            <w:rPr>
              <w:rFonts w:asciiTheme="minorHAnsi" w:eastAsiaTheme="minorEastAsia" w:hAnsiTheme="minorHAnsi" w:cstheme="minorBidi"/>
              <w:kern w:val="2"/>
              <w:sz w:val="24"/>
              <w:szCs w:val="24"/>
              <w14:ligatures w14:val="standardContextual"/>
            </w:rPr>
          </w:pPr>
          <w:hyperlink w:anchor="_Toc233984127" w:history="1">
            <w:r w:rsidRPr="008E6096">
              <w:rPr>
                <w:rStyle w:val="Hyperlink"/>
                <w:rFonts w:cstheme="majorHAnsi"/>
              </w:rPr>
              <w:t>V. Industry Analysis</w:t>
            </w:r>
            <w:r>
              <w:rPr>
                <w:webHidden/>
              </w:rPr>
              <w:tab/>
            </w:r>
            <w:r>
              <w:rPr>
                <w:webHidden/>
              </w:rPr>
              <w:fldChar w:fldCharType="begin"/>
            </w:r>
            <w:r>
              <w:rPr>
                <w:webHidden/>
              </w:rPr>
              <w:instrText xml:space="preserve"> PAGEREF _Toc233984127 \h </w:instrText>
            </w:r>
            <w:r>
              <w:rPr>
                <w:webHidden/>
              </w:rPr>
            </w:r>
            <w:r>
              <w:rPr>
                <w:webHidden/>
              </w:rPr>
              <w:fldChar w:fldCharType="separate"/>
            </w:r>
            <w:r>
              <w:rPr>
                <w:webHidden/>
              </w:rPr>
              <w:t>6</w:t>
            </w:r>
            <w:r>
              <w:rPr>
                <w:webHidden/>
              </w:rPr>
              <w:fldChar w:fldCharType="end"/>
            </w:r>
          </w:hyperlink>
        </w:p>
        <w:p w14:paraId="4C308499" w14:textId="4B56BD16" w:rsidR="004C5575" w:rsidRDefault="004C5575">
          <w:pPr>
            <w:pStyle w:val="TOC2"/>
            <w:rPr>
              <w:rFonts w:asciiTheme="minorHAnsi" w:eastAsiaTheme="minorEastAsia" w:hAnsiTheme="minorHAnsi" w:cstheme="minorBidi"/>
              <w:kern w:val="2"/>
              <w:sz w:val="24"/>
              <w:szCs w:val="24"/>
              <w14:ligatures w14:val="standardContextual"/>
            </w:rPr>
          </w:pPr>
          <w:hyperlink w:anchor="_Toc233984128" w:history="1">
            <w:r w:rsidRPr="008E6096">
              <w:rPr>
                <w:rStyle w:val="Hyperlink"/>
                <w:rFonts w:cstheme="majorHAnsi"/>
              </w:rPr>
              <w:t>VI. Value Chain and Business Ecosystem</w:t>
            </w:r>
            <w:r>
              <w:rPr>
                <w:webHidden/>
              </w:rPr>
              <w:tab/>
            </w:r>
            <w:r>
              <w:rPr>
                <w:webHidden/>
              </w:rPr>
              <w:fldChar w:fldCharType="begin"/>
            </w:r>
            <w:r>
              <w:rPr>
                <w:webHidden/>
              </w:rPr>
              <w:instrText xml:space="preserve"> PAGEREF _Toc233984128 \h </w:instrText>
            </w:r>
            <w:r>
              <w:rPr>
                <w:webHidden/>
              </w:rPr>
            </w:r>
            <w:r>
              <w:rPr>
                <w:webHidden/>
              </w:rPr>
              <w:fldChar w:fldCharType="separate"/>
            </w:r>
            <w:r>
              <w:rPr>
                <w:webHidden/>
              </w:rPr>
              <w:t>6</w:t>
            </w:r>
            <w:r>
              <w:rPr>
                <w:webHidden/>
              </w:rPr>
              <w:fldChar w:fldCharType="end"/>
            </w:r>
          </w:hyperlink>
        </w:p>
        <w:p w14:paraId="7C5BCE73" w14:textId="0B30FBC7" w:rsidR="004C5575" w:rsidRDefault="004C5575">
          <w:pPr>
            <w:pStyle w:val="TOC1"/>
            <w:rPr>
              <w:rFonts w:asciiTheme="minorHAnsi" w:eastAsiaTheme="minorEastAsia" w:hAnsiTheme="minorHAnsi" w:cstheme="minorBidi"/>
              <w:b w:val="0"/>
              <w:kern w:val="2"/>
              <w:sz w:val="24"/>
              <w:szCs w:val="24"/>
              <w14:ligatures w14:val="standardContextual"/>
            </w:rPr>
          </w:pPr>
          <w:hyperlink w:anchor="_Toc233984129" w:history="1">
            <w:r w:rsidRPr="008E6096">
              <w:rPr>
                <w:rStyle w:val="Hyperlink"/>
                <w:rFonts w:cstheme="majorHAnsi"/>
              </w:rPr>
              <w:t>PART 2. FINANCIAL STATEMENT</w:t>
            </w:r>
            <w:r>
              <w:rPr>
                <w:webHidden/>
              </w:rPr>
              <w:tab/>
            </w:r>
            <w:r>
              <w:rPr>
                <w:webHidden/>
              </w:rPr>
              <w:fldChar w:fldCharType="begin"/>
            </w:r>
            <w:r>
              <w:rPr>
                <w:webHidden/>
              </w:rPr>
              <w:instrText xml:space="preserve"> PAGEREF _Toc233984129 \h </w:instrText>
            </w:r>
            <w:r>
              <w:rPr>
                <w:webHidden/>
              </w:rPr>
            </w:r>
            <w:r>
              <w:rPr>
                <w:webHidden/>
              </w:rPr>
              <w:fldChar w:fldCharType="separate"/>
            </w:r>
            <w:r>
              <w:rPr>
                <w:webHidden/>
              </w:rPr>
              <w:t>7</w:t>
            </w:r>
            <w:r>
              <w:rPr>
                <w:webHidden/>
              </w:rPr>
              <w:fldChar w:fldCharType="end"/>
            </w:r>
          </w:hyperlink>
        </w:p>
        <w:p w14:paraId="690C0F0E" w14:textId="7F1F1241" w:rsidR="004C5575" w:rsidRDefault="004C5575">
          <w:pPr>
            <w:pStyle w:val="TOC2"/>
            <w:rPr>
              <w:rFonts w:asciiTheme="minorHAnsi" w:eastAsiaTheme="minorEastAsia" w:hAnsiTheme="minorHAnsi" w:cstheme="minorBidi"/>
              <w:kern w:val="2"/>
              <w:sz w:val="24"/>
              <w:szCs w:val="24"/>
              <w14:ligatures w14:val="standardContextual"/>
            </w:rPr>
          </w:pPr>
          <w:hyperlink w:anchor="_Toc233984130" w:history="1">
            <w:r w:rsidRPr="008E6096">
              <w:rPr>
                <w:rStyle w:val="Hyperlink"/>
                <w:rFonts w:cstheme="majorHAnsi"/>
              </w:rPr>
              <w:t>I. Balance Sheet - Assets</w:t>
            </w:r>
            <w:r>
              <w:rPr>
                <w:webHidden/>
              </w:rPr>
              <w:tab/>
            </w:r>
            <w:r>
              <w:rPr>
                <w:webHidden/>
              </w:rPr>
              <w:fldChar w:fldCharType="begin"/>
            </w:r>
            <w:r>
              <w:rPr>
                <w:webHidden/>
              </w:rPr>
              <w:instrText xml:space="preserve"> PAGEREF _Toc233984130 \h </w:instrText>
            </w:r>
            <w:r>
              <w:rPr>
                <w:webHidden/>
              </w:rPr>
            </w:r>
            <w:r>
              <w:rPr>
                <w:webHidden/>
              </w:rPr>
              <w:fldChar w:fldCharType="separate"/>
            </w:r>
            <w:r>
              <w:rPr>
                <w:webHidden/>
              </w:rPr>
              <w:t>7</w:t>
            </w:r>
            <w:r>
              <w:rPr>
                <w:webHidden/>
              </w:rPr>
              <w:fldChar w:fldCharType="end"/>
            </w:r>
          </w:hyperlink>
        </w:p>
        <w:p w14:paraId="0EAA80E7" w14:textId="00CCE76F" w:rsidR="004C5575" w:rsidRDefault="004C5575">
          <w:pPr>
            <w:pStyle w:val="TOC2"/>
            <w:rPr>
              <w:rFonts w:asciiTheme="minorHAnsi" w:eastAsiaTheme="minorEastAsia" w:hAnsiTheme="minorHAnsi" w:cstheme="minorBidi"/>
              <w:kern w:val="2"/>
              <w:sz w:val="24"/>
              <w:szCs w:val="24"/>
              <w14:ligatures w14:val="standardContextual"/>
            </w:rPr>
          </w:pPr>
          <w:hyperlink w:anchor="_Toc233984131" w:history="1">
            <w:r w:rsidRPr="008E6096">
              <w:rPr>
                <w:rStyle w:val="Hyperlink"/>
              </w:rPr>
              <w:t>II. Balance Sheet - Capital</w:t>
            </w:r>
            <w:r>
              <w:rPr>
                <w:webHidden/>
              </w:rPr>
              <w:tab/>
            </w:r>
            <w:r>
              <w:rPr>
                <w:webHidden/>
              </w:rPr>
              <w:fldChar w:fldCharType="begin"/>
            </w:r>
            <w:r>
              <w:rPr>
                <w:webHidden/>
              </w:rPr>
              <w:instrText xml:space="preserve"> PAGEREF _Toc233984131 \h </w:instrText>
            </w:r>
            <w:r>
              <w:rPr>
                <w:webHidden/>
              </w:rPr>
            </w:r>
            <w:r>
              <w:rPr>
                <w:webHidden/>
              </w:rPr>
              <w:fldChar w:fldCharType="separate"/>
            </w:r>
            <w:r>
              <w:rPr>
                <w:webHidden/>
              </w:rPr>
              <w:t>9</w:t>
            </w:r>
            <w:r>
              <w:rPr>
                <w:webHidden/>
              </w:rPr>
              <w:fldChar w:fldCharType="end"/>
            </w:r>
          </w:hyperlink>
        </w:p>
        <w:p w14:paraId="3E1FD836" w14:textId="10C0DFEF" w:rsidR="004C5575" w:rsidRDefault="004C5575">
          <w:pPr>
            <w:pStyle w:val="TOC2"/>
            <w:rPr>
              <w:rFonts w:asciiTheme="minorHAnsi" w:eastAsiaTheme="minorEastAsia" w:hAnsiTheme="minorHAnsi" w:cstheme="minorBidi"/>
              <w:kern w:val="2"/>
              <w:sz w:val="24"/>
              <w:szCs w:val="24"/>
              <w14:ligatures w14:val="standardContextual"/>
            </w:rPr>
          </w:pPr>
          <w:hyperlink w:anchor="_Toc233984132" w:history="1">
            <w:r w:rsidRPr="008E6096">
              <w:rPr>
                <w:rStyle w:val="Hyperlink"/>
                <w:rFonts w:cstheme="majorHAnsi"/>
              </w:rPr>
              <w:t>III. Income Statement</w:t>
            </w:r>
            <w:r>
              <w:rPr>
                <w:webHidden/>
              </w:rPr>
              <w:tab/>
            </w:r>
            <w:r>
              <w:rPr>
                <w:webHidden/>
              </w:rPr>
              <w:fldChar w:fldCharType="begin"/>
            </w:r>
            <w:r>
              <w:rPr>
                <w:webHidden/>
              </w:rPr>
              <w:instrText xml:space="preserve"> PAGEREF _Toc233984132 \h </w:instrText>
            </w:r>
            <w:r>
              <w:rPr>
                <w:webHidden/>
              </w:rPr>
            </w:r>
            <w:r>
              <w:rPr>
                <w:webHidden/>
              </w:rPr>
              <w:fldChar w:fldCharType="separate"/>
            </w:r>
            <w:r>
              <w:rPr>
                <w:webHidden/>
              </w:rPr>
              <w:t>11</w:t>
            </w:r>
            <w:r>
              <w:rPr>
                <w:webHidden/>
              </w:rPr>
              <w:fldChar w:fldCharType="end"/>
            </w:r>
          </w:hyperlink>
        </w:p>
        <w:p w14:paraId="66B67598" w14:textId="1B3D33D7" w:rsidR="004C5575" w:rsidRDefault="004C5575">
          <w:pPr>
            <w:pStyle w:val="TOC2"/>
            <w:rPr>
              <w:rFonts w:asciiTheme="minorHAnsi" w:eastAsiaTheme="minorEastAsia" w:hAnsiTheme="minorHAnsi" w:cstheme="minorBidi"/>
              <w:kern w:val="2"/>
              <w:sz w:val="24"/>
              <w:szCs w:val="24"/>
              <w14:ligatures w14:val="standardContextual"/>
            </w:rPr>
          </w:pPr>
          <w:hyperlink w:anchor="_Toc233984133" w:history="1">
            <w:r w:rsidRPr="008E6096">
              <w:rPr>
                <w:rStyle w:val="Hyperlink"/>
                <w:rFonts w:cstheme="majorHAnsi"/>
              </w:rPr>
              <w:t>IV. Cash flow statement</w:t>
            </w:r>
            <w:r>
              <w:rPr>
                <w:webHidden/>
              </w:rPr>
              <w:tab/>
            </w:r>
            <w:r>
              <w:rPr>
                <w:webHidden/>
              </w:rPr>
              <w:fldChar w:fldCharType="begin"/>
            </w:r>
            <w:r>
              <w:rPr>
                <w:webHidden/>
              </w:rPr>
              <w:instrText xml:space="preserve"> PAGEREF _Toc233984133 \h </w:instrText>
            </w:r>
            <w:r>
              <w:rPr>
                <w:webHidden/>
              </w:rPr>
            </w:r>
            <w:r>
              <w:rPr>
                <w:webHidden/>
              </w:rPr>
              <w:fldChar w:fldCharType="separate"/>
            </w:r>
            <w:r>
              <w:rPr>
                <w:webHidden/>
              </w:rPr>
              <w:t>12</w:t>
            </w:r>
            <w:r>
              <w:rPr>
                <w:webHidden/>
              </w:rPr>
              <w:fldChar w:fldCharType="end"/>
            </w:r>
          </w:hyperlink>
        </w:p>
        <w:p w14:paraId="00CA2A3B" w14:textId="43BA136C" w:rsidR="004C5575" w:rsidRDefault="004C5575">
          <w:pPr>
            <w:pStyle w:val="TOC2"/>
            <w:rPr>
              <w:rFonts w:asciiTheme="minorHAnsi" w:eastAsiaTheme="minorEastAsia" w:hAnsiTheme="minorHAnsi" w:cstheme="minorBidi"/>
              <w:kern w:val="2"/>
              <w:sz w:val="24"/>
              <w:szCs w:val="24"/>
              <w14:ligatures w14:val="standardContextual"/>
            </w:rPr>
          </w:pPr>
          <w:hyperlink w:anchor="_Toc233984134" w:history="1">
            <w:r w:rsidRPr="008E6096">
              <w:rPr>
                <w:rStyle w:val="Hyperlink"/>
                <w:rFonts w:cstheme="majorHAnsi"/>
              </w:rPr>
              <w:t>V. Fund mobilization</w:t>
            </w:r>
            <w:r>
              <w:rPr>
                <w:webHidden/>
              </w:rPr>
              <w:tab/>
            </w:r>
            <w:r>
              <w:rPr>
                <w:webHidden/>
              </w:rPr>
              <w:fldChar w:fldCharType="begin"/>
            </w:r>
            <w:r>
              <w:rPr>
                <w:webHidden/>
              </w:rPr>
              <w:instrText xml:space="preserve"> PAGEREF _Toc233984134 \h </w:instrText>
            </w:r>
            <w:r>
              <w:rPr>
                <w:webHidden/>
              </w:rPr>
            </w:r>
            <w:r>
              <w:rPr>
                <w:webHidden/>
              </w:rPr>
              <w:fldChar w:fldCharType="separate"/>
            </w:r>
            <w:r>
              <w:rPr>
                <w:webHidden/>
              </w:rPr>
              <w:t>15</w:t>
            </w:r>
            <w:r>
              <w:rPr>
                <w:webHidden/>
              </w:rPr>
              <w:fldChar w:fldCharType="end"/>
            </w:r>
          </w:hyperlink>
        </w:p>
        <w:p w14:paraId="66C2BD06" w14:textId="7E0C1AD4" w:rsidR="004C5575" w:rsidRDefault="004C5575">
          <w:pPr>
            <w:pStyle w:val="TOC2"/>
            <w:rPr>
              <w:rFonts w:asciiTheme="minorHAnsi" w:eastAsiaTheme="minorEastAsia" w:hAnsiTheme="minorHAnsi" w:cstheme="minorBidi"/>
              <w:kern w:val="2"/>
              <w:sz w:val="24"/>
              <w:szCs w:val="24"/>
              <w14:ligatures w14:val="standardContextual"/>
            </w:rPr>
          </w:pPr>
          <w:hyperlink w:anchor="_Toc233984135" w:history="1">
            <w:r w:rsidRPr="008E6096">
              <w:rPr>
                <w:rStyle w:val="Hyperlink"/>
                <w:rFonts w:cstheme="majorHAnsi"/>
              </w:rPr>
              <w:t>VI. Investment and Operation</w:t>
            </w:r>
            <w:r>
              <w:rPr>
                <w:webHidden/>
              </w:rPr>
              <w:tab/>
            </w:r>
            <w:r>
              <w:rPr>
                <w:webHidden/>
              </w:rPr>
              <w:fldChar w:fldCharType="begin"/>
            </w:r>
            <w:r>
              <w:rPr>
                <w:webHidden/>
              </w:rPr>
              <w:instrText xml:space="preserve"> PAGEREF _Toc233984135 \h </w:instrText>
            </w:r>
            <w:r>
              <w:rPr>
                <w:webHidden/>
              </w:rPr>
            </w:r>
            <w:r>
              <w:rPr>
                <w:webHidden/>
              </w:rPr>
              <w:fldChar w:fldCharType="separate"/>
            </w:r>
            <w:r>
              <w:rPr>
                <w:webHidden/>
              </w:rPr>
              <w:t>16</w:t>
            </w:r>
            <w:r>
              <w:rPr>
                <w:webHidden/>
              </w:rPr>
              <w:fldChar w:fldCharType="end"/>
            </w:r>
          </w:hyperlink>
        </w:p>
        <w:p w14:paraId="57DA73BC" w14:textId="6D7423A3" w:rsidR="004C5575" w:rsidRDefault="004C5575">
          <w:pPr>
            <w:pStyle w:val="TOC2"/>
            <w:rPr>
              <w:rFonts w:asciiTheme="minorHAnsi" w:eastAsiaTheme="minorEastAsia" w:hAnsiTheme="minorHAnsi" w:cstheme="minorBidi"/>
              <w:kern w:val="2"/>
              <w:sz w:val="24"/>
              <w:szCs w:val="24"/>
              <w14:ligatures w14:val="standardContextual"/>
            </w:rPr>
          </w:pPr>
          <w:hyperlink w:anchor="_Toc233984136" w:history="1">
            <w:r w:rsidRPr="008E6096">
              <w:rPr>
                <w:rStyle w:val="Hyperlink"/>
                <w:rFonts w:cstheme="majorHAnsi"/>
              </w:rPr>
              <w:t>VII. Profit Distribution</w:t>
            </w:r>
            <w:r>
              <w:rPr>
                <w:webHidden/>
              </w:rPr>
              <w:tab/>
            </w:r>
            <w:r>
              <w:rPr>
                <w:webHidden/>
              </w:rPr>
              <w:fldChar w:fldCharType="begin"/>
            </w:r>
            <w:r>
              <w:rPr>
                <w:webHidden/>
              </w:rPr>
              <w:instrText xml:space="preserve"> PAGEREF _Toc233984136 \h </w:instrText>
            </w:r>
            <w:r>
              <w:rPr>
                <w:webHidden/>
              </w:rPr>
            </w:r>
            <w:r>
              <w:rPr>
                <w:webHidden/>
              </w:rPr>
              <w:fldChar w:fldCharType="separate"/>
            </w:r>
            <w:r>
              <w:rPr>
                <w:webHidden/>
              </w:rPr>
              <w:t>16</w:t>
            </w:r>
            <w:r>
              <w:rPr>
                <w:webHidden/>
              </w:rPr>
              <w:fldChar w:fldCharType="end"/>
            </w:r>
          </w:hyperlink>
        </w:p>
        <w:p w14:paraId="7296CF75" w14:textId="50E70ED2" w:rsidR="004C5575" w:rsidRDefault="004C5575">
          <w:pPr>
            <w:pStyle w:val="TOC1"/>
            <w:rPr>
              <w:rFonts w:asciiTheme="minorHAnsi" w:eastAsiaTheme="minorEastAsia" w:hAnsiTheme="minorHAnsi" w:cstheme="minorBidi"/>
              <w:b w:val="0"/>
              <w:kern w:val="2"/>
              <w:sz w:val="24"/>
              <w:szCs w:val="24"/>
              <w14:ligatures w14:val="standardContextual"/>
            </w:rPr>
          </w:pPr>
          <w:hyperlink w:anchor="_Toc233984137" w:history="1">
            <w:r w:rsidRPr="008E6096">
              <w:rPr>
                <w:rStyle w:val="Hyperlink"/>
                <w:rFonts w:cstheme="majorHAnsi"/>
              </w:rPr>
              <w:t>Part 3. FUND MOBILIZATION</w:t>
            </w:r>
            <w:r>
              <w:rPr>
                <w:webHidden/>
              </w:rPr>
              <w:tab/>
            </w:r>
            <w:r>
              <w:rPr>
                <w:webHidden/>
              </w:rPr>
              <w:fldChar w:fldCharType="begin"/>
            </w:r>
            <w:r>
              <w:rPr>
                <w:webHidden/>
              </w:rPr>
              <w:instrText xml:space="preserve"> PAGEREF _Toc233984137 \h </w:instrText>
            </w:r>
            <w:r>
              <w:rPr>
                <w:webHidden/>
              </w:rPr>
            </w:r>
            <w:r>
              <w:rPr>
                <w:webHidden/>
              </w:rPr>
              <w:fldChar w:fldCharType="separate"/>
            </w:r>
            <w:r>
              <w:rPr>
                <w:webHidden/>
              </w:rPr>
              <w:t>16</w:t>
            </w:r>
            <w:r>
              <w:rPr>
                <w:webHidden/>
              </w:rPr>
              <w:fldChar w:fldCharType="end"/>
            </w:r>
          </w:hyperlink>
        </w:p>
        <w:p w14:paraId="1EA1A561" w14:textId="1DBB0D45" w:rsidR="004C5575" w:rsidRDefault="004C5575">
          <w:pPr>
            <w:pStyle w:val="TOC2"/>
            <w:rPr>
              <w:rFonts w:asciiTheme="minorHAnsi" w:eastAsiaTheme="minorEastAsia" w:hAnsiTheme="minorHAnsi" w:cstheme="minorBidi"/>
              <w:kern w:val="2"/>
              <w:sz w:val="24"/>
              <w:szCs w:val="24"/>
              <w14:ligatures w14:val="standardContextual"/>
            </w:rPr>
          </w:pPr>
          <w:hyperlink w:anchor="_Toc233984138" w:history="1">
            <w:r w:rsidRPr="008E6096">
              <w:rPr>
                <w:rStyle w:val="Hyperlink"/>
                <w:rFonts w:cstheme="majorHAnsi"/>
              </w:rPr>
              <w:t>I. Fund mobilization parttcipants</w:t>
            </w:r>
            <w:r>
              <w:rPr>
                <w:webHidden/>
              </w:rPr>
              <w:tab/>
            </w:r>
            <w:r>
              <w:rPr>
                <w:webHidden/>
              </w:rPr>
              <w:fldChar w:fldCharType="begin"/>
            </w:r>
            <w:r>
              <w:rPr>
                <w:webHidden/>
              </w:rPr>
              <w:instrText xml:space="preserve"> PAGEREF _Toc233984138 \h </w:instrText>
            </w:r>
            <w:r>
              <w:rPr>
                <w:webHidden/>
              </w:rPr>
            </w:r>
            <w:r>
              <w:rPr>
                <w:webHidden/>
              </w:rPr>
              <w:fldChar w:fldCharType="separate"/>
            </w:r>
            <w:r>
              <w:rPr>
                <w:webHidden/>
              </w:rPr>
              <w:t>16</w:t>
            </w:r>
            <w:r>
              <w:rPr>
                <w:webHidden/>
              </w:rPr>
              <w:fldChar w:fldCharType="end"/>
            </w:r>
          </w:hyperlink>
        </w:p>
        <w:p w14:paraId="3A52470A" w14:textId="05B9ABE6" w:rsidR="004C5575" w:rsidRDefault="004C5575">
          <w:pPr>
            <w:pStyle w:val="TOC2"/>
            <w:rPr>
              <w:rFonts w:asciiTheme="minorHAnsi" w:eastAsiaTheme="minorEastAsia" w:hAnsiTheme="minorHAnsi" w:cstheme="minorBidi"/>
              <w:kern w:val="2"/>
              <w:sz w:val="24"/>
              <w:szCs w:val="24"/>
              <w14:ligatures w14:val="standardContextual"/>
            </w:rPr>
          </w:pPr>
          <w:hyperlink w:anchor="_Toc233984139" w:history="1">
            <w:r w:rsidRPr="008E6096">
              <w:rPr>
                <w:rStyle w:val="Hyperlink"/>
              </w:rPr>
              <w:t>II. Liabilities:</w:t>
            </w:r>
            <w:r>
              <w:rPr>
                <w:webHidden/>
              </w:rPr>
              <w:tab/>
            </w:r>
            <w:r>
              <w:rPr>
                <w:webHidden/>
              </w:rPr>
              <w:fldChar w:fldCharType="begin"/>
            </w:r>
            <w:r>
              <w:rPr>
                <w:webHidden/>
              </w:rPr>
              <w:instrText xml:space="preserve"> PAGEREF _Toc233984139 \h </w:instrText>
            </w:r>
            <w:r>
              <w:rPr>
                <w:webHidden/>
              </w:rPr>
            </w:r>
            <w:r>
              <w:rPr>
                <w:webHidden/>
              </w:rPr>
              <w:fldChar w:fldCharType="separate"/>
            </w:r>
            <w:r>
              <w:rPr>
                <w:webHidden/>
              </w:rPr>
              <w:t>18</w:t>
            </w:r>
            <w:r>
              <w:rPr>
                <w:webHidden/>
              </w:rPr>
              <w:fldChar w:fldCharType="end"/>
            </w:r>
          </w:hyperlink>
        </w:p>
        <w:p w14:paraId="017C2B72" w14:textId="22F20292" w:rsidR="004C5575" w:rsidRDefault="004C5575">
          <w:pPr>
            <w:pStyle w:val="TOC2"/>
            <w:rPr>
              <w:rFonts w:asciiTheme="minorHAnsi" w:eastAsiaTheme="minorEastAsia" w:hAnsiTheme="minorHAnsi" w:cstheme="minorBidi"/>
              <w:kern w:val="2"/>
              <w:sz w:val="24"/>
              <w:szCs w:val="24"/>
              <w14:ligatures w14:val="standardContextual"/>
            </w:rPr>
          </w:pPr>
          <w:hyperlink w:anchor="_Toc233984140" w:history="1">
            <w:r w:rsidRPr="008E6096">
              <w:rPr>
                <w:rStyle w:val="Hyperlink"/>
              </w:rPr>
              <w:t>III. Matching of fund structure:</w:t>
            </w:r>
            <w:r>
              <w:rPr>
                <w:webHidden/>
              </w:rPr>
              <w:tab/>
            </w:r>
            <w:r>
              <w:rPr>
                <w:webHidden/>
              </w:rPr>
              <w:fldChar w:fldCharType="begin"/>
            </w:r>
            <w:r>
              <w:rPr>
                <w:webHidden/>
              </w:rPr>
              <w:instrText xml:space="preserve"> PAGEREF _Toc233984140 \h </w:instrText>
            </w:r>
            <w:r>
              <w:rPr>
                <w:webHidden/>
              </w:rPr>
            </w:r>
            <w:r>
              <w:rPr>
                <w:webHidden/>
              </w:rPr>
              <w:fldChar w:fldCharType="separate"/>
            </w:r>
            <w:r>
              <w:rPr>
                <w:webHidden/>
              </w:rPr>
              <w:t>19</w:t>
            </w:r>
            <w:r>
              <w:rPr>
                <w:webHidden/>
              </w:rPr>
              <w:fldChar w:fldCharType="end"/>
            </w:r>
          </w:hyperlink>
        </w:p>
        <w:p w14:paraId="139B5B9B" w14:textId="35EEA40B" w:rsidR="004C5575" w:rsidRDefault="004C5575">
          <w:pPr>
            <w:pStyle w:val="TOC2"/>
            <w:rPr>
              <w:rFonts w:asciiTheme="minorHAnsi" w:eastAsiaTheme="minorEastAsia" w:hAnsiTheme="minorHAnsi" w:cstheme="minorBidi"/>
              <w:kern w:val="2"/>
              <w:sz w:val="24"/>
              <w:szCs w:val="24"/>
              <w14:ligatures w14:val="standardContextual"/>
            </w:rPr>
          </w:pPr>
          <w:hyperlink w:anchor="_Toc233984141" w:history="1">
            <w:r w:rsidRPr="008E6096">
              <w:rPr>
                <w:rStyle w:val="Hyperlink"/>
              </w:rPr>
              <w:t>IV. Cost of Capital:</w:t>
            </w:r>
            <w:r>
              <w:rPr>
                <w:webHidden/>
              </w:rPr>
              <w:tab/>
            </w:r>
            <w:r>
              <w:rPr>
                <w:webHidden/>
              </w:rPr>
              <w:fldChar w:fldCharType="begin"/>
            </w:r>
            <w:r>
              <w:rPr>
                <w:webHidden/>
              </w:rPr>
              <w:instrText xml:space="preserve"> PAGEREF _Toc233984141 \h </w:instrText>
            </w:r>
            <w:r>
              <w:rPr>
                <w:webHidden/>
              </w:rPr>
            </w:r>
            <w:r>
              <w:rPr>
                <w:webHidden/>
              </w:rPr>
              <w:fldChar w:fldCharType="separate"/>
            </w:r>
            <w:r>
              <w:rPr>
                <w:webHidden/>
              </w:rPr>
              <w:t>21</w:t>
            </w:r>
            <w:r>
              <w:rPr>
                <w:webHidden/>
              </w:rPr>
              <w:fldChar w:fldCharType="end"/>
            </w:r>
          </w:hyperlink>
        </w:p>
        <w:p w14:paraId="4A15FCB6" w14:textId="78847882" w:rsidR="004C5575" w:rsidRDefault="004C5575">
          <w:pPr>
            <w:pStyle w:val="TOC2"/>
            <w:rPr>
              <w:rFonts w:asciiTheme="minorHAnsi" w:eastAsiaTheme="minorEastAsia" w:hAnsiTheme="minorHAnsi" w:cstheme="minorBidi"/>
              <w:kern w:val="2"/>
              <w:sz w:val="24"/>
              <w:szCs w:val="24"/>
              <w14:ligatures w14:val="standardContextual"/>
            </w:rPr>
          </w:pPr>
          <w:hyperlink w:anchor="_Toc233984142" w:history="1">
            <w:r w:rsidRPr="008E6096">
              <w:rPr>
                <w:rStyle w:val="Hyperlink"/>
              </w:rPr>
              <w:t>V. Efficiency of Financing</w:t>
            </w:r>
            <w:r>
              <w:rPr>
                <w:webHidden/>
              </w:rPr>
              <w:tab/>
            </w:r>
            <w:r>
              <w:rPr>
                <w:webHidden/>
              </w:rPr>
              <w:fldChar w:fldCharType="begin"/>
            </w:r>
            <w:r>
              <w:rPr>
                <w:webHidden/>
              </w:rPr>
              <w:instrText xml:space="preserve"> PAGEREF _Toc233984142 \h </w:instrText>
            </w:r>
            <w:r>
              <w:rPr>
                <w:webHidden/>
              </w:rPr>
            </w:r>
            <w:r>
              <w:rPr>
                <w:webHidden/>
              </w:rPr>
              <w:fldChar w:fldCharType="separate"/>
            </w:r>
            <w:r>
              <w:rPr>
                <w:webHidden/>
              </w:rPr>
              <w:t>21</w:t>
            </w:r>
            <w:r>
              <w:rPr>
                <w:webHidden/>
              </w:rPr>
              <w:fldChar w:fldCharType="end"/>
            </w:r>
          </w:hyperlink>
        </w:p>
        <w:p w14:paraId="488CA852" w14:textId="3B08A8AE" w:rsidR="004C5575" w:rsidRDefault="004C5575">
          <w:pPr>
            <w:pStyle w:val="TOC2"/>
            <w:rPr>
              <w:rFonts w:asciiTheme="minorHAnsi" w:eastAsiaTheme="minorEastAsia" w:hAnsiTheme="minorHAnsi" w:cstheme="minorBidi"/>
              <w:kern w:val="2"/>
              <w:sz w:val="24"/>
              <w:szCs w:val="24"/>
              <w14:ligatures w14:val="standardContextual"/>
            </w:rPr>
          </w:pPr>
          <w:hyperlink w:anchor="_Toc233984143" w:history="1">
            <w:r w:rsidRPr="008E6096">
              <w:rPr>
                <w:rStyle w:val="Hyperlink"/>
              </w:rPr>
              <w:t>VI. Risk of Financing</w:t>
            </w:r>
            <w:r>
              <w:rPr>
                <w:webHidden/>
              </w:rPr>
              <w:tab/>
            </w:r>
            <w:r>
              <w:rPr>
                <w:webHidden/>
              </w:rPr>
              <w:fldChar w:fldCharType="begin"/>
            </w:r>
            <w:r>
              <w:rPr>
                <w:webHidden/>
              </w:rPr>
              <w:instrText xml:space="preserve"> PAGEREF _Toc233984143 \h </w:instrText>
            </w:r>
            <w:r>
              <w:rPr>
                <w:webHidden/>
              </w:rPr>
            </w:r>
            <w:r>
              <w:rPr>
                <w:webHidden/>
              </w:rPr>
              <w:fldChar w:fldCharType="separate"/>
            </w:r>
            <w:r>
              <w:rPr>
                <w:webHidden/>
              </w:rPr>
              <w:t>22</w:t>
            </w:r>
            <w:r>
              <w:rPr>
                <w:webHidden/>
              </w:rPr>
              <w:fldChar w:fldCharType="end"/>
            </w:r>
          </w:hyperlink>
        </w:p>
        <w:p w14:paraId="57223DFC" w14:textId="5320FD52" w:rsidR="004C5575" w:rsidRDefault="004C5575">
          <w:pPr>
            <w:pStyle w:val="TOC1"/>
            <w:rPr>
              <w:rFonts w:asciiTheme="minorHAnsi" w:eastAsiaTheme="minorEastAsia" w:hAnsiTheme="minorHAnsi" w:cstheme="minorBidi"/>
              <w:b w:val="0"/>
              <w:kern w:val="2"/>
              <w:sz w:val="24"/>
              <w:szCs w:val="24"/>
              <w14:ligatures w14:val="standardContextual"/>
            </w:rPr>
          </w:pPr>
          <w:hyperlink w:anchor="_Toc233984144" w:history="1">
            <w:r w:rsidRPr="008E6096">
              <w:rPr>
                <w:rStyle w:val="Hyperlink"/>
                <w:rFonts w:cstheme="majorHAnsi"/>
              </w:rPr>
              <w:t>PART 4. INVESTMENT</w:t>
            </w:r>
            <w:r>
              <w:rPr>
                <w:webHidden/>
              </w:rPr>
              <w:tab/>
            </w:r>
            <w:r>
              <w:rPr>
                <w:webHidden/>
              </w:rPr>
              <w:fldChar w:fldCharType="begin"/>
            </w:r>
            <w:r>
              <w:rPr>
                <w:webHidden/>
              </w:rPr>
              <w:instrText xml:space="preserve"> PAGEREF _Toc233984144 \h </w:instrText>
            </w:r>
            <w:r>
              <w:rPr>
                <w:webHidden/>
              </w:rPr>
            </w:r>
            <w:r>
              <w:rPr>
                <w:webHidden/>
              </w:rPr>
              <w:fldChar w:fldCharType="separate"/>
            </w:r>
            <w:r>
              <w:rPr>
                <w:webHidden/>
              </w:rPr>
              <w:t>23</w:t>
            </w:r>
            <w:r>
              <w:rPr>
                <w:webHidden/>
              </w:rPr>
              <w:fldChar w:fldCharType="end"/>
            </w:r>
          </w:hyperlink>
        </w:p>
        <w:p w14:paraId="57B0D179" w14:textId="105C3758" w:rsidR="004C5575" w:rsidRDefault="004C5575">
          <w:pPr>
            <w:pStyle w:val="TOC2"/>
            <w:rPr>
              <w:rFonts w:asciiTheme="minorHAnsi" w:eastAsiaTheme="minorEastAsia" w:hAnsiTheme="minorHAnsi" w:cstheme="minorBidi"/>
              <w:kern w:val="2"/>
              <w:sz w:val="24"/>
              <w:szCs w:val="24"/>
              <w14:ligatures w14:val="standardContextual"/>
            </w:rPr>
          </w:pPr>
          <w:hyperlink w:anchor="_Toc233984145" w:history="1">
            <w:r w:rsidRPr="008E6096">
              <w:rPr>
                <w:rStyle w:val="Hyperlink"/>
                <w:rFonts w:cstheme="majorHAnsi"/>
              </w:rPr>
              <w:t>I. Investment Strategy &amp; Portfolio</w:t>
            </w:r>
            <w:r>
              <w:rPr>
                <w:webHidden/>
              </w:rPr>
              <w:tab/>
            </w:r>
            <w:r>
              <w:rPr>
                <w:webHidden/>
              </w:rPr>
              <w:fldChar w:fldCharType="begin"/>
            </w:r>
            <w:r>
              <w:rPr>
                <w:webHidden/>
              </w:rPr>
              <w:instrText xml:space="preserve"> PAGEREF _Toc233984145 \h </w:instrText>
            </w:r>
            <w:r>
              <w:rPr>
                <w:webHidden/>
              </w:rPr>
            </w:r>
            <w:r>
              <w:rPr>
                <w:webHidden/>
              </w:rPr>
              <w:fldChar w:fldCharType="separate"/>
            </w:r>
            <w:r>
              <w:rPr>
                <w:webHidden/>
              </w:rPr>
              <w:t>23</w:t>
            </w:r>
            <w:r>
              <w:rPr>
                <w:webHidden/>
              </w:rPr>
              <w:fldChar w:fldCharType="end"/>
            </w:r>
          </w:hyperlink>
        </w:p>
        <w:p w14:paraId="3561027F" w14:textId="44C30459" w:rsidR="004C5575" w:rsidRDefault="004C5575">
          <w:pPr>
            <w:pStyle w:val="TOC2"/>
            <w:rPr>
              <w:rFonts w:asciiTheme="minorHAnsi" w:eastAsiaTheme="minorEastAsia" w:hAnsiTheme="minorHAnsi" w:cstheme="minorBidi"/>
              <w:kern w:val="2"/>
              <w:sz w:val="24"/>
              <w:szCs w:val="24"/>
              <w14:ligatures w14:val="standardContextual"/>
            </w:rPr>
          </w:pPr>
          <w:hyperlink w:anchor="_Toc233984146" w:history="1">
            <w:r w:rsidRPr="008E6096">
              <w:rPr>
                <w:rStyle w:val="Hyperlink"/>
              </w:rPr>
              <w:t>II. Investment Efficiency Performance</w:t>
            </w:r>
            <w:r>
              <w:rPr>
                <w:webHidden/>
              </w:rPr>
              <w:tab/>
            </w:r>
            <w:r>
              <w:rPr>
                <w:webHidden/>
              </w:rPr>
              <w:fldChar w:fldCharType="begin"/>
            </w:r>
            <w:r>
              <w:rPr>
                <w:webHidden/>
              </w:rPr>
              <w:instrText xml:space="preserve"> PAGEREF _Toc233984146 \h </w:instrText>
            </w:r>
            <w:r>
              <w:rPr>
                <w:webHidden/>
              </w:rPr>
            </w:r>
            <w:r>
              <w:rPr>
                <w:webHidden/>
              </w:rPr>
              <w:fldChar w:fldCharType="separate"/>
            </w:r>
            <w:r>
              <w:rPr>
                <w:webHidden/>
              </w:rPr>
              <w:t>26</w:t>
            </w:r>
            <w:r>
              <w:rPr>
                <w:webHidden/>
              </w:rPr>
              <w:fldChar w:fldCharType="end"/>
            </w:r>
          </w:hyperlink>
        </w:p>
        <w:p w14:paraId="65A99F6C" w14:textId="4AA653B3" w:rsidR="004C5575" w:rsidRDefault="004C5575">
          <w:pPr>
            <w:pStyle w:val="TOC1"/>
            <w:rPr>
              <w:rFonts w:asciiTheme="minorHAnsi" w:eastAsiaTheme="minorEastAsia" w:hAnsiTheme="minorHAnsi" w:cstheme="minorBidi"/>
              <w:b w:val="0"/>
              <w:kern w:val="2"/>
              <w:sz w:val="24"/>
              <w:szCs w:val="24"/>
              <w14:ligatures w14:val="standardContextual"/>
            </w:rPr>
          </w:pPr>
          <w:hyperlink w:anchor="_Toc233984147" w:history="1">
            <w:r w:rsidRPr="008E6096">
              <w:rPr>
                <w:rStyle w:val="Hyperlink"/>
                <w:rFonts w:cstheme="majorHAnsi"/>
              </w:rPr>
              <w:t>PART 5. PROFIT SHARING</w:t>
            </w:r>
            <w:r>
              <w:rPr>
                <w:webHidden/>
              </w:rPr>
              <w:tab/>
            </w:r>
            <w:r>
              <w:rPr>
                <w:webHidden/>
              </w:rPr>
              <w:fldChar w:fldCharType="begin"/>
            </w:r>
            <w:r>
              <w:rPr>
                <w:webHidden/>
              </w:rPr>
              <w:instrText xml:space="preserve"> PAGEREF _Toc233984147 \h </w:instrText>
            </w:r>
            <w:r>
              <w:rPr>
                <w:webHidden/>
              </w:rPr>
            </w:r>
            <w:r>
              <w:rPr>
                <w:webHidden/>
              </w:rPr>
              <w:fldChar w:fldCharType="separate"/>
            </w:r>
            <w:r>
              <w:rPr>
                <w:webHidden/>
              </w:rPr>
              <w:t>29</w:t>
            </w:r>
            <w:r>
              <w:rPr>
                <w:webHidden/>
              </w:rPr>
              <w:fldChar w:fldCharType="end"/>
            </w:r>
          </w:hyperlink>
        </w:p>
        <w:p w14:paraId="3755D18B" w14:textId="2F5CF013" w:rsidR="004C5575" w:rsidRDefault="004C5575">
          <w:pPr>
            <w:pStyle w:val="TOC2"/>
            <w:rPr>
              <w:rFonts w:asciiTheme="minorHAnsi" w:eastAsiaTheme="minorEastAsia" w:hAnsiTheme="minorHAnsi" w:cstheme="minorBidi"/>
              <w:kern w:val="2"/>
              <w:sz w:val="24"/>
              <w:szCs w:val="24"/>
              <w14:ligatures w14:val="standardContextual"/>
            </w:rPr>
          </w:pPr>
          <w:hyperlink w:anchor="_Toc233984148" w:history="1">
            <w:r w:rsidRPr="008E6096">
              <w:rPr>
                <w:rStyle w:val="Hyperlink"/>
                <w:rFonts w:cstheme="majorHAnsi"/>
              </w:rPr>
              <w:t>I. Internal Financing Capacity</w:t>
            </w:r>
            <w:r>
              <w:rPr>
                <w:webHidden/>
              </w:rPr>
              <w:tab/>
            </w:r>
            <w:r>
              <w:rPr>
                <w:webHidden/>
              </w:rPr>
              <w:fldChar w:fldCharType="begin"/>
            </w:r>
            <w:r>
              <w:rPr>
                <w:webHidden/>
              </w:rPr>
              <w:instrText xml:space="preserve"> PAGEREF _Toc233984148 \h </w:instrText>
            </w:r>
            <w:r>
              <w:rPr>
                <w:webHidden/>
              </w:rPr>
            </w:r>
            <w:r>
              <w:rPr>
                <w:webHidden/>
              </w:rPr>
              <w:fldChar w:fldCharType="separate"/>
            </w:r>
            <w:r>
              <w:rPr>
                <w:webHidden/>
              </w:rPr>
              <w:t>29</w:t>
            </w:r>
            <w:r>
              <w:rPr>
                <w:webHidden/>
              </w:rPr>
              <w:fldChar w:fldCharType="end"/>
            </w:r>
          </w:hyperlink>
        </w:p>
        <w:p w14:paraId="72549D21" w14:textId="1EF0618A" w:rsidR="004C5575" w:rsidRDefault="004C5575">
          <w:pPr>
            <w:pStyle w:val="TOC2"/>
            <w:rPr>
              <w:rFonts w:asciiTheme="minorHAnsi" w:eastAsiaTheme="minorEastAsia" w:hAnsiTheme="minorHAnsi" w:cstheme="minorBidi"/>
              <w:kern w:val="2"/>
              <w:sz w:val="24"/>
              <w:szCs w:val="24"/>
              <w14:ligatures w14:val="standardContextual"/>
            </w:rPr>
          </w:pPr>
          <w:hyperlink w:anchor="_Toc233984149" w:history="1">
            <w:r w:rsidRPr="008E6096">
              <w:rPr>
                <w:rStyle w:val="Hyperlink"/>
                <w:rFonts w:cstheme="majorHAnsi"/>
              </w:rPr>
              <w:t>II. Dividend Policy Evolution</w:t>
            </w:r>
            <w:r>
              <w:rPr>
                <w:webHidden/>
              </w:rPr>
              <w:tab/>
            </w:r>
            <w:r>
              <w:rPr>
                <w:webHidden/>
              </w:rPr>
              <w:fldChar w:fldCharType="begin"/>
            </w:r>
            <w:r>
              <w:rPr>
                <w:webHidden/>
              </w:rPr>
              <w:instrText xml:space="preserve"> PAGEREF _Toc233984149 \h </w:instrText>
            </w:r>
            <w:r>
              <w:rPr>
                <w:webHidden/>
              </w:rPr>
            </w:r>
            <w:r>
              <w:rPr>
                <w:webHidden/>
              </w:rPr>
              <w:fldChar w:fldCharType="separate"/>
            </w:r>
            <w:r>
              <w:rPr>
                <w:webHidden/>
              </w:rPr>
              <w:t>30</w:t>
            </w:r>
            <w:r>
              <w:rPr>
                <w:webHidden/>
              </w:rPr>
              <w:fldChar w:fldCharType="end"/>
            </w:r>
          </w:hyperlink>
        </w:p>
        <w:p w14:paraId="331D00D0" w14:textId="0BB03C19" w:rsidR="004C5575" w:rsidRDefault="004C5575">
          <w:pPr>
            <w:pStyle w:val="TOC2"/>
            <w:rPr>
              <w:rFonts w:asciiTheme="minorHAnsi" w:eastAsiaTheme="minorEastAsia" w:hAnsiTheme="minorHAnsi" w:cstheme="minorBidi"/>
              <w:kern w:val="2"/>
              <w:sz w:val="24"/>
              <w:szCs w:val="24"/>
              <w14:ligatures w14:val="standardContextual"/>
            </w:rPr>
          </w:pPr>
          <w:hyperlink w:anchor="_Toc233984150" w:history="1">
            <w:r w:rsidRPr="008E6096">
              <w:rPr>
                <w:rStyle w:val="Hyperlink"/>
                <w:rFonts w:cstheme="majorHAnsi"/>
              </w:rPr>
              <w:t>III. Policy Assessment</w:t>
            </w:r>
            <w:r>
              <w:rPr>
                <w:webHidden/>
              </w:rPr>
              <w:tab/>
            </w:r>
            <w:r>
              <w:rPr>
                <w:webHidden/>
              </w:rPr>
              <w:fldChar w:fldCharType="begin"/>
            </w:r>
            <w:r>
              <w:rPr>
                <w:webHidden/>
              </w:rPr>
              <w:instrText xml:space="preserve"> PAGEREF _Toc233984150 \h </w:instrText>
            </w:r>
            <w:r>
              <w:rPr>
                <w:webHidden/>
              </w:rPr>
            </w:r>
            <w:r>
              <w:rPr>
                <w:webHidden/>
              </w:rPr>
              <w:fldChar w:fldCharType="separate"/>
            </w:r>
            <w:r>
              <w:rPr>
                <w:webHidden/>
              </w:rPr>
              <w:t>30</w:t>
            </w:r>
            <w:r>
              <w:rPr>
                <w:webHidden/>
              </w:rPr>
              <w:fldChar w:fldCharType="end"/>
            </w:r>
          </w:hyperlink>
        </w:p>
        <w:p w14:paraId="7AB4EEEB" w14:textId="6F4B1EC4" w:rsidR="004C5575" w:rsidRDefault="004C5575">
          <w:pPr>
            <w:pStyle w:val="TOC1"/>
            <w:rPr>
              <w:rFonts w:asciiTheme="minorHAnsi" w:eastAsiaTheme="minorEastAsia" w:hAnsiTheme="minorHAnsi" w:cstheme="minorBidi"/>
              <w:b w:val="0"/>
              <w:kern w:val="2"/>
              <w:sz w:val="24"/>
              <w:szCs w:val="24"/>
              <w14:ligatures w14:val="standardContextual"/>
            </w:rPr>
          </w:pPr>
          <w:hyperlink w:anchor="_Toc233984151" w:history="1">
            <w:r w:rsidRPr="008E6096">
              <w:rPr>
                <w:rStyle w:val="Hyperlink"/>
                <w:rFonts w:cstheme="majorHAnsi"/>
              </w:rPr>
              <w:t>PART 6. OVERALL ASSESSMENT</w:t>
            </w:r>
            <w:r>
              <w:rPr>
                <w:webHidden/>
              </w:rPr>
              <w:tab/>
            </w:r>
            <w:r>
              <w:rPr>
                <w:webHidden/>
              </w:rPr>
              <w:fldChar w:fldCharType="begin"/>
            </w:r>
            <w:r>
              <w:rPr>
                <w:webHidden/>
              </w:rPr>
              <w:instrText xml:space="preserve"> PAGEREF _Toc233984151 \h </w:instrText>
            </w:r>
            <w:r>
              <w:rPr>
                <w:webHidden/>
              </w:rPr>
            </w:r>
            <w:r>
              <w:rPr>
                <w:webHidden/>
              </w:rPr>
              <w:fldChar w:fldCharType="separate"/>
            </w:r>
            <w:r>
              <w:rPr>
                <w:webHidden/>
              </w:rPr>
              <w:t>30</w:t>
            </w:r>
            <w:r>
              <w:rPr>
                <w:webHidden/>
              </w:rPr>
              <w:fldChar w:fldCharType="end"/>
            </w:r>
          </w:hyperlink>
        </w:p>
        <w:p w14:paraId="0A3EB8E4" w14:textId="78ADDE37" w:rsidR="004C5575" w:rsidRDefault="004C5575">
          <w:pPr>
            <w:pStyle w:val="TOC2"/>
            <w:rPr>
              <w:rFonts w:asciiTheme="minorHAnsi" w:eastAsiaTheme="minorEastAsia" w:hAnsiTheme="minorHAnsi" w:cstheme="minorBidi"/>
              <w:kern w:val="2"/>
              <w:sz w:val="24"/>
              <w:szCs w:val="24"/>
              <w14:ligatures w14:val="standardContextual"/>
            </w:rPr>
          </w:pPr>
          <w:hyperlink w:anchor="_Toc233984152" w:history="1">
            <w:r w:rsidRPr="008E6096">
              <w:rPr>
                <w:rStyle w:val="Hyperlink"/>
                <w:rFonts w:cstheme="majorHAnsi"/>
              </w:rPr>
              <w:t>I. Management-level Assessment</w:t>
            </w:r>
            <w:r>
              <w:rPr>
                <w:webHidden/>
              </w:rPr>
              <w:tab/>
            </w:r>
            <w:r>
              <w:rPr>
                <w:webHidden/>
              </w:rPr>
              <w:fldChar w:fldCharType="begin"/>
            </w:r>
            <w:r>
              <w:rPr>
                <w:webHidden/>
              </w:rPr>
              <w:instrText xml:space="preserve"> PAGEREF _Toc233984152 \h </w:instrText>
            </w:r>
            <w:r>
              <w:rPr>
                <w:webHidden/>
              </w:rPr>
            </w:r>
            <w:r>
              <w:rPr>
                <w:webHidden/>
              </w:rPr>
              <w:fldChar w:fldCharType="separate"/>
            </w:r>
            <w:r>
              <w:rPr>
                <w:webHidden/>
              </w:rPr>
              <w:t>31</w:t>
            </w:r>
            <w:r>
              <w:rPr>
                <w:webHidden/>
              </w:rPr>
              <w:fldChar w:fldCharType="end"/>
            </w:r>
          </w:hyperlink>
        </w:p>
        <w:p w14:paraId="2347BEB3" w14:textId="56C223C2" w:rsidR="004C5575" w:rsidRDefault="004C5575">
          <w:pPr>
            <w:pStyle w:val="TOC2"/>
            <w:rPr>
              <w:rFonts w:asciiTheme="minorHAnsi" w:eastAsiaTheme="minorEastAsia" w:hAnsiTheme="minorHAnsi" w:cstheme="minorBidi"/>
              <w:kern w:val="2"/>
              <w:sz w:val="24"/>
              <w:szCs w:val="24"/>
              <w14:ligatures w14:val="standardContextual"/>
            </w:rPr>
          </w:pPr>
          <w:hyperlink w:anchor="_Toc233984153" w:history="1">
            <w:r w:rsidRPr="008E6096">
              <w:rPr>
                <w:rStyle w:val="Hyperlink"/>
                <w:rFonts w:cstheme="majorHAnsi"/>
              </w:rPr>
              <w:t>II. Ownership-Level and Potential Investors</w:t>
            </w:r>
            <w:r>
              <w:rPr>
                <w:webHidden/>
              </w:rPr>
              <w:tab/>
            </w:r>
            <w:r>
              <w:rPr>
                <w:webHidden/>
              </w:rPr>
              <w:fldChar w:fldCharType="begin"/>
            </w:r>
            <w:r>
              <w:rPr>
                <w:webHidden/>
              </w:rPr>
              <w:instrText xml:space="preserve"> PAGEREF _Toc233984153 \h </w:instrText>
            </w:r>
            <w:r>
              <w:rPr>
                <w:webHidden/>
              </w:rPr>
            </w:r>
            <w:r>
              <w:rPr>
                <w:webHidden/>
              </w:rPr>
              <w:fldChar w:fldCharType="separate"/>
            </w:r>
            <w:r>
              <w:rPr>
                <w:webHidden/>
              </w:rPr>
              <w:t>34</w:t>
            </w:r>
            <w:r>
              <w:rPr>
                <w:webHidden/>
              </w:rPr>
              <w:fldChar w:fldCharType="end"/>
            </w:r>
          </w:hyperlink>
        </w:p>
        <w:p w14:paraId="126B9187" w14:textId="405B5AB6" w:rsidR="004C5575" w:rsidRDefault="004C5575">
          <w:pPr>
            <w:pStyle w:val="TOC2"/>
            <w:rPr>
              <w:rFonts w:asciiTheme="minorHAnsi" w:eastAsiaTheme="minorEastAsia" w:hAnsiTheme="minorHAnsi" w:cstheme="minorBidi"/>
              <w:kern w:val="2"/>
              <w:sz w:val="24"/>
              <w:szCs w:val="24"/>
              <w14:ligatures w14:val="standardContextual"/>
            </w:rPr>
          </w:pPr>
          <w:hyperlink w:anchor="_Toc233984154" w:history="1">
            <w:r w:rsidRPr="008E6096">
              <w:rPr>
                <w:rStyle w:val="Hyperlink"/>
                <w:rFonts w:cstheme="majorHAnsi"/>
              </w:rPr>
              <w:t>III. Employees’ Viewpoint</w:t>
            </w:r>
            <w:r>
              <w:rPr>
                <w:webHidden/>
              </w:rPr>
              <w:tab/>
            </w:r>
            <w:r>
              <w:rPr>
                <w:webHidden/>
              </w:rPr>
              <w:fldChar w:fldCharType="begin"/>
            </w:r>
            <w:r>
              <w:rPr>
                <w:webHidden/>
              </w:rPr>
              <w:instrText xml:space="preserve"> PAGEREF _Toc233984154 \h </w:instrText>
            </w:r>
            <w:r>
              <w:rPr>
                <w:webHidden/>
              </w:rPr>
            </w:r>
            <w:r>
              <w:rPr>
                <w:webHidden/>
              </w:rPr>
              <w:fldChar w:fldCharType="separate"/>
            </w:r>
            <w:r>
              <w:rPr>
                <w:webHidden/>
              </w:rPr>
              <w:t>36</w:t>
            </w:r>
            <w:r>
              <w:rPr>
                <w:webHidden/>
              </w:rPr>
              <w:fldChar w:fldCharType="end"/>
            </w:r>
          </w:hyperlink>
        </w:p>
        <w:p w14:paraId="43BA99DF" w14:textId="0D482D25" w:rsidR="004C5575" w:rsidRDefault="004C5575">
          <w:pPr>
            <w:pStyle w:val="TOC2"/>
            <w:rPr>
              <w:rFonts w:asciiTheme="minorHAnsi" w:eastAsiaTheme="minorEastAsia" w:hAnsiTheme="minorHAnsi" w:cstheme="minorBidi"/>
              <w:kern w:val="2"/>
              <w:sz w:val="24"/>
              <w:szCs w:val="24"/>
              <w14:ligatures w14:val="standardContextual"/>
            </w:rPr>
          </w:pPr>
          <w:hyperlink w:anchor="_Toc233984155" w:history="1">
            <w:r w:rsidRPr="008E6096">
              <w:rPr>
                <w:rStyle w:val="Hyperlink"/>
              </w:rPr>
              <w:t>IV. Conclusions</w:t>
            </w:r>
            <w:r>
              <w:rPr>
                <w:webHidden/>
              </w:rPr>
              <w:tab/>
            </w:r>
            <w:r>
              <w:rPr>
                <w:webHidden/>
              </w:rPr>
              <w:fldChar w:fldCharType="begin"/>
            </w:r>
            <w:r>
              <w:rPr>
                <w:webHidden/>
              </w:rPr>
              <w:instrText xml:space="preserve"> PAGEREF _Toc233984155 \h </w:instrText>
            </w:r>
            <w:r>
              <w:rPr>
                <w:webHidden/>
              </w:rPr>
            </w:r>
            <w:r>
              <w:rPr>
                <w:webHidden/>
              </w:rPr>
              <w:fldChar w:fldCharType="separate"/>
            </w:r>
            <w:r>
              <w:rPr>
                <w:webHidden/>
              </w:rPr>
              <w:t>38</w:t>
            </w:r>
            <w:r>
              <w:rPr>
                <w:webHidden/>
              </w:rPr>
              <w:fldChar w:fldCharType="end"/>
            </w:r>
          </w:hyperlink>
        </w:p>
        <w:p w14:paraId="5231CA34" w14:textId="68ADD1D5" w:rsidR="00281A37" w:rsidRPr="003444A2" w:rsidRDefault="00F76257" w:rsidP="00F76257">
          <w:pPr>
            <w:rPr>
              <w:rFonts w:cstheme="majorHAnsi"/>
            </w:rPr>
          </w:pPr>
          <w:r w:rsidRPr="003444A2">
            <w:rPr>
              <w:rFonts w:cstheme="majorHAnsi"/>
              <w:b/>
              <w:bCs/>
            </w:rPr>
            <w:fldChar w:fldCharType="end"/>
          </w:r>
        </w:p>
      </w:sdtContent>
    </w:sdt>
    <w:p w14:paraId="28F7652C" w14:textId="77777777" w:rsidR="008A6767" w:rsidRPr="003444A2" w:rsidRDefault="008A6767" w:rsidP="002A34EE">
      <w:pPr>
        <w:pStyle w:val="Heading1"/>
        <w:spacing w:line="240" w:lineRule="auto"/>
        <w:rPr>
          <w:rFonts w:cstheme="majorHAnsi"/>
        </w:rPr>
      </w:pPr>
    </w:p>
    <w:p w14:paraId="7D537B85" w14:textId="77777777" w:rsidR="008A6767" w:rsidRPr="003444A2" w:rsidRDefault="008A6767" w:rsidP="002A34EE">
      <w:pPr>
        <w:pStyle w:val="Heading1"/>
        <w:spacing w:line="240" w:lineRule="auto"/>
        <w:rPr>
          <w:rFonts w:cstheme="majorHAnsi"/>
        </w:rPr>
      </w:pPr>
    </w:p>
    <w:p w14:paraId="285B16C1" w14:textId="77777777" w:rsidR="008A6767" w:rsidRPr="003444A2" w:rsidRDefault="008A6767" w:rsidP="002A34EE">
      <w:pPr>
        <w:pStyle w:val="Heading1"/>
        <w:spacing w:line="240" w:lineRule="auto"/>
        <w:rPr>
          <w:rFonts w:cstheme="majorHAnsi"/>
        </w:rPr>
      </w:pPr>
    </w:p>
    <w:p w14:paraId="047563CB" w14:textId="77777777" w:rsidR="008A6767" w:rsidRPr="003444A2" w:rsidRDefault="008A6767" w:rsidP="002A34EE">
      <w:pPr>
        <w:pStyle w:val="Heading1"/>
        <w:spacing w:line="240" w:lineRule="auto"/>
        <w:rPr>
          <w:rFonts w:cstheme="majorHAnsi"/>
        </w:rPr>
      </w:pPr>
    </w:p>
    <w:p w14:paraId="65D24EF1" w14:textId="77777777" w:rsidR="008A6767" w:rsidRPr="003444A2" w:rsidRDefault="008A6767" w:rsidP="002A34EE">
      <w:pPr>
        <w:pStyle w:val="Heading1"/>
        <w:spacing w:line="240" w:lineRule="auto"/>
        <w:rPr>
          <w:rFonts w:cstheme="majorHAnsi"/>
        </w:rPr>
      </w:pPr>
    </w:p>
    <w:p w14:paraId="28A9627A" w14:textId="77777777" w:rsidR="008A6767" w:rsidRPr="003444A2" w:rsidRDefault="008A6767" w:rsidP="002A34EE">
      <w:pPr>
        <w:pStyle w:val="Heading1"/>
        <w:spacing w:line="240" w:lineRule="auto"/>
        <w:rPr>
          <w:rFonts w:cstheme="majorHAnsi"/>
        </w:rPr>
      </w:pPr>
    </w:p>
    <w:p w14:paraId="3BCC481B" w14:textId="77777777" w:rsidR="008A6767" w:rsidRPr="003444A2" w:rsidRDefault="008A6767" w:rsidP="002A34EE">
      <w:pPr>
        <w:pStyle w:val="Heading1"/>
        <w:spacing w:line="240" w:lineRule="auto"/>
        <w:rPr>
          <w:rFonts w:cstheme="majorHAnsi"/>
        </w:rPr>
      </w:pPr>
    </w:p>
    <w:p w14:paraId="0A2156A4" w14:textId="77777777" w:rsidR="008A6767" w:rsidRPr="003444A2" w:rsidRDefault="008A6767" w:rsidP="008A6767">
      <w:pPr>
        <w:rPr>
          <w:rFonts w:cstheme="majorHAnsi"/>
        </w:rPr>
      </w:pPr>
    </w:p>
    <w:p w14:paraId="3C77A89E" w14:textId="77777777" w:rsidR="008A6767" w:rsidRPr="003444A2" w:rsidRDefault="008A6767" w:rsidP="008A6767">
      <w:pPr>
        <w:rPr>
          <w:rFonts w:cstheme="majorHAnsi"/>
        </w:rPr>
      </w:pPr>
    </w:p>
    <w:p w14:paraId="0CE422E3" w14:textId="77777777" w:rsidR="008A6767" w:rsidRPr="003444A2" w:rsidRDefault="008A6767" w:rsidP="008A6767">
      <w:pPr>
        <w:rPr>
          <w:rFonts w:cstheme="majorHAnsi"/>
        </w:rPr>
      </w:pPr>
    </w:p>
    <w:p w14:paraId="54D1191E" w14:textId="77777777" w:rsidR="008A6767" w:rsidRPr="003444A2" w:rsidRDefault="008A6767" w:rsidP="008A6767">
      <w:pPr>
        <w:rPr>
          <w:rFonts w:cstheme="majorHAnsi"/>
        </w:rPr>
      </w:pPr>
    </w:p>
    <w:p w14:paraId="2483622D" w14:textId="77777777" w:rsidR="008A6767" w:rsidRPr="003444A2" w:rsidRDefault="008A6767" w:rsidP="008A6767">
      <w:pPr>
        <w:rPr>
          <w:rFonts w:cstheme="majorHAnsi"/>
        </w:rPr>
      </w:pPr>
    </w:p>
    <w:p w14:paraId="7C251593" w14:textId="77777777" w:rsidR="00F23072" w:rsidRDefault="00F23072" w:rsidP="005650B8">
      <w:pPr>
        <w:pStyle w:val="Heading1"/>
        <w:spacing w:line="240" w:lineRule="auto"/>
        <w:rPr>
          <w:rFonts w:cstheme="majorHAnsi"/>
        </w:rPr>
      </w:pPr>
    </w:p>
    <w:p w14:paraId="300462C8" w14:textId="77777777" w:rsidR="00F23072" w:rsidRDefault="00F23072" w:rsidP="005650B8">
      <w:pPr>
        <w:pStyle w:val="Heading1"/>
        <w:spacing w:line="240" w:lineRule="auto"/>
        <w:rPr>
          <w:rFonts w:cstheme="majorHAnsi"/>
        </w:rPr>
      </w:pPr>
    </w:p>
    <w:p w14:paraId="60ED4998" w14:textId="77777777" w:rsidR="00F23072" w:rsidRDefault="00F23072" w:rsidP="005650B8">
      <w:pPr>
        <w:pStyle w:val="Heading1"/>
        <w:spacing w:line="240" w:lineRule="auto"/>
        <w:rPr>
          <w:rFonts w:cstheme="majorHAnsi"/>
        </w:rPr>
      </w:pPr>
    </w:p>
    <w:p w14:paraId="2D2C821A" w14:textId="77777777" w:rsidR="00F23072" w:rsidRDefault="00F23072" w:rsidP="00F23072">
      <w:pPr>
        <w:pStyle w:val="Heading1"/>
        <w:spacing w:line="240" w:lineRule="auto"/>
        <w:jc w:val="left"/>
        <w:rPr>
          <w:rFonts w:cstheme="majorHAnsi"/>
        </w:rPr>
      </w:pPr>
    </w:p>
    <w:p w14:paraId="3B84F8F2" w14:textId="77777777" w:rsidR="00F23072" w:rsidRDefault="00F23072" w:rsidP="00F23072"/>
    <w:p w14:paraId="34F35D1B" w14:textId="77777777" w:rsidR="00F23072" w:rsidRDefault="00F23072" w:rsidP="00F23072"/>
    <w:p w14:paraId="11AE02E1" w14:textId="77777777" w:rsidR="00F23072" w:rsidRPr="00F23072" w:rsidRDefault="00F23072" w:rsidP="00F23072"/>
    <w:p w14:paraId="3E6C38EC" w14:textId="6789D13A" w:rsidR="00C24B66" w:rsidRPr="003444A2" w:rsidRDefault="005650B8" w:rsidP="005650B8">
      <w:pPr>
        <w:pStyle w:val="Heading1"/>
        <w:spacing w:line="240" w:lineRule="auto"/>
        <w:rPr>
          <w:rFonts w:cstheme="majorHAnsi"/>
        </w:rPr>
        <w:sectPr w:rsidR="00C24B66" w:rsidRPr="003444A2" w:rsidSect="00381C4D">
          <w:headerReference w:type="even" r:id="rId10"/>
          <w:headerReference w:type="default" r:id="rId11"/>
          <w:footerReference w:type="even" r:id="rId12"/>
          <w:footerReference w:type="default" r:id="rId13"/>
          <w:type w:val="continuous"/>
          <w:pgSz w:w="11906" w:h="16838" w:code="9"/>
          <w:pgMar w:top="1440" w:right="1440" w:bottom="1440" w:left="1440" w:header="708" w:footer="708" w:gutter="0"/>
          <w:cols w:space="708"/>
          <w:docGrid w:linePitch="360"/>
        </w:sectPr>
      </w:pPr>
      <w:bookmarkStart w:id="0" w:name="_Toc233984122"/>
      <w:r w:rsidRPr="003444A2">
        <w:rPr>
          <w:rFonts w:cstheme="majorHAnsi"/>
        </w:rPr>
        <w:lastRenderedPageBreak/>
        <w:t>PART 1. INTRODUCTION OF COMPANY</w:t>
      </w:r>
      <w:bookmarkEnd w:id="0"/>
      <w:r w:rsidRPr="003444A2">
        <w:rPr>
          <w:rFonts w:cstheme="majorHAnsi"/>
        </w:rPr>
        <w:t xml:space="preserve">          </w:t>
      </w:r>
    </w:p>
    <w:p w14:paraId="468FB519" w14:textId="77777777" w:rsidR="005650B8" w:rsidRPr="003444A2" w:rsidRDefault="005650B8" w:rsidP="005650B8">
      <w:pPr>
        <w:rPr>
          <w:rFonts w:cstheme="majorHAnsi"/>
        </w:rPr>
      </w:pPr>
    </w:p>
    <w:p w14:paraId="71DE7C34" w14:textId="3400AF03" w:rsidR="005650B8" w:rsidRPr="003444A2" w:rsidRDefault="005650B8" w:rsidP="005650B8">
      <w:pPr>
        <w:pStyle w:val="Heading2"/>
        <w:rPr>
          <w:rFonts w:cstheme="majorHAnsi"/>
        </w:rPr>
      </w:pPr>
      <w:bookmarkStart w:id="1" w:name="_Toc233984123"/>
      <w:r w:rsidRPr="003444A2">
        <w:rPr>
          <w:rFonts w:cstheme="majorHAnsi"/>
        </w:rPr>
        <w:t>I. Corporate Profile: Hoa Sen Group (HSG)</w:t>
      </w:r>
      <w:bookmarkEnd w:id="1"/>
    </w:p>
    <w:p w14:paraId="7F4FBE10" w14:textId="77777777" w:rsidR="005650B8" w:rsidRPr="003444A2" w:rsidRDefault="005650B8" w:rsidP="005650B8">
      <w:pPr>
        <w:numPr>
          <w:ilvl w:val="0"/>
          <w:numId w:val="23"/>
        </w:numPr>
        <w:rPr>
          <w:rFonts w:cstheme="majorHAnsi"/>
        </w:rPr>
      </w:pPr>
      <w:r w:rsidRPr="003444A2">
        <w:rPr>
          <w:rFonts w:cstheme="majorHAnsi"/>
          <w:b/>
          <w:bCs/>
        </w:rPr>
        <w:t>Company Name:</w:t>
      </w:r>
      <w:r w:rsidRPr="003444A2">
        <w:rPr>
          <w:rFonts w:cstheme="majorHAnsi"/>
        </w:rPr>
        <w:t xml:space="preserve"> HOA SEN GROUP JOINT STOCK COMPANY -</w:t>
      </w:r>
      <w:r w:rsidRPr="003444A2">
        <w:rPr>
          <w:rFonts w:cstheme="majorHAnsi"/>
          <w:i/>
          <w:iCs/>
        </w:rPr>
        <w:t>  the No. 1 enterprise in the manufacturing and trading of coated steel in Vietnam and a leading exporter in Southeast Asia.</w:t>
      </w:r>
    </w:p>
    <w:p w14:paraId="313B70A9" w14:textId="77777777" w:rsidR="005650B8" w:rsidRPr="003444A2" w:rsidRDefault="005650B8" w:rsidP="005650B8">
      <w:pPr>
        <w:numPr>
          <w:ilvl w:val="0"/>
          <w:numId w:val="23"/>
        </w:numPr>
        <w:rPr>
          <w:rFonts w:cstheme="majorHAnsi"/>
        </w:rPr>
      </w:pPr>
      <w:r w:rsidRPr="003444A2">
        <w:rPr>
          <w:rFonts w:cstheme="majorHAnsi"/>
          <w:b/>
          <w:bCs/>
        </w:rPr>
        <w:t>Stock Code:</w:t>
      </w:r>
      <w:r w:rsidRPr="003444A2">
        <w:rPr>
          <w:rFonts w:cstheme="majorHAnsi"/>
        </w:rPr>
        <w:t xml:space="preserve"> HSG (HOSE)</w:t>
      </w:r>
    </w:p>
    <w:p w14:paraId="505DDF2E" w14:textId="77777777" w:rsidR="005650B8" w:rsidRPr="003444A2" w:rsidRDefault="005650B8" w:rsidP="005650B8">
      <w:pPr>
        <w:numPr>
          <w:ilvl w:val="0"/>
          <w:numId w:val="23"/>
        </w:numPr>
        <w:rPr>
          <w:rFonts w:cstheme="majorHAnsi"/>
        </w:rPr>
      </w:pPr>
      <w:r w:rsidRPr="003444A2">
        <w:rPr>
          <w:rFonts w:cstheme="majorHAnsi"/>
          <w:b/>
          <w:bCs/>
        </w:rPr>
        <w:t>VISION:</w:t>
      </w:r>
      <w:r w:rsidRPr="003444A2">
        <w:rPr>
          <w:rFonts w:cstheme="majorHAnsi"/>
        </w:rPr>
        <w:t xml:space="preserve"> To become the leading Group in manufacturing and trading coated steel, steel products, building materials, and furniture in Vietnam through a sustainable development strategy, aimed at community development, environmental protection, and delivering the highest value to society.</w:t>
      </w:r>
    </w:p>
    <w:p w14:paraId="3C47D51B" w14:textId="77777777" w:rsidR="005650B8" w:rsidRPr="003444A2" w:rsidRDefault="005650B8" w:rsidP="005650B8">
      <w:pPr>
        <w:numPr>
          <w:ilvl w:val="0"/>
          <w:numId w:val="23"/>
        </w:numPr>
        <w:rPr>
          <w:rFonts w:cstheme="majorHAnsi"/>
        </w:rPr>
      </w:pPr>
      <w:r w:rsidRPr="003444A2">
        <w:rPr>
          <w:rFonts w:cstheme="majorHAnsi"/>
          <w:b/>
          <w:bCs/>
        </w:rPr>
        <w:t>MISSION:</w:t>
      </w:r>
      <w:r w:rsidRPr="003444A2">
        <w:rPr>
          <w:rFonts w:cstheme="majorHAnsi"/>
        </w:rPr>
        <w:t xml:space="preserve"> To provide products and services associated with the Hoa Sen brand, ensuring international quality, reasonable prices, diverse designs, and environmental friendliness to best meet social needs.</w:t>
      </w:r>
    </w:p>
    <w:p w14:paraId="3B0D930B" w14:textId="56FF6249" w:rsidR="005650B8" w:rsidRPr="003444A2" w:rsidRDefault="005650B8" w:rsidP="005650B8">
      <w:pPr>
        <w:numPr>
          <w:ilvl w:val="0"/>
          <w:numId w:val="23"/>
        </w:numPr>
        <w:rPr>
          <w:rFonts w:cstheme="majorHAnsi"/>
        </w:rPr>
      </w:pPr>
      <w:r w:rsidRPr="003444A2">
        <w:rPr>
          <w:rFonts w:cstheme="majorHAnsi"/>
          <w:b/>
          <w:bCs/>
        </w:rPr>
        <w:t>CORE VALUES:</w:t>
      </w:r>
      <w:r w:rsidRPr="003444A2">
        <w:rPr>
          <w:rFonts w:cstheme="majorHAnsi"/>
        </w:rPr>
        <w:t xml:space="preserve"> Integrity – Community – Development</w:t>
      </w:r>
    </w:p>
    <w:p w14:paraId="12CEF047" w14:textId="77777777" w:rsidR="005650B8" w:rsidRPr="003444A2" w:rsidRDefault="005650B8" w:rsidP="005650B8">
      <w:pPr>
        <w:rPr>
          <w:rFonts w:cstheme="majorHAnsi"/>
        </w:rPr>
      </w:pPr>
      <w:r w:rsidRPr="003444A2">
        <w:rPr>
          <w:rFonts w:cstheme="majorHAnsi"/>
          <w:b/>
          <w:bCs/>
        </w:rPr>
        <w:t>Core Objective:</w:t>
      </w:r>
      <w:r w:rsidRPr="003444A2">
        <w:rPr>
          <w:rFonts w:cstheme="majorHAnsi"/>
        </w:rPr>
        <w:t xml:space="preserve"> Transitioning from a "Pure Manufacturing" model to a "Leading Distribution &amp; Retail Ecosystem for Building Materials" in Vietnam.</w:t>
      </w:r>
    </w:p>
    <w:p w14:paraId="27E4A11F" w14:textId="583EF234" w:rsidR="005650B8" w:rsidRPr="003444A2" w:rsidRDefault="005650B8" w:rsidP="005650B8">
      <w:pPr>
        <w:pStyle w:val="Heading2"/>
        <w:rPr>
          <w:rFonts w:cstheme="majorHAnsi"/>
        </w:rPr>
      </w:pPr>
      <w:bookmarkStart w:id="2" w:name="_Toc233984124"/>
      <w:r w:rsidRPr="003444A2">
        <w:rPr>
          <w:rFonts w:cstheme="majorHAnsi"/>
        </w:rPr>
        <w:t>II. Operation Structure</w:t>
      </w:r>
      <w:bookmarkEnd w:id="2"/>
    </w:p>
    <w:p w14:paraId="0905E720" w14:textId="77777777" w:rsidR="005650B8" w:rsidRPr="003444A2" w:rsidRDefault="005650B8" w:rsidP="005650B8">
      <w:pPr>
        <w:rPr>
          <w:rFonts w:cstheme="majorHAnsi"/>
        </w:rPr>
      </w:pPr>
      <w:r w:rsidRPr="003444A2">
        <w:rPr>
          <w:rFonts w:cstheme="majorHAnsi"/>
          <w:b/>
          <w:bCs/>
        </w:rPr>
        <w:t>1.</w:t>
      </w:r>
      <w:r w:rsidRPr="003444A2">
        <w:rPr>
          <w:rFonts w:cstheme="majorHAnsi"/>
        </w:rPr>
        <w:t xml:space="preserve">    </w:t>
      </w:r>
      <w:r w:rsidRPr="003444A2">
        <w:rPr>
          <w:rFonts w:cstheme="majorHAnsi"/>
          <w:b/>
          <w:bCs/>
        </w:rPr>
        <w:t>Parent Company: Hoa Sen Group (HSG)</w:t>
      </w:r>
    </w:p>
    <w:p w14:paraId="42806754" w14:textId="77777777" w:rsidR="005650B8" w:rsidRPr="003444A2" w:rsidRDefault="005650B8" w:rsidP="005650B8">
      <w:pPr>
        <w:numPr>
          <w:ilvl w:val="0"/>
          <w:numId w:val="24"/>
        </w:numPr>
        <w:rPr>
          <w:rFonts w:cstheme="majorHAnsi"/>
        </w:rPr>
      </w:pPr>
      <w:r w:rsidRPr="003444A2">
        <w:rPr>
          <w:rFonts w:cstheme="majorHAnsi"/>
        </w:rPr>
        <w:t>Parent company – controlling entity</w:t>
      </w:r>
    </w:p>
    <w:p w14:paraId="5308DDE7" w14:textId="77777777" w:rsidR="005650B8" w:rsidRPr="003444A2" w:rsidRDefault="005650B8" w:rsidP="005650B8">
      <w:pPr>
        <w:numPr>
          <w:ilvl w:val="0"/>
          <w:numId w:val="24"/>
        </w:numPr>
        <w:rPr>
          <w:rFonts w:cstheme="majorHAnsi"/>
        </w:rPr>
      </w:pPr>
      <w:r w:rsidRPr="003444A2">
        <w:rPr>
          <w:rFonts w:cstheme="majorHAnsi"/>
        </w:rPr>
        <w:t>Representative Office in Ho Chi Minh City</w:t>
      </w:r>
    </w:p>
    <w:p w14:paraId="1635BF56" w14:textId="77777777" w:rsidR="005650B8" w:rsidRPr="003444A2" w:rsidRDefault="005650B8" w:rsidP="005650B8">
      <w:pPr>
        <w:rPr>
          <w:rFonts w:cstheme="majorHAnsi"/>
        </w:rPr>
      </w:pPr>
      <w:r w:rsidRPr="003444A2">
        <w:rPr>
          <w:rFonts w:cstheme="majorHAnsi"/>
          <w:b/>
          <w:bCs/>
        </w:rPr>
        <w:t>2.    Main Business Segments</w:t>
      </w:r>
    </w:p>
    <w:p w14:paraId="26FA069C" w14:textId="77777777" w:rsidR="005650B8" w:rsidRPr="003444A2" w:rsidRDefault="005650B8" w:rsidP="005650B8">
      <w:pPr>
        <w:rPr>
          <w:rFonts w:cstheme="majorHAnsi"/>
        </w:rPr>
      </w:pPr>
      <w:r w:rsidRPr="003444A2">
        <w:rPr>
          <w:rFonts w:cstheme="majorHAnsi"/>
          <w:b/>
          <w:bCs/>
        </w:rPr>
        <w:t>A. Construction Materials &amp; Interior Distribution</w:t>
      </w:r>
    </w:p>
    <w:p w14:paraId="60DC4345" w14:textId="77777777" w:rsidR="005650B8" w:rsidRPr="003444A2" w:rsidRDefault="005650B8" w:rsidP="005650B8">
      <w:pPr>
        <w:numPr>
          <w:ilvl w:val="0"/>
          <w:numId w:val="25"/>
        </w:numPr>
        <w:rPr>
          <w:rFonts w:cstheme="majorHAnsi"/>
        </w:rPr>
      </w:pPr>
      <w:r w:rsidRPr="003444A2">
        <w:rPr>
          <w:rFonts w:cstheme="majorHAnsi"/>
          <w:b/>
          <w:bCs/>
        </w:rPr>
        <w:t>Hoa Sen Home system</w:t>
      </w:r>
      <w:r w:rsidRPr="003444A2">
        <w:rPr>
          <w:rFonts w:cstheme="majorHAnsi"/>
        </w:rPr>
        <w:t xml:space="preserve"> (planned to be converted into Hoa Sen Home JSC)</w:t>
      </w:r>
    </w:p>
    <w:p w14:paraId="7D0D9B89" w14:textId="77777777" w:rsidR="005650B8" w:rsidRPr="003444A2" w:rsidRDefault="005650B8" w:rsidP="005650B8">
      <w:pPr>
        <w:numPr>
          <w:ilvl w:val="0"/>
          <w:numId w:val="25"/>
        </w:numPr>
        <w:rPr>
          <w:rFonts w:cstheme="majorHAnsi"/>
        </w:rPr>
      </w:pPr>
      <w:r w:rsidRPr="003444A2">
        <w:rPr>
          <w:rFonts w:cstheme="majorHAnsi"/>
        </w:rPr>
        <w:t>Provincial branches</w:t>
      </w:r>
    </w:p>
    <w:p w14:paraId="0E14BF13" w14:textId="77777777" w:rsidR="005650B8" w:rsidRPr="003444A2" w:rsidRDefault="005650B8" w:rsidP="005650B8">
      <w:pPr>
        <w:numPr>
          <w:ilvl w:val="0"/>
          <w:numId w:val="25"/>
        </w:numPr>
        <w:rPr>
          <w:rFonts w:cstheme="majorHAnsi"/>
        </w:rPr>
      </w:pPr>
      <w:r w:rsidRPr="003444A2">
        <w:rPr>
          <w:rFonts w:cstheme="majorHAnsi"/>
        </w:rPr>
        <w:t>Hoa Sen Home retail stores</w:t>
      </w:r>
    </w:p>
    <w:p w14:paraId="4CF2E962" w14:textId="77777777" w:rsidR="005650B8" w:rsidRPr="003444A2" w:rsidRDefault="005650B8" w:rsidP="005650B8">
      <w:pPr>
        <w:rPr>
          <w:rFonts w:cstheme="majorHAnsi"/>
        </w:rPr>
      </w:pPr>
      <w:r w:rsidRPr="003444A2">
        <w:rPr>
          <w:rFonts w:cstheme="majorHAnsi"/>
          <w:b/>
          <w:bCs/>
        </w:rPr>
        <w:t>B. Plastic Manufacturing &amp; Trading</w:t>
      </w:r>
    </w:p>
    <w:p w14:paraId="1DF03842" w14:textId="77777777" w:rsidR="005650B8" w:rsidRPr="003444A2" w:rsidRDefault="005650B8" w:rsidP="005650B8">
      <w:pPr>
        <w:rPr>
          <w:rFonts w:cstheme="majorHAnsi"/>
        </w:rPr>
      </w:pPr>
      <w:r w:rsidRPr="003444A2">
        <w:rPr>
          <w:rFonts w:cstheme="majorHAnsi"/>
        </w:rPr>
        <w:t>Hoa Sen Plastic Joint Stock Company</w:t>
      </w:r>
    </w:p>
    <w:p w14:paraId="23AB05C8" w14:textId="77777777" w:rsidR="005650B8" w:rsidRPr="003444A2" w:rsidRDefault="005650B8" w:rsidP="005650B8">
      <w:pPr>
        <w:rPr>
          <w:rFonts w:cstheme="majorHAnsi"/>
        </w:rPr>
      </w:pPr>
      <w:r w:rsidRPr="003444A2">
        <w:rPr>
          <w:rFonts w:cstheme="majorHAnsi"/>
        </w:rPr>
        <w:t>·      Phu My Plastic Factory (head office location)</w:t>
      </w:r>
    </w:p>
    <w:p w14:paraId="7309A045" w14:textId="77777777" w:rsidR="005650B8" w:rsidRPr="003444A2" w:rsidRDefault="005650B8" w:rsidP="005650B8">
      <w:pPr>
        <w:rPr>
          <w:rFonts w:cstheme="majorHAnsi"/>
        </w:rPr>
      </w:pPr>
      <w:r w:rsidRPr="003444A2">
        <w:rPr>
          <w:rFonts w:cstheme="majorHAnsi"/>
        </w:rPr>
        <w:t>·      Binh Dinh Plastic Factory Branch</w:t>
      </w:r>
    </w:p>
    <w:p w14:paraId="5356765E" w14:textId="77777777" w:rsidR="005650B8" w:rsidRPr="003444A2" w:rsidRDefault="005650B8" w:rsidP="005650B8">
      <w:pPr>
        <w:rPr>
          <w:rFonts w:cstheme="majorHAnsi"/>
        </w:rPr>
      </w:pPr>
      <w:r w:rsidRPr="003444A2">
        <w:rPr>
          <w:rFonts w:cstheme="majorHAnsi"/>
        </w:rPr>
        <w:t>·      Ha Nam Plastic Factory Branch</w:t>
      </w:r>
    </w:p>
    <w:p w14:paraId="3707E55E" w14:textId="77777777" w:rsidR="005650B8" w:rsidRPr="003444A2" w:rsidRDefault="005650B8" w:rsidP="005650B8">
      <w:pPr>
        <w:rPr>
          <w:rFonts w:cstheme="majorHAnsi"/>
        </w:rPr>
      </w:pPr>
      <w:r w:rsidRPr="003444A2">
        <w:rPr>
          <w:rFonts w:cstheme="majorHAnsi"/>
          <w:b/>
          <w:bCs/>
        </w:rPr>
        <w:t>C. Steel Sheet &amp; Steel Manufacturing and Trading</w:t>
      </w:r>
    </w:p>
    <w:p w14:paraId="44F70C3B" w14:textId="77777777" w:rsidR="005650B8" w:rsidRPr="003444A2" w:rsidRDefault="005650B8" w:rsidP="005650B8">
      <w:pPr>
        <w:rPr>
          <w:rFonts w:cstheme="majorHAnsi"/>
        </w:rPr>
      </w:pPr>
      <w:r w:rsidRPr="003444A2">
        <w:rPr>
          <w:rFonts w:cstheme="majorHAnsi"/>
        </w:rPr>
        <w:t>(7 wholly owned subsidiaries + 1 dependent branch)</w:t>
      </w:r>
    </w:p>
    <w:p w14:paraId="549D1F68" w14:textId="77777777" w:rsidR="005650B8" w:rsidRPr="003444A2" w:rsidRDefault="005650B8" w:rsidP="005650B8">
      <w:pPr>
        <w:rPr>
          <w:rFonts w:cstheme="majorHAnsi"/>
        </w:rPr>
      </w:pPr>
      <w:r w:rsidRPr="003444A2">
        <w:rPr>
          <w:rFonts w:cstheme="majorHAnsi"/>
        </w:rPr>
        <w:t>·      Ton Hoa Sen One Member LLC</w:t>
      </w:r>
    </w:p>
    <w:p w14:paraId="2ACAA8CE" w14:textId="77777777" w:rsidR="005650B8" w:rsidRPr="003444A2" w:rsidRDefault="005650B8" w:rsidP="005650B8">
      <w:pPr>
        <w:rPr>
          <w:rFonts w:cstheme="majorHAnsi"/>
        </w:rPr>
      </w:pPr>
      <w:r w:rsidRPr="003444A2">
        <w:rPr>
          <w:rFonts w:cstheme="majorHAnsi"/>
        </w:rPr>
        <w:t>·      Hoa Sen Group Branch – Phu My Steel Sheet Factory</w:t>
      </w:r>
    </w:p>
    <w:p w14:paraId="3BBAC060" w14:textId="77777777" w:rsidR="005650B8" w:rsidRPr="003444A2" w:rsidRDefault="005650B8" w:rsidP="005650B8">
      <w:pPr>
        <w:rPr>
          <w:rFonts w:cstheme="majorHAnsi"/>
        </w:rPr>
      </w:pPr>
      <w:r w:rsidRPr="003444A2">
        <w:rPr>
          <w:rFonts w:cstheme="majorHAnsi"/>
        </w:rPr>
        <w:t>·      Hoa Sen Nhon Hoi – Binh Dinh One Member LLC</w:t>
      </w:r>
    </w:p>
    <w:p w14:paraId="0672FF0A" w14:textId="77777777" w:rsidR="005650B8" w:rsidRPr="003444A2" w:rsidRDefault="005650B8" w:rsidP="005650B8">
      <w:pPr>
        <w:rPr>
          <w:rFonts w:cstheme="majorHAnsi"/>
        </w:rPr>
      </w:pPr>
      <w:r w:rsidRPr="003444A2">
        <w:rPr>
          <w:rFonts w:cstheme="majorHAnsi"/>
        </w:rPr>
        <w:lastRenderedPageBreak/>
        <w:t>·      Hoa Sen Nghe An One Member LLC</w:t>
      </w:r>
    </w:p>
    <w:p w14:paraId="04AEE626" w14:textId="77777777" w:rsidR="005650B8" w:rsidRPr="003444A2" w:rsidRDefault="005650B8" w:rsidP="005650B8">
      <w:pPr>
        <w:rPr>
          <w:rFonts w:cstheme="majorHAnsi"/>
        </w:rPr>
      </w:pPr>
      <w:r w:rsidRPr="003444A2">
        <w:rPr>
          <w:rFonts w:cstheme="majorHAnsi"/>
        </w:rPr>
        <w:t>·      Hoa Sen Phu My One Member LLC</w:t>
      </w:r>
    </w:p>
    <w:p w14:paraId="44BFE62B" w14:textId="77777777" w:rsidR="005650B8" w:rsidRPr="003444A2" w:rsidRDefault="005650B8" w:rsidP="005650B8">
      <w:pPr>
        <w:rPr>
          <w:rFonts w:cstheme="majorHAnsi"/>
        </w:rPr>
      </w:pPr>
      <w:r w:rsidRPr="003444A2">
        <w:rPr>
          <w:rFonts w:cstheme="majorHAnsi"/>
        </w:rPr>
        <w:t>·      Hoa Sen Binh Dinh One Member LLC</w:t>
      </w:r>
    </w:p>
    <w:p w14:paraId="10EDD977" w14:textId="77777777" w:rsidR="005650B8" w:rsidRPr="003444A2" w:rsidRDefault="005650B8" w:rsidP="005650B8">
      <w:pPr>
        <w:rPr>
          <w:rFonts w:cstheme="majorHAnsi"/>
        </w:rPr>
      </w:pPr>
      <w:r w:rsidRPr="003444A2">
        <w:rPr>
          <w:rFonts w:cstheme="majorHAnsi"/>
        </w:rPr>
        <w:t>·      Hoa Sen Ha Nam One Member LLC</w:t>
      </w:r>
    </w:p>
    <w:p w14:paraId="0FBC558B" w14:textId="77777777" w:rsidR="005650B8" w:rsidRPr="003444A2" w:rsidRDefault="005650B8" w:rsidP="005650B8">
      <w:pPr>
        <w:rPr>
          <w:rFonts w:cstheme="majorHAnsi"/>
        </w:rPr>
      </w:pPr>
      <w:r w:rsidRPr="003444A2">
        <w:rPr>
          <w:rFonts w:cstheme="majorHAnsi"/>
        </w:rPr>
        <w:t>·      Hoa Sen Yen Bai Building Materials One Member LLC</w:t>
      </w:r>
    </w:p>
    <w:p w14:paraId="472A6886" w14:textId="77777777" w:rsidR="005650B8" w:rsidRPr="003444A2" w:rsidRDefault="005650B8" w:rsidP="005650B8">
      <w:pPr>
        <w:rPr>
          <w:rFonts w:cstheme="majorHAnsi"/>
        </w:rPr>
      </w:pPr>
      <w:r w:rsidRPr="003444A2">
        <w:rPr>
          <w:rFonts w:cstheme="majorHAnsi"/>
          <w:b/>
          <w:bCs/>
        </w:rPr>
        <w:t>3. Other Businesses</w:t>
      </w:r>
    </w:p>
    <w:p w14:paraId="40F8AAE8" w14:textId="77777777" w:rsidR="005650B8" w:rsidRPr="003444A2" w:rsidRDefault="005650B8" w:rsidP="005650B8">
      <w:pPr>
        <w:rPr>
          <w:rFonts w:cstheme="majorHAnsi"/>
        </w:rPr>
      </w:pPr>
      <w:r w:rsidRPr="003444A2">
        <w:rPr>
          <w:rFonts w:cstheme="majorHAnsi"/>
        </w:rPr>
        <w:t>·      Hoa Sen Yen Bai JSC (95% owned by HSG)</w:t>
      </w:r>
    </w:p>
    <w:p w14:paraId="1EC15209" w14:textId="77777777" w:rsidR="005650B8" w:rsidRPr="003444A2" w:rsidRDefault="005650B8" w:rsidP="005650B8">
      <w:pPr>
        <w:rPr>
          <w:rFonts w:cstheme="majorHAnsi"/>
        </w:rPr>
      </w:pPr>
      <w:r w:rsidRPr="003444A2">
        <w:rPr>
          <w:rFonts w:cstheme="majorHAnsi"/>
        </w:rPr>
        <w:t>·      Hoa Sen International Port JSC (49% owned by HSG)</w:t>
      </w:r>
    </w:p>
    <w:p w14:paraId="160B24C6" w14:textId="77777777" w:rsidR="005650B8" w:rsidRPr="003444A2" w:rsidRDefault="005650B8" w:rsidP="005650B8">
      <w:pPr>
        <w:rPr>
          <w:rFonts w:cstheme="majorHAnsi"/>
        </w:rPr>
      </w:pPr>
      <w:r w:rsidRPr="003444A2">
        <w:rPr>
          <w:rFonts w:cstheme="majorHAnsi"/>
        </w:rPr>
        <w:t xml:space="preserve">This represents the </w:t>
      </w:r>
      <w:r w:rsidRPr="003444A2">
        <w:rPr>
          <w:rFonts w:cstheme="majorHAnsi"/>
          <w:b/>
          <w:bCs/>
        </w:rPr>
        <w:t>Group operating structure (corporate organizational structure)</w:t>
      </w:r>
      <w:r w:rsidRPr="003444A2">
        <w:rPr>
          <w:rFonts w:cstheme="majorHAnsi"/>
        </w:rPr>
        <w:t xml:space="preserve"> of Hoa Sen Group, including the parent company, subsidiaries, branches, and business segments.</w:t>
      </w:r>
    </w:p>
    <w:p w14:paraId="448E6E29" w14:textId="08805F8D" w:rsidR="005650B8" w:rsidRPr="003444A2" w:rsidRDefault="005650B8" w:rsidP="005650B8">
      <w:pPr>
        <w:pStyle w:val="Heading2"/>
        <w:rPr>
          <w:rFonts w:cstheme="majorHAnsi"/>
        </w:rPr>
      </w:pPr>
      <w:bookmarkStart w:id="3" w:name="_Toc233984125"/>
      <w:r w:rsidRPr="003444A2">
        <w:rPr>
          <w:rFonts w:cstheme="majorHAnsi"/>
        </w:rPr>
        <w:t>III. Business Segments</w:t>
      </w:r>
      <w:bookmarkEnd w:id="3"/>
    </w:p>
    <w:p w14:paraId="2724F782" w14:textId="77777777" w:rsidR="005650B8" w:rsidRPr="003444A2" w:rsidRDefault="005650B8" w:rsidP="005650B8">
      <w:pPr>
        <w:rPr>
          <w:rFonts w:cstheme="majorHAnsi"/>
        </w:rPr>
      </w:pPr>
      <w:r w:rsidRPr="003444A2">
        <w:rPr>
          <w:rFonts w:cstheme="majorHAnsi"/>
          <w:b/>
          <w:bCs/>
        </w:rPr>
        <w:t>1. Main Business Segments </w:t>
      </w:r>
    </w:p>
    <w:p w14:paraId="5037FD2F" w14:textId="77777777" w:rsidR="005650B8" w:rsidRPr="003444A2" w:rsidRDefault="005650B8" w:rsidP="005650B8">
      <w:pPr>
        <w:rPr>
          <w:rFonts w:cstheme="majorHAnsi"/>
        </w:rPr>
      </w:pPr>
      <w:r w:rsidRPr="003444A2">
        <w:rPr>
          <w:rFonts w:cstheme="majorHAnsi"/>
        </w:rPr>
        <w:t>Hoa Sen Group operates in the following main business segments:</w:t>
      </w:r>
    </w:p>
    <w:p w14:paraId="0EF8CE71" w14:textId="77777777" w:rsidR="005650B8" w:rsidRPr="003444A2" w:rsidRDefault="005650B8" w:rsidP="005650B8">
      <w:pPr>
        <w:numPr>
          <w:ilvl w:val="0"/>
          <w:numId w:val="26"/>
        </w:numPr>
        <w:rPr>
          <w:rFonts w:cstheme="majorHAnsi"/>
        </w:rPr>
      </w:pPr>
      <w:r w:rsidRPr="003444A2">
        <w:rPr>
          <w:rFonts w:cstheme="majorHAnsi"/>
          <w:b/>
          <w:bCs/>
        </w:rPr>
        <w:t>Trading and Services</w:t>
      </w:r>
      <w:r w:rsidRPr="003444A2">
        <w:rPr>
          <w:rFonts w:cstheme="majorHAnsi"/>
        </w:rPr>
        <w:t xml:space="preserve">: Trading of construction materials, consumer goods, warehouse and logistics services, machinery leasing, industrial and civil construction. </w:t>
      </w:r>
      <w:r w:rsidRPr="003444A2">
        <w:rPr>
          <w:rFonts w:cstheme="majorHAnsi"/>
          <w:b/>
          <w:bCs/>
        </w:rPr>
        <w:t>(largest revenue field)</w:t>
      </w:r>
    </w:p>
    <w:p w14:paraId="7A147AC5" w14:textId="77777777" w:rsidR="005650B8" w:rsidRPr="003444A2" w:rsidRDefault="005650B8" w:rsidP="005650B8">
      <w:pPr>
        <w:numPr>
          <w:ilvl w:val="0"/>
          <w:numId w:val="26"/>
        </w:numPr>
        <w:rPr>
          <w:rFonts w:cstheme="majorHAnsi"/>
        </w:rPr>
      </w:pPr>
      <w:r w:rsidRPr="003444A2">
        <w:rPr>
          <w:rFonts w:cstheme="majorHAnsi"/>
          <w:b/>
          <w:bCs/>
        </w:rPr>
        <w:t>Steel Production and Processing</w:t>
      </w:r>
      <w:r w:rsidRPr="003444A2">
        <w:rPr>
          <w:rFonts w:cstheme="majorHAnsi"/>
        </w:rPr>
        <w:t>: Manufacturing galvanized steel sheets, alloy-coated sheets, color-coated sheets, steel purlins, black and galvanized steel pipes, steel wire, steel mesh, and cold-rolled steel coils.</w:t>
      </w:r>
    </w:p>
    <w:p w14:paraId="7EB6E0D5" w14:textId="77777777" w:rsidR="005650B8" w:rsidRPr="003444A2" w:rsidRDefault="005650B8" w:rsidP="005650B8">
      <w:pPr>
        <w:numPr>
          <w:ilvl w:val="0"/>
          <w:numId w:val="26"/>
        </w:numPr>
        <w:rPr>
          <w:rFonts w:cstheme="majorHAnsi"/>
        </w:rPr>
      </w:pPr>
      <w:r w:rsidRPr="003444A2">
        <w:rPr>
          <w:rFonts w:cstheme="majorHAnsi"/>
          <w:b/>
          <w:bCs/>
        </w:rPr>
        <w:t>Plastic Materials</w:t>
      </w:r>
      <w:r w:rsidRPr="003444A2">
        <w:rPr>
          <w:rFonts w:cstheme="majorHAnsi"/>
        </w:rPr>
        <w:t>: Production and trading of plastic pipes and plastic pipe fittings.</w:t>
      </w:r>
    </w:p>
    <w:p w14:paraId="48DC4297" w14:textId="77777777" w:rsidR="005650B8" w:rsidRPr="003444A2" w:rsidRDefault="005650B8" w:rsidP="005650B8">
      <w:pPr>
        <w:numPr>
          <w:ilvl w:val="0"/>
          <w:numId w:val="26"/>
        </w:numPr>
        <w:rPr>
          <w:rFonts w:cstheme="majorHAnsi"/>
        </w:rPr>
      </w:pPr>
      <w:r w:rsidRPr="003444A2">
        <w:rPr>
          <w:rFonts w:cstheme="majorHAnsi"/>
          <w:b/>
          <w:bCs/>
        </w:rPr>
        <w:t>Other Businesses</w:t>
      </w:r>
      <w:r w:rsidRPr="003444A2">
        <w:rPr>
          <w:rFonts w:cstheme="majorHAnsi"/>
        </w:rPr>
        <w:t>: Hotel, food and beverage, and commercial center operations.</w:t>
      </w:r>
    </w:p>
    <w:p w14:paraId="44F37465" w14:textId="77777777" w:rsidR="005650B8" w:rsidRPr="003444A2" w:rsidRDefault="005650B8" w:rsidP="005650B8">
      <w:pPr>
        <w:rPr>
          <w:rFonts w:cstheme="majorHAnsi"/>
        </w:rPr>
      </w:pPr>
      <w:r w:rsidRPr="003444A2">
        <w:rPr>
          <w:rFonts w:cstheme="majorHAnsi"/>
        </w:rPr>
        <w:t>The revenue structure indicates that HSG is no longer purely a steel manufacturer but has developed a broader business ecosystem that combines manufacturing, distribution, and retail activities. </w:t>
      </w:r>
    </w:p>
    <w:p w14:paraId="4AC522DA" w14:textId="77777777" w:rsidR="005650B8" w:rsidRPr="003444A2" w:rsidRDefault="005650B8" w:rsidP="005650B8">
      <w:pPr>
        <w:rPr>
          <w:rFonts w:cstheme="majorHAnsi"/>
          <w:b/>
          <w:bCs/>
        </w:rPr>
      </w:pPr>
      <w:r w:rsidRPr="003444A2">
        <w:rPr>
          <w:rFonts w:cstheme="majorHAnsi"/>
          <w:b/>
          <w:bCs/>
        </w:rPr>
        <w:t>2. Strategic Transformation</w:t>
      </w:r>
    </w:p>
    <w:p w14:paraId="07D6EF13" w14:textId="77777777" w:rsidR="005650B8" w:rsidRPr="003444A2" w:rsidRDefault="005650B8" w:rsidP="005650B8">
      <w:pPr>
        <w:ind w:firstLine="720"/>
        <w:rPr>
          <w:rFonts w:cstheme="majorHAnsi"/>
        </w:rPr>
      </w:pPr>
      <w:r w:rsidRPr="003444A2">
        <w:rPr>
          <w:rFonts w:cstheme="majorHAnsi"/>
        </w:rPr>
        <w:t>A key strategic development of HSG is its transition from a traditional steel manufacturing company toward a building materials distribution and retail ecosystem. Through the expansion of the Hoa Sen Home network, the company has increasingly focused on strengthening distribution capabilities and direct customer access rather than aggressively expanding production capacity.</w:t>
      </w:r>
    </w:p>
    <w:p w14:paraId="5B9E5244" w14:textId="77777777" w:rsidR="005650B8" w:rsidRPr="003444A2" w:rsidRDefault="005650B8" w:rsidP="005650B8">
      <w:pPr>
        <w:rPr>
          <w:rFonts w:cstheme="majorHAnsi"/>
          <w:b/>
          <w:bCs/>
        </w:rPr>
      </w:pPr>
      <w:r w:rsidRPr="003444A2">
        <w:rPr>
          <w:rFonts w:cstheme="majorHAnsi"/>
          <w:b/>
          <w:bCs/>
        </w:rPr>
        <w:t>3. Financial Implications of the Business Model</w:t>
      </w:r>
    </w:p>
    <w:p w14:paraId="63C6D48A" w14:textId="77777777" w:rsidR="005650B8" w:rsidRPr="003444A2" w:rsidRDefault="005650B8" w:rsidP="005650B8">
      <w:pPr>
        <w:ind w:firstLine="720"/>
        <w:rPr>
          <w:rFonts w:cstheme="majorHAnsi"/>
        </w:rPr>
      </w:pPr>
      <w:r w:rsidRPr="003444A2">
        <w:rPr>
          <w:rFonts w:cstheme="majorHAnsi"/>
        </w:rPr>
        <w:t>This business model requires substantial working capital to support inventories and trade receivables across the distribution network. As a result, a significant portion of HSG’s resources is tied up in operational assets, making working capital management and financial flexibility important factors in supporting the company’s operations and growth.</w:t>
      </w:r>
    </w:p>
    <w:p w14:paraId="5DD4AA2B" w14:textId="77777777" w:rsidR="005650B8" w:rsidRPr="003444A2" w:rsidRDefault="005650B8" w:rsidP="005650B8">
      <w:pPr>
        <w:pStyle w:val="Heading2"/>
        <w:rPr>
          <w:rFonts w:cstheme="majorHAnsi"/>
        </w:rPr>
      </w:pPr>
      <w:bookmarkStart w:id="4" w:name="_Toc233984126"/>
      <w:r w:rsidRPr="003444A2">
        <w:rPr>
          <w:rFonts w:cstheme="majorHAnsi"/>
        </w:rPr>
        <w:t>IV. External Environment Analysis</w:t>
      </w:r>
      <w:bookmarkEnd w:id="4"/>
      <w:r w:rsidRPr="003444A2">
        <w:rPr>
          <w:rFonts w:cstheme="majorHAnsi"/>
        </w:rPr>
        <w:t> </w:t>
      </w:r>
    </w:p>
    <w:p w14:paraId="42910D03" w14:textId="77777777" w:rsidR="005650B8" w:rsidRPr="003444A2" w:rsidRDefault="005650B8" w:rsidP="005650B8">
      <w:pPr>
        <w:rPr>
          <w:rFonts w:cstheme="majorHAnsi"/>
        </w:rPr>
      </w:pPr>
      <w:r w:rsidRPr="003444A2">
        <w:rPr>
          <w:rFonts w:cstheme="majorHAnsi"/>
          <w:b/>
          <w:bCs/>
        </w:rPr>
        <w:t>Political factors:</w:t>
      </w:r>
    </w:p>
    <w:p w14:paraId="51ACFA50" w14:textId="77777777" w:rsidR="005650B8" w:rsidRPr="003444A2" w:rsidRDefault="005650B8" w:rsidP="005650B8">
      <w:pPr>
        <w:numPr>
          <w:ilvl w:val="0"/>
          <w:numId w:val="27"/>
        </w:numPr>
        <w:rPr>
          <w:rFonts w:cstheme="majorHAnsi"/>
        </w:rPr>
      </w:pPr>
      <w:r w:rsidRPr="003444A2">
        <w:rPr>
          <w:rFonts w:cstheme="majorHAnsi"/>
        </w:rPr>
        <w:t>Vietnam’s stable political environment supports long-term business operations.</w:t>
      </w:r>
    </w:p>
    <w:p w14:paraId="740BC12D" w14:textId="77777777" w:rsidR="005650B8" w:rsidRPr="003444A2" w:rsidRDefault="005650B8" w:rsidP="005650B8">
      <w:pPr>
        <w:numPr>
          <w:ilvl w:val="0"/>
          <w:numId w:val="27"/>
        </w:numPr>
        <w:rPr>
          <w:rFonts w:cstheme="majorHAnsi"/>
        </w:rPr>
      </w:pPr>
      <w:r w:rsidRPr="003444A2">
        <w:rPr>
          <w:rFonts w:cstheme="majorHAnsi"/>
        </w:rPr>
        <w:t>Government infrastructure investment policies stimulate steel demand.</w:t>
      </w:r>
    </w:p>
    <w:p w14:paraId="01FECDB1" w14:textId="77777777" w:rsidR="005650B8" w:rsidRPr="003444A2" w:rsidRDefault="005650B8" w:rsidP="005650B8">
      <w:pPr>
        <w:numPr>
          <w:ilvl w:val="0"/>
          <w:numId w:val="27"/>
        </w:numPr>
        <w:rPr>
          <w:rFonts w:cstheme="majorHAnsi"/>
        </w:rPr>
      </w:pPr>
      <w:r w:rsidRPr="003444A2">
        <w:rPr>
          <w:rFonts w:cstheme="majorHAnsi"/>
        </w:rPr>
        <w:lastRenderedPageBreak/>
        <w:t>Trade agreements (CPTPP, EVFTA) create export opportunities, while trade barriers and tariffs remain potential risks.</w:t>
      </w:r>
    </w:p>
    <w:p w14:paraId="2725B9F9" w14:textId="77777777" w:rsidR="005650B8" w:rsidRPr="003444A2" w:rsidRDefault="005650B8" w:rsidP="005650B8">
      <w:pPr>
        <w:rPr>
          <w:rFonts w:cstheme="majorHAnsi"/>
        </w:rPr>
      </w:pPr>
      <w:r w:rsidRPr="003444A2">
        <w:rPr>
          <w:rFonts w:cstheme="majorHAnsi"/>
          <w:b/>
          <w:bCs/>
        </w:rPr>
        <w:t>Economic factors – this is the most important factor:</w:t>
      </w:r>
    </w:p>
    <w:p w14:paraId="6D5C418D" w14:textId="77777777" w:rsidR="005650B8" w:rsidRPr="003444A2" w:rsidRDefault="005650B8" w:rsidP="005650B8">
      <w:pPr>
        <w:numPr>
          <w:ilvl w:val="0"/>
          <w:numId w:val="28"/>
        </w:numPr>
        <w:rPr>
          <w:rFonts w:cstheme="majorHAnsi"/>
        </w:rPr>
      </w:pPr>
      <w:r w:rsidRPr="003444A2">
        <w:rPr>
          <w:rFonts w:cstheme="majorHAnsi"/>
        </w:rPr>
        <w:t>Steel demand is highly dependent on GDP growth, construction, public investment, and real estate activities.</w:t>
      </w:r>
    </w:p>
    <w:p w14:paraId="074BA2A1" w14:textId="77777777" w:rsidR="005650B8" w:rsidRPr="003444A2" w:rsidRDefault="005650B8" w:rsidP="005650B8">
      <w:pPr>
        <w:numPr>
          <w:ilvl w:val="0"/>
          <w:numId w:val="28"/>
        </w:numPr>
        <w:rPr>
          <w:rFonts w:cstheme="majorHAnsi"/>
        </w:rPr>
      </w:pPr>
      <w:r w:rsidRPr="003444A2">
        <w:rPr>
          <w:rFonts w:cstheme="majorHAnsi"/>
        </w:rPr>
        <w:t>Economic expansion increases steel consumption, while economic downturns reduce demand and weaken cash flow.</w:t>
      </w:r>
    </w:p>
    <w:p w14:paraId="7BAABD3F" w14:textId="77777777" w:rsidR="005650B8" w:rsidRPr="003444A2" w:rsidRDefault="005650B8" w:rsidP="005650B8">
      <w:pPr>
        <w:numPr>
          <w:ilvl w:val="0"/>
          <w:numId w:val="28"/>
        </w:numPr>
        <w:rPr>
          <w:rFonts w:cstheme="majorHAnsi"/>
        </w:rPr>
      </w:pPr>
      <w:r w:rsidRPr="003444A2">
        <w:rPr>
          <w:rFonts w:cstheme="majorHAnsi"/>
        </w:rPr>
        <w:t>Fluctuations in HRC, zinc prices, interest rates, and exchange rates directly affect profitability and financing costs.</w:t>
      </w:r>
    </w:p>
    <w:p w14:paraId="602B1405" w14:textId="77777777" w:rsidR="005650B8" w:rsidRPr="003444A2" w:rsidRDefault="005650B8" w:rsidP="005650B8">
      <w:pPr>
        <w:rPr>
          <w:rFonts w:cstheme="majorHAnsi"/>
          <w:b/>
          <w:bCs/>
        </w:rPr>
      </w:pPr>
      <w:r w:rsidRPr="003444A2">
        <w:rPr>
          <w:rFonts w:cstheme="majorHAnsi"/>
          <w:b/>
          <w:bCs/>
        </w:rPr>
        <w:t>Implications for HSG</w:t>
      </w:r>
    </w:p>
    <w:p w14:paraId="6FABE0A6" w14:textId="77777777" w:rsidR="005650B8" w:rsidRPr="003444A2" w:rsidRDefault="005650B8" w:rsidP="005650B8">
      <w:pPr>
        <w:rPr>
          <w:rFonts w:cstheme="majorHAnsi"/>
        </w:rPr>
      </w:pPr>
      <w:r w:rsidRPr="003444A2">
        <w:rPr>
          <w:rFonts w:cstheme="majorHAnsi"/>
        </w:rPr>
        <w:t>The challenging market environment created significant pressure on HSG's business performance during the period. Weaker steel demand, together with fluctuations in raw material prices and financing costs, affected the company's revenue and profitability. As a result, maintaining operational efficiency and financial stability became increasingly important for the company.</w:t>
      </w:r>
    </w:p>
    <w:p w14:paraId="2FD64288" w14:textId="77777777" w:rsidR="005650B8" w:rsidRPr="003444A2" w:rsidRDefault="005650B8" w:rsidP="005650B8">
      <w:pPr>
        <w:pStyle w:val="Heading2"/>
        <w:rPr>
          <w:rFonts w:cstheme="majorHAnsi"/>
        </w:rPr>
      </w:pPr>
      <w:bookmarkStart w:id="5" w:name="_Toc233984127"/>
      <w:r w:rsidRPr="003444A2">
        <w:rPr>
          <w:rFonts w:cstheme="majorHAnsi"/>
        </w:rPr>
        <w:t>V. Industry Analysis</w:t>
      </w:r>
      <w:bookmarkEnd w:id="5"/>
    </w:p>
    <w:p w14:paraId="49C3298E" w14:textId="77777777" w:rsidR="005650B8" w:rsidRPr="003444A2" w:rsidRDefault="005650B8" w:rsidP="005650B8">
      <w:pPr>
        <w:rPr>
          <w:rFonts w:cstheme="majorHAnsi"/>
          <w:b/>
          <w:bCs/>
        </w:rPr>
      </w:pPr>
      <w:r w:rsidRPr="003444A2">
        <w:rPr>
          <w:rFonts w:cstheme="majorHAnsi"/>
          <w:b/>
          <w:bCs/>
        </w:rPr>
        <w:t>1. Industry Characteristics</w:t>
      </w:r>
    </w:p>
    <w:p w14:paraId="5F1E17BB" w14:textId="77777777" w:rsidR="005650B8" w:rsidRPr="003444A2" w:rsidRDefault="005650B8" w:rsidP="005650B8">
      <w:pPr>
        <w:ind w:firstLine="720"/>
        <w:rPr>
          <w:rFonts w:cstheme="majorHAnsi"/>
        </w:rPr>
      </w:pPr>
      <w:r w:rsidRPr="003444A2">
        <w:rPr>
          <w:rFonts w:cstheme="majorHAnsi"/>
        </w:rPr>
        <w:t>The steel industry is highly cyclical, with demand closely linked to construction activity, real estate development, public investment, and overall economic growth. As a result, steel companies often experience significant fluctuations in revenue and profitability across different market cycles.</w:t>
      </w:r>
    </w:p>
    <w:p w14:paraId="20815766" w14:textId="77777777" w:rsidR="005650B8" w:rsidRPr="003444A2" w:rsidRDefault="005650B8" w:rsidP="005650B8">
      <w:pPr>
        <w:ind w:firstLine="720"/>
        <w:rPr>
          <w:rFonts w:cstheme="majorHAnsi"/>
        </w:rPr>
      </w:pPr>
      <w:r w:rsidRPr="003444A2">
        <w:rPr>
          <w:rFonts w:cstheme="majorHAnsi"/>
        </w:rPr>
        <w:t>In addition, the industry is highly dependent on key raw materials such as hot-rolled coils (HRC), steel scrap, and zinc. Fluctuations in raw material prices can significantly affect production costs and profit margins, making financial performance highly sensitive to market conditions.</w:t>
      </w:r>
    </w:p>
    <w:p w14:paraId="1D029E34" w14:textId="77777777" w:rsidR="005650B8" w:rsidRPr="003444A2" w:rsidRDefault="005650B8" w:rsidP="005650B8">
      <w:pPr>
        <w:rPr>
          <w:rFonts w:cstheme="majorHAnsi"/>
        </w:rPr>
      </w:pPr>
      <w:r w:rsidRPr="003444A2">
        <w:rPr>
          <w:rFonts w:cstheme="majorHAnsi"/>
          <w:b/>
          <w:bCs/>
        </w:rPr>
        <w:t>2. Working Capital Requirements</w:t>
      </w:r>
    </w:p>
    <w:p w14:paraId="087BE292" w14:textId="77777777" w:rsidR="005650B8" w:rsidRPr="003444A2" w:rsidRDefault="005650B8" w:rsidP="005650B8">
      <w:pPr>
        <w:ind w:firstLine="720"/>
        <w:rPr>
          <w:rFonts w:cstheme="majorHAnsi"/>
        </w:rPr>
      </w:pPr>
      <w:r w:rsidRPr="003444A2">
        <w:rPr>
          <w:rFonts w:cstheme="majorHAnsi"/>
        </w:rPr>
        <w:t>Due to the nature of steel production and distribution, companies are required to maintain substantial inventories to ensure production continuity and product availability. At the same time, trade credit is commonly extended to customers and distributors to support sales activities, resulting in significant receivables balances.</w:t>
      </w:r>
    </w:p>
    <w:p w14:paraId="13AFBEED" w14:textId="77777777" w:rsidR="005650B8" w:rsidRPr="003444A2" w:rsidRDefault="005650B8" w:rsidP="005650B8">
      <w:pPr>
        <w:ind w:firstLine="720"/>
        <w:rPr>
          <w:rFonts w:cstheme="majorHAnsi"/>
        </w:rPr>
      </w:pPr>
      <w:r w:rsidRPr="003444A2">
        <w:rPr>
          <w:rFonts w:cstheme="majorHAnsi"/>
        </w:rPr>
        <w:t>Consequently, the steel industry is characterized by high working capital requirements, with inventories and receivables often accounting for a large proportion of total assets. This creates a continuous need for liquidity management and financing resources.</w:t>
      </w:r>
    </w:p>
    <w:p w14:paraId="583C534D" w14:textId="77777777" w:rsidR="005650B8" w:rsidRPr="003444A2" w:rsidRDefault="005650B8" w:rsidP="005650B8">
      <w:pPr>
        <w:rPr>
          <w:rFonts w:cstheme="majorHAnsi"/>
        </w:rPr>
      </w:pPr>
      <w:r w:rsidRPr="003444A2">
        <w:rPr>
          <w:rFonts w:cstheme="majorHAnsi"/>
          <w:b/>
          <w:bCs/>
        </w:rPr>
        <w:t>3. Competitive Environment</w:t>
      </w:r>
    </w:p>
    <w:p w14:paraId="1D549C92" w14:textId="77777777" w:rsidR="005650B8" w:rsidRPr="003444A2" w:rsidRDefault="005650B8" w:rsidP="005650B8">
      <w:pPr>
        <w:ind w:firstLine="720"/>
        <w:rPr>
          <w:rFonts w:cstheme="majorHAnsi"/>
        </w:rPr>
      </w:pPr>
      <w:r w:rsidRPr="003444A2">
        <w:rPr>
          <w:rFonts w:cstheme="majorHAnsi"/>
        </w:rPr>
        <w:t>HSG operates in a highly competitive market alongside major domestic competitors such as Hoa Phat Group (HPG), Nam Kim Steel (NKG), and Ton Dong A, while also facing competition from imported steel products, particularly from China. Intense competition limits pricing power and places pressure on profit margins, especially during periods of weak demand. </w:t>
      </w:r>
    </w:p>
    <w:p w14:paraId="52076095" w14:textId="77777777" w:rsidR="005650B8" w:rsidRPr="003444A2" w:rsidRDefault="005650B8" w:rsidP="005650B8">
      <w:pPr>
        <w:pStyle w:val="Heading2"/>
        <w:rPr>
          <w:rFonts w:cstheme="majorHAnsi"/>
        </w:rPr>
      </w:pPr>
      <w:bookmarkStart w:id="6" w:name="_Toc233984128"/>
      <w:r w:rsidRPr="003444A2">
        <w:rPr>
          <w:rFonts w:cstheme="majorHAnsi"/>
        </w:rPr>
        <w:t>VI. Value Chain and Business Ecosystem</w:t>
      </w:r>
      <w:bookmarkEnd w:id="6"/>
      <w:r w:rsidRPr="003444A2">
        <w:rPr>
          <w:rFonts w:cstheme="majorHAnsi"/>
        </w:rPr>
        <w:t> </w:t>
      </w:r>
    </w:p>
    <w:p w14:paraId="00112247" w14:textId="77777777" w:rsidR="005650B8" w:rsidRPr="003444A2" w:rsidRDefault="005650B8" w:rsidP="005650B8">
      <w:pPr>
        <w:rPr>
          <w:rFonts w:cstheme="majorHAnsi"/>
        </w:rPr>
      </w:pPr>
      <w:r w:rsidRPr="003444A2">
        <w:rPr>
          <w:rFonts w:cstheme="majorHAnsi"/>
          <w:b/>
          <w:bCs/>
        </w:rPr>
        <w:t>1. Integrated Value Chain</w:t>
      </w:r>
    </w:p>
    <w:p w14:paraId="2C5CB1B8" w14:textId="77777777" w:rsidR="005650B8" w:rsidRPr="003444A2" w:rsidRDefault="005650B8" w:rsidP="005650B8">
      <w:pPr>
        <w:ind w:firstLine="720"/>
        <w:rPr>
          <w:rFonts w:cstheme="majorHAnsi"/>
        </w:rPr>
      </w:pPr>
      <w:r w:rsidRPr="003444A2">
        <w:rPr>
          <w:rFonts w:cstheme="majorHAnsi"/>
        </w:rPr>
        <w:t>HSG operates an integrated value chain that covers raw material procurement, steel processing, manufacturing, distribution, retailing, and after-sales services. This integrated structure allows the company to maintain greater control over product quality, operating costs, customer relationships, and market coverage.</w:t>
      </w:r>
    </w:p>
    <w:p w14:paraId="7B1AB4F6" w14:textId="77777777" w:rsidR="005650B8" w:rsidRPr="003444A2" w:rsidRDefault="005650B8" w:rsidP="005650B8">
      <w:pPr>
        <w:ind w:firstLine="720"/>
        <w:rPr>
          <w:rFonts w:cstheme="majorHAnsi"/>
        </w:rPr>
      </w:pPr>
      <w:r w:rsidRPr="003444A2">
        <w:rPr>
          <w:rFonts w:cstheme="majorHAnsi"/>
        </w:rPr>
        <w:lastRenderedPageBreak/>
        <w:t>Through its nationwide distribution network and the Hoa Sen Home retail system, HSG is able to connect manufacturing activities directly with end customers, supporting both operational efficiency and market competitiveness.</w:t>
      </w:r>
    </w:p>
    <w:p w14:paraId="4A9D3608" w14:textId="77777777" w:rsidR="005650B8" w:rsidRPr="003444A2" w:rsidRDefault="005650B8" w:rsidP="005650B8">
      <w:pPr>
        <w:rPr>
          <w:rFonts w:cstheme="majorHAnsi"/>
        </w:rPr>
      </w:pPr>
      <w:r w:rsidRPr="003444A2">
        <w:rPr>
          <w:rFonts w:cstheme="majorHAnsi"/>
          <w:b/>
          <w:bCs/>
        </w:rPr>
        <w:t>2. Role of Subsidiaries</w:t>
      </w:r>
    </w:p>
    <w:p w14:paraId="0C2EA3B5" w14:textId="77777777" w:rsidR="005650B8" w:rsidRPr="003444A2" w:rsidRDefault="005650B8" w:rsidP="005650B8">
      <w:pPr>
        <w:ind w:firstLine="720"/>
        <w:rPr>
          <w:rFonts w:cstheme="majorHAnsi"/>
        </w:rPr>
      </w:pPr>
      <w:r w:rsidRPr="003444A2">
        <w:rPr>
          <w:rFonts w:cstheme="majorHAnsi"/>
        </w:rPr>
        <w:t>To support its integrated business model, HSG conducts a significant portion of its operations through subsidiaries specializing in steel manufacturing, steel pipes, plastic products, building materials, and retail activities. Most of these subsidiaries are wholly owned or majority-owned by the Group, allowing HSG to maintain strategic control across different stages of the value chain.</w:t>
      </w:r>
    </w:p>
    <w:p w14:paraId="744AFF36" w14:textId="77777777" w:rsidR="005650B8" w:rsidRPr="003444A2" w:rsidRDefault="005650B8" w:rsidP="005650B8">
      <w:pPr>
        <w:ind w:firstLine="720"/>
        <w:rPr>
          <w:rFonts w:cstheme="majorHAnsi"/>
        </w:rPr>
      </w:pPr>
      <w:r w:rsidRPr="003444A2">
        <w:rPr>
          <w:rFonts w:cstheme="majorHAnsi"/>
        </w:rPr>
        <w:t>This structure enables the company to coordinate production, distribution, and retail activities more effectively while supporting the long-term development of its business ecosystem.</w:t>
      </w:r>
    </w:p>
    <w:p w14:paraId="683F7304" w14:textId="593012DE" w:rsidR="005650B8" w:rsidRPr="003444A2" w:rsidRDefault="005650B8" w:rsidP="005650B8">
      <w:pPr>
        <w:pStyle w:val="Heading1"/>
        <w:rPr>
          <w:rFonts w:cstheme="majorHAnsi"/>
        </w:rPr>
      </w:pPr>
      <w:bookmarkStart w:id="7" w:name="_Toc233984129"/>
      <w:r w:rsidRPr="003444A2">
        <w:rPr>
          <w:rFonts w:cstheme="majorHAnsi"/>
        </w:rPr>
        <w:t>PART 2. FINANCIAL STATEMENT</w:t>
      </w:r>
      <w:bookmarkEnd w:id="7"/>
    </w:p>
    <w:p w14:paraId="0EC8DDD5" w14:textId="77777777" w:rsidR="00823944" w:rsidRPr="003444A2" w:rsidRDefault="00823944" w:rsidP="005650B8">
      <w:pPr>
        <w:rPr>
          <w:rFonts w:cstheme="majorHAnsi"/>
          <w:b/>
          <w:bCs/>
        </w:rPr>
      </w:pPr>
    </w:p>
    <w:p w14:paraId="00CA01D6" w14:textId="77777777" w:rsidR="003444A2" w:rsidRDefault="00823944" w:rsidP="001F3AC5">
      <w:pPr>
        <w:pStyle w:val="Heading2"/>
        <w:rPr>
          <w:rFonts w:cstheme="majorHAnsi"/>
        </w:rPr>
      </w:pPr>
      <w:bookmarkStart w:id="8" w:name="_Toc233984130"/>
      <w:r w:rsidRPr="003444A2">
        <w:rPr>
          <w:rFonts w:cstheme="majorHAnsi"/>
        </w:rPr>
        <w:t>I</w:t>
      </w:r>
      <w:r w:rsidR="005650B8" w:rsidRPr="003444A2">
        <w:rPr>
          <w:rFonts w:cstheme="majorHAnsi"/>
        </w:rPr>
        <w:t>. Balance Sheet - Assets</w:t>
      </w:r>
      <w:bookmarkEnd w:id="8"/>
      <w:r w:rsidR="005650B8" w:rsidRPr="003444A2">
        <w:rPr>
          <w:rFonts w:cstheme="majorHAnsi"/>
        </w:rPr>
        <w:t> </w:t>
      </w:r>
    </w:p>
    <w:p w14:paraId="54985F21" w14:textId="5DAE3F94" w:rsidR="005650B8" w:rsidRPr="003444A2" w:rsidRDefault="005650B8" w:rsidP="003444A2">
      <w:r w:rsidRPr="003444A2">
        <w:br/>
      </w:r>
      <w:r w:rsidR="00823944" w:rsidRPr="003444A2">
        <w:rPr>
          <w:noProof/>
        </w:rPr>
        <w:drawing>
          <wp:inline distT="0" distB="0" distL="0" distR="0" wp14:anchorId="78179DBF" wp14:editId="779F63EF">
            <wp:extent cx="2799080" cy="2031114"/>
            <wp:effectExtent l="0" t="0" r="1270" b="7620"/>
            <wp:docPr id="1478526619" name="Chart 1">
              <a:extLst xmlns:a="http://schemas.openxmlformats.org/drawingml/2006/main">
                <a:ext uri="{FF2B5EF4-FFF2-40B4-BE49-F238E27FC236}">
                  <a16:creationId xmlns:a16="http://schemas.microsoft.com/office/drawing/2014/main" id="{62F82BFA-DC6B-A200-03A1-B92E3F6CBC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00823944" w:rsidRPr="003444A2">
        <w:rPr>
          <w:noProof/>
        </w:rPr>
        <w:drawing>
          <wp:inline distT="0" distB="0" distL="0" distR="0" wp14:anchorId="4829F43B" wp14:editId="6D7A68EB">
            <wp:extent cx="2881423" cy="2020186"/>
            <wp:effectExtent l="0" t="0" r="14605" b="18415"/>
            <wp:docPr id="1307708967" name="Chart 1">
              <a:extLst xmlns:a="http://schemas.openxmlformats.org/drawingml/2006/main">
                <a:ext uri="{FF2B5EF4-FFF2-40B4-BE49-F238E27FC236}">
                  <a16:creationId xmlns:a16="http://schemas.microsoft.com/office/drawing/2014/main" id="{CD180CB9-963F-21B5-1DB8-19F8DD2E7AC6}"/>
                </a:ext>
                <a:ext uri="{147F2762-F138-4A5C-976F-8EAC2B608ADB}">
                  <a16:predDERef xmlns:a16="http://schemas.microsoft.com/office/drawing/2014/main" pred="{62F82BFA-DC6B-A200-03A1-B92E3F6CBC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4864A67" w14:textId="77777777" w:rsidR="005650B8" w:rsidRPr="003444A2" w:rsidRDefault="005650B8" w:rsidP="005650B8">
      <w:pPr>
        <w:ind w:firstLine="720"/>
        <w:rPr>
          <w:rFonts w:cstheme="majorHAnsi"/>
        </w:rPr>
      </w:pPr>
      <w:r w:rsidRPr="003444A2">
        <w:rPr>
          <w:rFonts w:cstheme="majorHAnsi"/>
        </w:rPr>
        <w:t>During the 2022–2024 period, Hoa Sen Group continued implementing its comprehensive restructuring strategy by specializing its business segments while pursuing a low-cost leadership strategy and expanding its nationwide building materials and home improvement distribution network. The strategic transition from a manufacturing-oriented model to a distribution-oriented business model increased the company's working capital requirements, thereby driving continuous growth in total assets and reflecting its long-term business expansion strategy (Annual Report 2023; Annual Report 2024).</w:t>
      </w:r>
    </w:p>
    <w:p w14:paraId="5EE15451" w14:textId="2B0C3AA8" w:rsidR="005650B8" w:rsidRPr="003444A2" w:rsidRDefault="005650B8" w:rsidP="005650B8">
      <w:pPr>
        <w:rPr>
          <w:rFonts w:cstheme="majorHAnsi"/>
        </w:rPr>
      </w:pPr>
      <w:r w:rsidRPr="003444A2">
        <w:rPr>
          <w:rFonts w:cstheme="majorHAnsi"/>
          <w:b/>
          <w:bCs/>
          <w:i/>
          <w:iCs/>
        </w:rPr>
        <w:t>1.</w:t>
      </w:r>
      <w:r w:rsidR="00823944" w:rsidRPr="003444A2">
        <w:rPr>
          <w:rFonts w:cstheme="majorHAnsi"/>
          <w:b/>
          <w:bCs/>
          <w:i/>
          <w:iCs/>
        </w:rPr>
        <w:t xml:space="preserve"> </w:t>
      </w:r>
      <w:r w:rsidRPr="003444A2">
        <w:rPr>
          <w:rFonts w:cstheme="majorHAnsi"/>
          <w:b/>
          <w:bCs/>
          <w:i/>
          <w:iCs/>
        </w:rPr>
        <w:t>Asset Structure (Current vs Non-current Assets)</w:t>
      </w:r>
    </w:p>
    <w:p w14:paraId="056C8DDB" w14:textId="705AFD96" w:rsidR="005650B8" w:rsidRPr="003444A2" w:rsidRDefault="005650B8" w:rsidP="005650B8">
      <w:pPr>
        <w:rPr>
          <w:rFonts w:cstheme="majorHAnsi"/>
        </w:rPr>
      </w:pPr>
      <w:r w:rsidRPr="003444A2">
        <w:rPr>
          <w:rFonts w:cstheme="majorHAnsi"/>
          <w:i/>
          <w:iCs/>
        </w:rPr>
        <w:t>1.1.</w:t>
      </w:r>
      <w:r w:rsidR="003F6550" w:rsidRPr="003444A2">
        <w:rPr>
          <w:rFonts w:cstheme="majorHAnsi"/>
          <w:i/>
          <w:iCs/>
        </w:rPr>
        <w:t xml:space="preserve"> </w:t>
      </w:r>
      <w:r w:rsidRPr="003444A2">
        <w:rPr>
          <w:rFonts w:cstheme="majorHAnsi"/>
          <w:i/>
          <w:iCs/>
        </w:rPr>
        <w:t>Structure of Current Assets</w:t>
      </w:r>
    </w:p>
    <w:p w14:paraId="308AC9A6" w14:textId="6BE7FAE3" w:rsidR="005650B8" w:rsidRPr="003444A2" w:rsidRDefault="00823944" w:rsidP="005650B8">
      <w:pPr>
        <w:rPr>
          <w:rFonts w:cstheme="majorHAnsi"/>
        </w:rPr>
      </w:pPr>
      <w:r w:rsidRPr="003444A2">
        <w:rPr>
          <w:rFonts w:cstheme="majorHAnsi"/>
          <w:noProof/>
        </w:rPr>
        <w:lastRenderedPageBreak/>
        <w:drawing>
          <wp:inline distT="0" distB="0" distL="0" distR="0" wp14:anchorId="1422F7B0" wp14:editId="7CD1AE03">
            <wp:extent cx="1924493" cy="3147060"/>
            <wp:effectExtent l="0" t="0" r="0" b="15240"/>
            <wp:docPr id="1573344248" name="Chart 1">
              <a:extLst xmlns:a="http://schemas.openxmlformats.org/drawingml/2006/main">
                <a:ext uri="{FF2B5EF4-FFF2-40B4-BE49-F238E27FC236}">
                  <a16:creationId xmlns:a16="http://schemas.microsoft.com/office/drawing/2014/main" id="{BD1DF1E3-E3E4-080D-7B98-046B285EB30A}"/>
                </a:ext>
                <a:ext uri="{147F2762-F138-4A5C-976F-8EAC2B608ADB}">
                  <a16:predDERef xmlns:a16="http://schemas.microsoft.com/office/drawing/2014/main" pred="{CD180CB9-963F-21B5-1DB8-19F8DD2E7A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Pr="003444A2">
        <w:rPr>
          <w:rFonts w:cstheme="majorHAnsi"/>
          <w:noProof/>
        </w:rPr>
        <w:drawing>
          <wp:inline distT="0" distB="0" distL="0" distR="0" wp14:anchorId="0A741D17" wp14:editId="65502180">
            <wp:extent cx="1892595" cy="3147060"/>
            <wp:effectExtent l="0" t="0" r="12700" b="15240"/>
            <wp:docPr id="572961476" name="Chart 1">
              <a:extLst xmlns:a="http://schemas.openxmlformats.org/drawingml/2006/main">
                <a:ext uri="{FF2B5EF4-FFF2-40B4-BE49-F238E27FC236}">
                  <a16:creationId xmlns:a16="http://schemas.microsoft.com/office/drawing/2014/main" id="{AE6FDE3C-2E17-D6D5-B2E9-312093D403E0}"/>
                </a:ext>
                <a:ext uri="{147F2762-F138-4A5C-976F-8EAC2B608ADB}">
                  <a16:predDERef xmlns:a16="http://schemas.microsoft.com/office/drawing/2014/main" pred="{BD1DF1E3-E3E4-080D-7B98-046B285EB3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Pr="003444A2">
        <w:rPr>
          <w:rFonts w:cstheme="majorHAnsi"/>
          <w:noProof/>
        </w:rPr>
        <w:drawing>
          <wp:inline distT="0" distB="0" distL="0" distR="0" wp14:anchorId="3D90B566" wp14:editId="02A1DE39">
            <wp:extent cx="1881963" cy="3157220"/>
            <wp:effectExtent l="0" t="0" r="4445" b="5080"/>
            <wp:docPr id="348139940" name="Chart 1">
              <a:extLst xmlns:a="http://schemas.openxmlformats.org/drawingml/2006/main">
                <a:ext uri="{FF2B5EF4-FFF2-40B4-BE49-F238E27FC236}">
                  <a16:creationId xmlns:a16="http://schemas.microsoft.com/office/drawing/2014/main" id="{02AF9D84-75FC-1555-1B0E-802EEFCB5C23}"/>
                </a:ext>
                <a:ext uri="{147F2762-F138-4A5C-976F-8EAC2B608ADB}">
                  <a16:predDERef xmlns:a16="http://schemas.microsoft.com/office/drawing/2014/main" pred="{AE6FDE3C-2E17-D6D5-B2E9-312093D403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766BCE5" w14:textId="77777777" w:rsidR="005650B8" w:rsidRPr="003444A2" w:rsidRDefault="005650B8" w:rsidP="003F6550">
      <w:pPr>
        <w:ind w:firstLine="720"/>
        <w:rPr>
          <w:rFonts w:cstheme="majorHAnsi"/>
        </w:rPr>
      </w:pPr>
      <w:r w:rsidRPr="003444A2">
        <w:rPr>
          <w:rFonts w:cstheme="majorHAnsi"/>
        </w:rPr>
        <w:t>The increase in the proportion of current assets was primarily driven by higher trade receivables and inventories. This reflects HSG's distribution expansion strategy, under which the company needs to maintain a high level of inventory to meet market demand while extending trade credit to support sales activities. However, maintaining large inventory levels also places greater pressure on inventory management and increases the company's exposure to steel price fluctuations.</w:t>
      </w:r>
    </w:p>
    <w:p w14:paraId="1B6983FF" w14:textId="23F10509" w:rsidR="005650B8" w:rsidRPr="003444A2" w:rsidRDefault="005650B8" w:rsidP="005650B8">
      <w:pPr>
        <w:rPr>
          <w:rFonts w:cstheme="majorHAnsi"/>
        </w:rPr>
      </w:pPr>
      <w:r w:rsidRPr="003444A2">
        <w:rPr>
          <w:rFonts w:cstheme="majorHAnsi"/>
          <w:i/>
          <w:iCs/>
        </w:rPr>
        <w:t>1.2.</w:t>
      </w:r>
      <w:r w:rsidR="003F6550" w:rsidRPr="003444A2">
        <w:rPr>
          <w:rFonts w:cstheme="majorHAnsi"/>
          <w:i/>
          <w:iCs/>
        </w:rPr>
        <w:t xml:space="preserve"> </w:t>
      </w:r>
      <w:r w:rsidRPr="003444A2">
        <w:rPr>
          <w:rFonts w:cstheme="majorHAnsi"/>
          <w:i/>
          <w:iCs/>
        </w:rPr>
        <w:t>Structure of Non-current Asset</w:t>
      </w:r>
    </w:p>
    <w:p w14:paraId="39F98935" w14:textId="58AD27AC" w:rsidR="005650B8" w:rsidRPr="003444A2" w:rsidRDefault="003F6550" w:rsidP="005650B8">
      <w:pPr>
        <w:rPr>
          <w:rFonts w:cstheme="majorHAnsi"/>
        </w:rPr>
      </w:pPr>
      <w:r w:rsidRPr="003444A2">
        <w:rPr>
          <w:rFonts w:cstheme="majorHAnsi"/>
          <w:noProof/>
        </w:rPr>
        <w:drawing>
          <wp:inline distT="0" distB="0" distL="0" distR="0" wp14:anchorId="42BF41DC" wp14:editId="259FE230">
            <wp:extent cx="1880870" cy="2860040"/>
            <wp:effectExtent l="0" t="0" r="5080" b="16510"/>
            <wp:docPr id="1216084964" name="Chart 1">
              <a:extLst xmlns:a="http://schemas.openxmlformats.org/drawingml/2006/main">
                <a:ext uri="{FF2B5EF4-FFF2-40B4-BE49-F238E27FC236}">
                  <a16:creationId xmlns:a16="http://schemas.microsoft.com/office/drawing/2014/main" id="{7FC4E049-2385-763A-8271-A51B2ECCB79D}"/>
                </a:ext>
                <a:ext uri="{147F2762-F138-4A5C-976F-8EAC2B608ADB}">
                  <a16:predDERef xmlns:a16="http://schemas.microsoft.com/office/drawing/2014/main" pred="{02AF9D84-75FC-1555-1B0E-802EEFCB5C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sidRPr="003444A2">
        <w:rPr>
          <w:rFonts w:cstheme="majorHAnsi"/>
          <w:noProof/>
        </w:rPr>
        <w:drawing>
          <wp:inline distT="0" distB="0" distL="0" distR="0" wp14:anchorId="44CEE145" wp14:editId="450E0400">
            <wp:extent cx="1903228" cy="2873375"/>
            <wp:effectExtent l="0" t="0" r="1905" b="3175"/>
            <wp:docPr id="1542621361" name="Chart 1">
              <a:extLst xmlns:a="http://schemas.openxmlformats.org/drawingml/2006/main">
                <a:ext uri="{FF2B5EF4-FFF2-40B4-BE49-F238E27FC236}">
                  <a16:creationId xmlns:a16="http://schemas.microsoft.com/office/drawing/2014/main" id="{F5DC5BBE-3F59-9E14-8984-FD969B83FB2E}"/>
                </a:ext>
                <a:ext uri="{147F2762-F138-4A5C-976F-8EAC2B608ADB}">
                  <a16:predDERef xmlns:a16="http://schemas.microsoft.com/office/drawing/2014/main" pred="{7FC4E049-2385-763A-8271-A51B2ECCB7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Pr="003444A2">
        <w:rPr>
          <w:rFonts w:cstheme="majorHAnsi"/>
          <w:noProof/>
        </w:rPr>
        <w:drawing>
          <wp:inline distT="0" distB="0" distL="0" distR="0" wp14:anchorId="05D7C422" wp14:editId="64234335">
            <wp:extent cx="1913255" cy="2875590"/>
            <wp:effectExtent l="0" t="0" r="10795" b="1270"/>
            <wp:docPr id="1934211272" name="Chart 1">
              <a:extLst xmlns:a="http://schemas.openxmlformats.org/drawingml/2006/main">
                <a:ext uri="{FF2B5EF4-FFF2-40B4-BE49-F238E27FC236}">
                  <a16:creationId xmlns:a16="http://schemas.microsoft.com/office/drawing/2014/main" id="{02C076D2-90D5-B04D-D298-52DE7B63F0A1}"/>
                </a:ext>
                <a:ext uri="{147F2762-F138-4A5C-976F-8EAC2B608ADB}">
                  <a16:predDERef xmlns:a16="http://schemas.microsoft.com/office/drawing/2014/main" pred="{F5DC5BBE-3F59-9E14-8984-FD969B83FB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511793E" w14:textId="77777777" w:rsidR="005650B8" w:rsidRPr="003444A2" w:rsidRDefault="005650B8" w:rsidP="003F6550">
      <w:pPr>
        <w:ind w:firstLine="720"/>
        <w:rPr>
          <w:rFonts w:cstheme="majorHAnsi"/>
        </w:rPr>
      </w:pPr>
      <w:r w:rsidRPr="003444A2">
        <w:rPr>
          <w:rFonts w:cstheme="majorHAnsi"/>
        </w:rPr>
        <w:t>During this period, HSG did not prioritize aggressive capacity expansion or significant investments in fixed assets. Instead, the Company focused on optimizing the utilization of existing assets and accelerating digital transformation to better support its increasing working capital requirements. Meanwhile, the substantial decline in construction in progress (CWIP) indicates that major Hoa Sen Home infrastructure and system upgrade projects had been completed and gradually put into stable operation.</w:t>
      </w:r>
    </w:p>
    <w:p w14:paraId="7A6501D5" w14:textId="77777777" w:rsidR="005650B8" w:rsidRPr="003444A2" w:rsidRDefault="005650B8" w:rsidP="003F6550">
      <w:pPr>
        <w:ind w:firstLine="720"/>
        <w:rPr>
          <w:rFonts w:cstheme="majorHAnsi"/>
        </w:rPr>
      </w:pPr>
      <w:r w:rsidRPr="003444A2">
        <w:rPr>
          <w:rFonts w:cstheme="majorHAnsi"/>
        </w:rPr>
        <w:lastRenderedPageBreak/>
        <w:t>Overall, HSG's asset structure indicates that the Company prioritized investment in working capital to support the expansion of its distribution network. While this strategy enhances its ability to meet market demand and improves operational flexibility, the increase in inventories and trade receivables has also resulted in higher working capital requirements, placing greater pressure on operating cash flows and increasing the need for external financing in subsequent periods.</w:t>
      </w:r>
    </w:p>
    <w:p w14:paraId="10043F12" w14:textId="449E4009" w:rsidR="005650B8" w:rsidRPr="003444A2" w:rsidRDefault="005650B8" w:rsidP="005650B8">
      <w:pPr>
        <w:rPr>
          <w:rFonts w:cstheme="majorHAnsi"/>
        </w:rPr>
      </w:pPr>
      <w:r w:rsidRPr="003444A2">
        <w:rPr>
          <w:rFonts w:cstheme="majorHAnsi"/>
          <w:b/>
          <w:bCs/>
          <w:i/>
          <w:iCs/>
        </w:rPr>
        <w:t>2. Investment portfolio</w:t>
      </w:r>
    </w:p>
    <w:p w14:paraId="0DF43E3A" w14:textId="77777777" w:rsidR="005650B8" w:rsidRPr="003444A2" w:rsidRDefault="005650B8" w:rsidP="005650B8">
      <w:pPr>
        <w:rPr>
          <w:rFonts w:cstheme="majorHAnsi"/>
        </w:rPr>
      </w:pPr>
      <w:r w:rsidRPr="003444A2">
        <w:rPr>
          <w:rFonts w:cstheme="majorHAnsi"/>
          <w:b/>
          <w:bCs/>
        </w:rPr>
        <w:t>Investments (decided by business strategy)</w:t>
      </w:r>
    </w:p>
    <w:p w14:paraId="6E0402BF" w14:textId="77777777" w:rsidR="005650B8" w:rsidRPr="003444A2" w:rsidRDefault="005650B8" w:rsidP="003F6550">
      <w:pPr>
        <w:ind w:firstLine="720"/>
        <w:rPr>
          <w:rFonts w:cstheme="majorHAnsi"/>
        </w:rPr>
      </w:pPr>
      <w:r w:rsidRPr="003444A2">
        <w:rPr>
          <w:rFonts w:cstheme="majorHAnsi"/>
        </w:rPr>
        <w:t>HSG adopted an investment strategy that integrates the direct management of its distribution network with indirect investments in specialized manufacturing entities. This strategy allows the Group to enhance its domestic market presence, mitigate the impact of fluctuations in global steel prices through its retail segment, and achieve tighter cost control by utilizing an integrated internal supply chain (Annual Report 2023; Annual Report 2024).</w:t>
      </w:r>
    </w:p>
    <w:p w14:paraId="3F0A706D" w14:textId="44104BBB" w:rsidR="00B63451" w:rsidRDefault="00823944" w:rsidP="003444A2">
      <w:pPr>
        <w:pStyle w:val="Heading2"/>
        <w:rPr>
          <w:rFonts w:asciiTheme="minorHAnsi" w:eastAsiaTheme="minorHAnsi" w:hAnsiTheme="minorHAnsi" w:cstheme="minorBidi"/>
          <w:b w:val="0"/>
          <w:color w:val="auto"/>
          <w:sz w:val="22"/>
          <w:szCs w:val="22"/>
          <w:lang w:val="vi-VN"/>
        </w:rPr>
      </w:pPr>
      <w:bookmarkStart w:id="9" w:name="_Toc233984131"/>
      <w:r w:rsidRPr="003444A2">
        <w:t xml:space="preserve">II. </w:t>
      </w:r>
      <w:r w:rsidR="005650B8" w:rsidRPr="003444A2">
        <w:t>Balance Sheet - Capital</w:t>
      </w:r>
      <w:bookmarkEnd w:id="9"/>
      <w:r w:rsidR="005650B8" w:rsidRPr="003444A2">
        <w:t> </w:t>
      </w:r>
      <w:r w:rsidR="003F6550" w:rsidRPr="003444A2">
        <w:fldChar w:fldCharType="begin"/>
      </w:r>
      <w:r w:rsidR="003F6550" w:rsidRPr="003444A2">
        <w:instrText xml:space="preserve"> LINK </w:instrText>
      </w:r>
      <w:r w:rsidR="00B63451">
        <w:instrText xml:space="preserve">Excel.Sheet.12 "https://husteduvn-my.sharepoint.com/personal/chi_lq233024_sis_hust_edu_vn/Documents/Final - Data HSG.xlsx" "2. Financial statement!R57C6:R61C9" </w:instrText>
      </w:r>
      <w:r w:rsidR="003F6550" w:rsidRPr="003444A2">
        <w:instrText xml:space="preserve">\a \f 5 \h  \* MERGEFORMAT </w:instrText>
      </w:r>
      <w:r w:rsidR="003F6550" w:rsidRPr="003444A2">
        <w:fldChar w:fldCharType="separate"/>
      </w:r>
    </w:p>
    <w:p w14:paraId="62497672" w14:textId="3B0E87C1" w:rsidR="003F6550" w:rsidRPr="003444A2" w:rsidRDefault="003F6550" w:rsidP="003444A2">
      <w:pPr>
        <w:pStyle w:val="Heading2"/>
      </w:pPr>
      <w:r w:rsidRPr="003444A2">
        <w:fldChar w:fldCharType="end"/>
      </w:r>
    </w:p>
    <w:p w14:paraId="187DAFFC" w14:textId="2EC67823" w:rsidR="003F6550" w:rsidRPr="003444A2" w:rsidRDefault="00B63451" w:rsidP="005650B8">
      <w:pPr>
        <w:rPr>
          <w:rFonts w:cstheme="majorHAnsi"/>
        </w:rPr>
      </w:pPr>
      <w:r w:rsidRPr="003444A2">
        <w:rPr>
          <w:rFonts w:cstheme="majorHAnsi"/>
        </w:rPr>
        <w:object w:dxaOrig="6220" w:dyaOrig="1750" w14:anchorId="656C02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0.05pt;height:92.8pt" o:ole="">
            <v:imagedata r:id="rId22" o:title=""/>
          </v:shape>
          <o:OLEObject Type="Link" ProgID="Excel.Sheet.12" ShapeID="_x0000_i1025" DrawAspect="Content" r:id="rId23" UpdateMode="Always">
            <o:LinkType>EnhancedMetaFile</o:LinkType>
            <o:LockedField>false</o:LockedField>
            <o:FieldCodes>\* MERGEFORMAT</o:FieldCodes>
          </o:OLEObject>
        </w:object>
      </w:r>
    </w:p>
    <w:p w14:paraId="45EC94F4" w14:textId="43B1D679" w:rsidR="005650B8" w:rsidRPr="003444A2" w:rsidRDefault="005650B8" w:rsidP="005650B8">
      <w:pPr>
        <w:rPr>
          <w:rFonts w:cstheme="majorHAnsi"/>
        </w:rPr>
      </w:pPr>
      <w:r w:rsidRPr="003444A2">
        <w:rPr>
          <w:rFonts w:cstheme="majorHAnsi"/>
        </w:rPr>
        <w:t>The steel market experienced a significant downturn in 2023, accompanied by unusual volatility in hot-rolled coil (</w:t>
      </w:r>
      <w:r w:rsidRPr="003652A0">
        <w:rPr>
          <w:rFonts w:cstheme="majorHAnsi"/>
        </w:rPr>
        <w:t>HRC) prices(</w:t>
      </w:r>
      <w:hyperlink r:id="rId24" w:history="1">
        <w:r w:rsidRPr="003652A0">
          <w:rPr>
            <w:rStyle w:val="Hyperlink"/>
            <w:rFonts w:cstheme="majorHAnsi"/>
            <w:color w:val="auto"/>
          </w:rPr>
          <w:t>WTO and Integration Center [VCCI], 2023)</w:t>
        </w:r>
      </w:hyperlink>
      <w:r w:rsidRPr="003652A0">
        <w:rPr>
          <w:rFonts w:cstheme="majorHAnsi"/>
        </w:rPr>
        <w:t xml:space="preserve">. In this </w:t>
      </w:r>
      <w:r w:rsidRPr="003444A2">
        <w:rPr>
          <w:rFonts w:cstheme="majorHAnsi"/>
        </w:rPr>
        <w:t>context, HSG proactively reduced its bank borrowings in 2023 to strengthen cost control. The subsequent increase in debt in 2024 was a strategic move to anticipate the recovery of the steel market. </w:t>
      </w:r>
    </w:p>
    <w:p w14:paraId="201B3EE4" w14:textId="77777777" w:rsidR="005650B8" w:rsidRPr="003444A2" w:rsidRDefault="005650B8" w:rsidP="005650B8">
      <w:pPr>
        <w:rPr>
          <w:rFonts w:cstheme="majorHAnsi"/>
        </w:rPr>
      </w:pPr>
      <w:r w:rsidRPr="003444A2">
        <w:rPr>
          <w:rFonts w:cstheme="majorHAnsi"/>
        </w:rPr>
        <w:t>The increase in both debt and shareholders' equity indicates that HSG was strengthening its financial resources to implement its strategic transition from a pure steel manufacturing business to the Hoa Sen Home retail and distribution ecosystem.</w:t>
      </w:r>
    </w:p>
    <w:p w14:paraId="50487A08" w14:textId="2AB45492" w:rsidR="005650B8" w:rsidRPr="003444A2" w:rsidRDefault="001806B1" w:rsidP="005650B8">
      <w:pPr>
        <w:rPr>
          <w:rFonts w:cstheme="majorHAnsi"/>
        </w:rPr>
      </w:pPr>
      <w:r w:rsidRPr="003444A2">
        <w:rPr>
          <w:rFonts w:cstheme="majorHAnsi"/>
          <w:noProof/>
        </w:rPr>
        <w:drawing>
          <wp:inline distT="0" distB="0" distL="0" distR="0" wp14:anchorId="51FEA5F1" wp14:editId="128E0CFD">
            <wp:extent cx="2785110" cy="2892056"/>
            <wp:effectExtent l="0" t="0" r="15240" b="3810"/>
            <wp:docPr id="652792723" name="Chart 1">
              <a:extLst xmlns:a="http://schemas.openxmlformats.org/drawingml/2006/main">
                <a:ext uri="{FF2B5EF4-FFF2-40B4-BE49-F238E27FC236}">
                  <a16:creationId xmlns:a16="http://schemas.microsoft.com/office/drawing/2014/main" id="{91ECBA1C-03DF-FE43-5BF0-C0DE9E80CF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r w:rsidRPr="003444A2">
        <w:rPr>
          <w:rFonts w:cstheme="majorHAnsi"/>
          <w:noProof/>
        </w:rPr>
        <w:drawing>
          <wp:inline distT="0" distB="0" distL="0" distR="0" wp14:anchorId="631D3A9B" wp14:editId="72D243B1">
            <wp:extent cx="2785110" cy="2880922"/>
            <wp:effectExtent l="0" t="0" r="15240" b="15240"/>
            <wp:docPr id="744724916" name="Chart 1">
              <a:extLst xmlns:a="http://schemas.openxmlformats.org/drawingml/2006/main">
                <a:ext uri="{FF2B5EF4-FFF2-40B4-BE49-F238E27FC236}">
                  <a16:creationId xmlns:a16="http://schemas.microsoft.com/office/drawing/2014/main" id="{96DB18D0-2F53-937F-A3C7-A795FA447F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77E7082" w14:textId="77777777" w:rsidR="005650B8" w:rsidRPr="003444A2" w:rsidRDefault="005650B8" w:rsidP="005650B8">
      <w:pPr>
        <w:rPr>
          <w:rFonts w:cstheme="majorHAnsi"/>
        </w:rPr>
      </w:pPr>
      <w:r w:rsidRPr="003444A2">
        <w:rPr>
          <w:rFonts w:cstheme="majorHAnsi"/>
          <w:b/>
          <w:bCs/>
        </w:rPr>
        <w:t>Overall Capital Structure</w:t>
      </w:r>
    </w:p>
    <w:p w14:paraId="18AED869" w14:textId="77777777" w:rsidR="005650B8" w:rsidRPr="003444A2" w:rsidRDefault="005650B8" w:rsidP="005650B8">
      <w:pPr>
        <w:rPr>
          <w:rFonts w:cstheme="majorHAnsi"/>
        </w:rPr>
      </w:pPr>
      <w:r w:rsidRPr="003444A2">
        <w:rPr>
          <w:rFonts w:cstheme="majorHAnsi"/>
        </w:rPr>
        <w:lastRenderedPageBreak/>
        <w:t>Shareholders' equity consistently accounted for more than 50% of total financing, indicating that HSG maintained a strong level of financial autonomy and resilience against market shocks. The increase in shareholders' equity was primarily driven by retained earnings and the issuance of dividend shares to support business reinvestment.</w:t>
      </w:r>
    </w:p>
    <w:p w14:paraId="06B0FBEE" w14:textId="77777777" w:rsidR="005650B8" w:rsidRPr="003444A2" w:rsidRDefault="005650B8" w:rsidP="005650B8">
      <w:pPr>
        <w:rPr>
          <w:rFonts w:cstheme="majorHAnsi"/>
        </w:rPr>
      </w:pPr>
      <w:r w:rsidRPr="003444A2">
        <w:rPr>
          <w:rFonts w:cstheme="majorHAnsi"/>
          <w:b/>
          <w:bCs/>
        </w:rPr>
        <w:t>Debt, Equity &amp; Debt-to-Equity Ratio</w:t>
      </w:r>
    </w:p>
    <w:p w14:paraId="4EBD8D63" w14:textId="77777777" w:rsidR="005650B8" w:rsidRPr="003444A2" w:rsidRDefault="005650B8" w:rsidP="005650B8">
      <w:pPr>
        <w:rPr>
          <w:rFonts w:cstheme="majorHAnsi"/>
        </w:rPr>
      </w:pPr>
      <w:r w:rsidRPr="003444A2">
        <w:rPr>
          <w:rFonts w:cstheme="majorHAnsi"/>
        </w:rPr>
        <w:t>The debt-to-equity (D/E) ratio increased continuously throughout the period but remained below 1.0, indicating that HSG's financial leverage was still considered relatively safe for a manufacturing company. The increase in the D/E ratio reflects a shift from a defensive financial position to greater reliance on debt financing to address specific operational requirements. In 2024, HSG recorded a significantly negative operating cash flow as a substantial increase in trade receivables (VND 1.8 trillion) tied up a large amount of working capital. To sustain operations and maintain inventory for its retail distribution network, the Company was required to significantly increase its short-term borrowings, resulting in a higher D/E ratio.</w:t>
      </w:r>
    </w:p>
    <w:p w14:paraId="58E5E415" w14:textId="77777777" w:rsidR="005650B8" w:rsidRPr="003444A2" w:rsidRDefault="005650B8" w:rsidP="005650B8">
      <w:pPr>
        <w:rPr>
          <w:rFonts w:cstheme="majorHAnsi"/>
        </w:rPr>
      </w:pPr>
      <w:r w:rsidRPr="003444A2">
        <w:rPr>
          <w:rFonts w:cstheme="majorHAnsi"/>
        </w:rPr>
        <w:t>The continuous increase in the D/E ratio, while shareholders' equity remained the primary source of financing, reflects HSG's high-risk restructuring phase. The Company accepted greater reliance on short-term financial leverage to overcome cash flow constraints and maintain its leading position in the retail market.</w:t>
      </w:r>
    </w:p>
    <w:p w14:paraId="066BE0A9" w14:textId="08B4DD09" w:rsidR="005650B8" w:rsidRPr="003444A2" w:rsidRDefault="001806B1" w:rsidP="005650B8">
      <w:pPr>
        <w:rPr>
          <w:rFonts w:cstheme="majorHAnsi"/>
        </w:rPr>
      </w:pPr>
      <w:r w:rsidRPr="003444A2">
        <w:rPr>
          <w:rFonts w:cstheme="majorHAnsi"/>
          <w:noProof/>
        </w:rPr>
        <w:drawing>
          <wp:inline distT="0" distB="0" distL="0" distR="0" wp14:anchorId="1D906808" wp14:editId="2CD94EF0">
            <wp:extent cx="5731510" cy="2260600"/>
            <wp:effectExtent l="0" t="0" r="2540" b="6350"/>
            <wp:docPr id="1811379422" name="Chart 1">
              <a:extLst xmlns:a="http://schemas.openxmlformats.org/drawingml/2006/main">
                <a:ext uri="{FF2B5EF4-FFF2-40B4-BE49-F238E27FC236}">
                  <a16:creationId xmlns:a16="http://schemas.microsoft.com/office/drawing/2014/main" id="{627C0687-EBE9-EA92-B6DE-C27C67846A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3965D80" w14:textId="77777777" w:rsidR="005650B8" w:rsidRPr="003444A2" w:rsidRDefault="005650B8" w:rsidP="005650B8">
      <w:pPr>
        <w:rPr>
          <w:rFonts w:cstheme="majorHAnsi"/>
        </w:rPr>
      </w:pPr>
      <w:r w:rsidRPr="003444A2">
        <w:rPr>
          <w:rFonts w:cstheme="majorHAnsi"/>
        </w:rPr>
        <w:t>HSG's debt structure was almost entirely concentrated in short-term liabilities, while long-term liabilities accounted for less than 0.2% of total debt. This indicates that the Company relied primarily on short-term financing to fund assets with relatively low liquidity, particularly trade receivables.</w:t>
      </w:r>
    </w:p>
    <w:p w14:paraId="3DA21435" w14:textId="77777777" w:rsidR="001806B1" w:rsidRPr="003444A2" w:rsidRDefault="001806B1" w:rsidP="00823944">
      <w:pPr>
        <w:rPr>
          <w:rFonts w:cstheme="majorHAnsi"/>
          <w:b/>
          <w:bCs/>
        </w:rPr>
      </w:pPr>
    </w:p>
    <w:p w14:paraId="7FAC2A10" w14:textId="77777777" w:rsidR="001806B1" w:rsidRPr="003444A2" w:rsidRDefault="001806B1" w:rsidP="00823944">
      <w:pPr>
        <w:rPr>
          <w:rFonts w:cstheme="majorHAnsi"/>
          <w:b/>
          <w:bCs/>
        </w:rPr>
      </w:pPr>
    </w:p>
    <w:p w14:paraId="652F9345" w14:textId="77777777" w:rsidR="001806B1" w:rsidRPr="003444A2" w:rsidRDefault="001806B1" w:rsidP="00823944">
      <w:pPr>
        <w:rPr>
          <w:rFonts w:cstheme="majorHAnsi"/>
          <w:b/>
          <w:bCs/>
        </w:rPr>
      </w:pPr>
    </w:p>
    <w:p w14:paraId="27465B49" w14:textId="77777777" w:rsidR="001806B1" w:rsidRPr="003444A2" w:rsidRDefault="001806B1" w:rsidP="00823944">
      <w:pPr>
        <w:rPr>
          <w:rFonts w:cstheme="majorHAnsi"/>
          <w:b/>
          <w:bCs/>
        </w:rPr>
      </w:pPr>
    </w:p>
    <w:p w14:paraId="23C35727" w14:textId="77777777" w:rsidR="001806B1" w:rsidRPr="003444A2" w:rsidRDefault="001806B1" w:rsidP="00823944">
      <w:pPr>
        <w:rPr>
          <w:rFonts w:cstheme="majorHAnsi"/>
          <w:b/>
          <w:bCs/>
        </w:rPr>
      </w:pPr>
    </w:p>
    <w:p w14:paraId="6896BD29" w14:textId="77777777" w:rsidR="001806B1" w:rsidRPr="003444A2" w:rsidRDefault="001806B1" w:rsidP="00823944">
      <w:pPr>
        <w:rPr>
          <w:rFonts w:cstheme="majorHAnsi"/>
          <w:b/>
          <w:bCs/>
        </w:rPr>
      </w:pPr>
    </w:p>
    <w:p w14:paraId="2FB1D16F" w14:textId="77777777" w:rsidR="001806B1" w:rsidRPr="003444A2" w:rsidRDefault="001806B1" w:rsidP="00823944">
      <w:pPr>
        <w:rPr>
          <w:rFonts w:cstheme="majorHAnsi"/>
          <w:b/>
          <w:bCs/>
        </w:rPr>
      </w:pPr>
    </w:p>
    <w:p w14:paraId="7ADF672C" w14:textId="77777777" w:rsidR="001806B1" w:rsidRPr="003444A2" w:rsidRDefault="001806B1" w:rsidP="00823944">
      <w:pPr>
        <w:rPr>
          <w:rFonts w:cstheme="majorHAnsi"/>
          <w:b/>
          <w:bCs/>
        </w:rPr>
      </w:pPr>
    </w:p>
    <w:p w14:paraId="6A8DFAD9" w14:textId="53BC5395" w:rsidR="005650B8" w:rsidRPr="003444A2" w:rsidRDefault="00823944" w:rsidP="001F3AC5">
      <w:pPr>
        <w:pStyle w:val="Heading2"/>
        <w:rPr>
          <w:rFonts w:cstheme="majorHAnsi"/>
        </w:rPr>
      </w:pPr>
      <w:bookmarkStart w:id="10" w:name="_Toc233984132"/>
      <w:r w:rsidRPr="003444A2">
        <w:rPr>
          <w:rFonts w:cstheme="majorHAnsi"/>
        </w:rPr>
        <w:lastRenderedPageBreak/>
        <w:t xml:space="preserve">III. </w:t>
      </w:r>
      <w:r w:rsidR="005650B8" w:rsidRPr="003444A2">
        <w:rPr>
          <w:rFonts w:cstheme="majorHAnsi"/>
        </w:rPr>
        <w:t>Income Statement</w:t>
      </w:r>
      <w:bookmarkEnd w:id="10"/>
    </w:p>
    <w:p w14:paraId="63DD40B4" w14:textId="77777777" w:rsidR="005650B8" w:rsidRPr="003444A2" w:rsidRDefault="005650B8" w:rsidP="005650B8">
      <w:pPr>
        <w:rPr>
          <w:rFonts w:cstheme="majorHAnsi"/>
        </w:rPr>
      </w:pPr>
      <w:r w:rsidRPr="003444A2">
        <w:rPr>
          <w:rFonts w:cstheme="majorHAnsi"/>
          <w:b/>
          <w:bCs/>
        </w:rPr>
        <w:t>Revenue Trend </w:t>
      </w:r>
    </w:p>
    <w:p w14:paraId="3A082C7B" w14:textId="211F8A7F" w:rsidR="005650B8" w:rsidRPr="003444A2" w:rsidRDefault="001806B1" w:rsidP="005650B8">
      <w:pPr>
        <w:rPr>
          <w:rFonts w:cstheme="majorHAnsi"/>
        </w:rPr>
      </w:pPr>
      <w:r w:rsidRPr="003444A2">
        <w:rPr>
          <w:rFonts w:cstheme="majorHAnsi"/>
          <w:noProof/>
        </w:rPr>
        <w:drawing>
          <wp:inline distT="0" distB="0" distL="0" distR="0" wp14:anchorId="6EA77E6B" wp14:editId="66438D3A">
            <wp:extent cx="2892056" cy="1732915"/>
            <wp:effectExtent l="0" t="0" r="3810" b="635"/>
            <wp:docPr id="1577210185" name="Chart 1">
              <a:extLst xmlns:a="http://schemas.openxmlformats.org/drawingml/2006/main">
                <a:ext uri="{FF2B5EF4-FFF2-40B4-BE49-F238E27FC236}">
                  <a16:creationId xmlns:a16="http://schemas.microsoft.com/office/drawing/2014/main" id="{57C8ADDA-7E40-382F-22CE-861C312FC2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r w:rsidRPr="003444A2">
        <w:rPr>
          <w:rFonts w:cstheme="majorHAnsi"/>
          <w:noProof/>
        </w:rPr>
        <w:drawing>
          <wp:inline distT="0" distB="0" distL="0" distR="0" wp14:anchorId="5210FC55" wp14:editId="14BD4E19">
            <wp:extent cx="2774315" cy="1732915"/>
            <wp:effectExtent l="0" t="0" r="6985" b="635"/>
            <wp:docPr id="854151975" name="Chart 1">
              <a:extLst xmlns:a="http://schemas.openxmlformats.org/drawingml/2006/main">
                <a:ext uri="{FF2B5EF4-FFF2-40B4-BE49-F238E27FC236}">
                  <a16:creationId xmlns:a16="http://schemas.microsoft.com/office/drawing/2014/main" id="{19CEBE2E-67BE-1B50-77CC-12FDFC6BB4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669F4485" w14:textId="77777777" w:rsidR="005650B8" w:rsidRPr="003444A2" w:rsidRDefault="005650B8" w:rsidP="005650B8">
      <w:pPr>
        <w:rPr>
          <w:rFonts w:cstheme="majorHAnsi"/>
        </w:rPr>
      </w:pPr>
      <w:r w:rsidRPr="003444A2">
        <w:rPr>
          <w:rFonts w:cstheme="majorHAnsi"/>
        </w:rPr>
        <w:t>Revenue recovered in 2024 as HSG capitalized on the gradual recovery of domestic steel demand, while the contribution of its 120 Hoa Sen Home stores (Annual Report 2024) enabled the Company to reach end consumers more directly.</w:t>
      </w:r>
    </w:p>
    <w:p w14:paraId="07149A5B" w14:textId="2B8EAA74" w:rsidR="005650B8" w:rsidRPr="003444A2" w:rsidRDefault="001806B1" w:rsidP="005650B8">
      <w:pPr>
        <w:rPr>
          <w:rFonts w:cstheme="majorHAnsi"/>
        </w:rPr>
      </w:pPr>
      <w:r w:rsidRPr="003444A2">
        <w:rPr>
          <w:rFonts w:cstheme="majorHAnsi"/>
          <w:noProof/>
        </w:rPr>
        <w:drawing>
          <wp:inline distT="0" distB="0" distL="0" distR="0" wp14:anchorId="537BBC73" wp14:editId="70F9D175">
            <wp:extent cx="2785110" cy="2955851"/>
            <wp:effectExtent l="0" t="0" r="15240" b="16510"/>
            <wp:docPr id="896272537" name="Chart 1">
              <a:extLst xmlns:a="http://schemas.openxmlformats.org/drawingml/2006/main">
                <a:ext uri="{FF2B5EF4-FFF2-40B4-BE49-F238E27FC236}">
                  <a16:creationId xmlns:a16="http://schemas.microsoft.com/office/drawing/2014/main" id="{5848D62D-0DE5-5F96-2DD5-E2412E11AF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r w:rsidRPr="003444A2">
        <w:rPr>
          <w:rFonts w:cstheme="majorHAnsi"/>
          <w:noProof/>
        </w:rPr>
        <w:drawing>
          <wp:inline distT="0" distB="0" distL="0" distR="0" wp14:anchorId="1B2DE7A7" wp14:editId="38D73038">
            <wp:extent cx="2891790" cy="2955747"/>
            <wp:effectExtent l="0" t="0" r="3810" b="16510"/>
            <wp:docPr id="1186240415" name="Chart 1">
              <a:extLst xmlns:a="http://schemas.openxmlformats.org/drawingml/2006/main">
                <a:ext uri="{FF2B5EF4-FFF2-40B4-BE49-F238E27FC236}">
                  <a16:creationId xmlns:a16="http://schemas.microsoft.com/office/drawing/2014/main" id="{53A7D580-8C20-8492-DB4C-DB90C8E5C1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3C724816" w14:textId="77777777" w:rsidR="005650B8" w:rsidRPr="003444A2" w:rsidRDefault="005650B8" w:rsidP="005650B8">
      <w:pPr>
        <w:rPr>
          <w:rFonts w:cstheme="majorHAnsi"/>
        </w:rPr>
      </w:pPr>
      <w:r w:rsidRPr="003444A2">
        <w:rPr>
          <w:rFonts w:cstheme="majorHAnsi"/>
        </w:rPr>
        <w:t>COGS accounted for almost all of HSG's revenue throughout the 2022–2024 period. The COGS ratio consistently remained above 95%, indicating that HSG operated with an extremely thin gross profit margin of only 4–5% (Financial Statements 2022–2024). This reflects the characteristics of the steel industry, which is highly material-intensive and directly affected by fluctuations in global commodity prices.</w:t>
      </w:r>
    </w:p>
    <w:p w14:paraId="07444239" w14:textId="73CC0A82" w:rsidR="005650B8" w:rsidRPr="003444A2" w:rsidRDefault="001806B1" w:rsidP="005650B8">
      <w:pPr>
        <w:rPr>
          <w:rFonts w:cstheme="majorHAnsi"/>
        </w:rPr>
      </w:pPr>
      <w:r w:rsidRPr="003444A2">
        <w:rPr>
          <w:rFonts w:cstheme="majorHAnsi"/>
          <w:noProof/>
        </w:rPr>
        <w:drawing>
          <wp:inline distT="0" distB="0" distL="0" distR="0" wp14:anchorId="75BC1316" wp14:editId="09B341C8">
            <wp:extent cx="5539105" cy="1743740"/>
            <wp:effectExtent l="0" t="0" r="4445" b="8890"/>
            <wp:docPr id="761713146" name="Chart 1">
              <a:extLst xmlns:a="http://schemas.openxmlformats.org/drawingml/2006/main">
                <a:ext uri="{FF2B5EF4-FFF2-40B4-BE49-F238E27FC236}">
                  <a16:creationId xmlns:a16="http://schemas.microsoft.com/office/drawing/2014/main" id="{BE53A869-BAEF-35AD-6575-754CADC527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60AD2A18" w14:textId="77777777" w:rsidR="005650B8" w:rsidRPr="003444A2" w:rsidRDefault="005650B8" w:rsidP="005650B8">
      <w:pPr>
        <w:rPr>
          <w:rFonts w:cstheme="majorHAnsi"/>
        </w:rPr>
      </w:pPr>
      <w:r w:rsidRPr="003444A2">
        <w:rPr>
          <w:rFonts w:cstheme="majorHAnsi"/>
        </w:rPr>
        <w:lastRenderedPageBreak/>
        <w:t>The increasing share of domestic revenue (70–75%) reflects HSG's strategic shift toward a retail ecosystem. Amid global economic and geopolitical uncertainties, the Company continued expanding its nationwide Hoa Sen Home network to strengthen the domestic market (Annual Report 2024).</w:t>
      </w:r>
    </w:p>
    <w:p w14:paraId="6E34CD0F" w14:textId="77777777" w:rsidR="005650B8" w:rsidRPr="003444A2" w:rsidRDefault="005650B8" w:rsidP="005650B8">
      <w:pPr>
        <w:rPr>
          <w:rFonts w:cstheme="majorHAnsi"/>
        </w:rPr>
      </w:pPr>
      <w:r w:rsidRPr="003444A2">
        <w:rPr>
          <w:rFonts w:cstheme="majorHAnsi"/>
          <w:b/>
          <w:bCs/>
        </w:rPr>
        <w:t>Distributing benefits to stakeholders:</w:t>
      </w:r>
    </w:p>
    <w:p w14:paraId="7AAB9954" w14:textId="77777777" w:rsidR="005650B8" w:rsidRPr="003444A2" w:rsidRDefault="005650B8" w:rsidP="005650B8">
      <w:pPr>
        <w:numPr>
          <w:ilvl w:val="0"/>
          <w:numId w:val="32"/>
        </w:numPr>
        <w:rPr>
          <w:rFonts w:cstheme="majorHAnsi"/>
        </w:rPr>
      </w:pPr>
      <w:r w:rsidRPr="003444A2">
        <w:rPr>
          <w:rFonts w:cstheme="majorHAnsi"/>
          <w:b/>
          <w:bCs/>
        </w:rPr>
        <w:t>Employee</w:t>
      </w:r>
      <w:r w:rsidRPr="003444A2">
        <w:rPr>
          <w:rFonts w:cstheme="majorHAnsi"/>
        </w:rPr>
        <w:t>: Employees received compensation through personnel expenses, which increased significantly due to the expansion of the Hoa Sen Home network. The Company also implemented an Employee Stock Ownership Plan (ESOP) to align the interests of key employees with the Group's long-term development (Annual Report 2024).</w:t>
      </w:r>
    </w:p>
    <w:p w14:paraId="2426267A" w14:textId="77777777" w:rsidR="005650B8" w:rsidRPr="003444A2" w:rsidRDefault="005650B8" w:rsidP="005650B8">
      <w:pPr>
        <w:numPr>
          <w:ilvl w:val="0"/>
          <w:numId w:val="32"/>
        </w:numPr>
        <w:rPr>
          <w:rFonts w:cstheme="majorHAnsi"/>
        </w:rPr>
      </w:pPr>
      <w:r w:rsidRPr="003444A2">
        <w:rPr>
          <w:rFonts w:cstheme="majorHAnsi"/>
          <w:b/>
          <w:bCs/>
        </w:rPr>
        <w:t>Supplier</w:t>
      </w:r>
      <w:r w:rsidRPr="003444A2">
        <w:rPr>
          <w:rFonts w:cstheme="majorHAnsi"/>
        </w:rPr>
        <w:t>: The largest strategic supplier is Formosa Ha Tinh (the outstanding balance payable at the end of the 2024 fiscal year is over 951 billion VND) (Financial Statements 2024, p. 33)</w:t>
      </w:r>
    </w:p>
    <w:p w14:paraId="669ECCA4" w14:textId="77777777" w:rsidR="005650B8" w:rsidRPr="003444A2" w:rsidRDefault="005650B8" w:rsidP="005650B8">
      <w:pPr>
        <w:numPr>
          <w:ilvl w:val="0"/>
          <w:numId w:val="32"/>
        </w:numPr>
        <w:rPr>
          <w:rFonts w:cstheme="majorHAnsi"/>
        </w:rPr>
      </w:pPr>
      <w:r w:rsidRPr="003444A2">
        <w:rPr>
          <w:rFonts w:cstheme="majorHAnsi"/>
          <w:b/>
          <w:bCs/>
        </w:rPr>
        <w:t>Creditor</w:t>
      </w:r>
      <w:r w:rsidRPr="003444A2">
        <w:rPr>
          <w:rFonts w:cstheme="majorHAnsi"/>
        </w:rPr>
        <w:t>: Received interest payments on borrowings. HSG took advantage of the lower interest rate environment in 2024 to reduce financing costs despite an increase in outstanding borrowings (Annual Report 2024)</w:t>
      </w:r>
    </w:p>
    <w:p w14:paraId="751DA3DD" w14:textId="77777777" w:rsidR="005650B8" w:rsidRPr="003444A2" w:rsidRDefault="005650B8" w:rsidP="005650B8">
      <w:pPr>
        <w:numPr>
          <w:ilvl w:val="0"/>
          <w:numId w:val="32"/>
        </w:numPr>
        <w:rPr>
          <w:rFonts w:cstheme="majorHAnsi"/>
        </w:rPr>
      </w:pPr>
      <w:r w:rsidRPr="003444A2">
        <w:rPr>
          <w:rFonts w:cstheme="majorHAnsi"/>
          <w:b/>
          <w:bCs/>
        </w:rPr>
        <w:t>Government</w:t>
      </w:r>
      <w:r w:rsidRPr="003444A2">
        <w:rPr>
          <w:rFonts w:cstheme="majorHAnsi"/>
        </w:rPr>
        <w:t>: Current corporate income tax expense remained relatively low as the Company utilized tax loss carryforwards from previous fiscal years as a tax shield (~ VND 490 billion) (Financial Statements 2024, p. 45).</w:t>
      </w:r>
    </w:p>
    <w:p w14:paraId="0D2451E5" w14:textId="77777777" w:rsidR="005650B8" w:rsidRPr="003444A2" w:rsidRDefault="005650B8" w:rsidP="005650B8">
      <w:pPr>
        <w:numPr>
          <w:ilvl w:val="0"/>
          <w:numId w:val="32"/>
        </w:numPr>
        <w:rPr>
          <w:rFonts w:cstheme="majorHAnsi"/>
        </w:rPr>
      </w:pPr>
      <w:r w:rsidRPr="003444A2">
        <w:rPr>
          <w:rFonts w:cstheme="majorHAnsi"/>
          <w:b/>
          <w:bCs/>
        </w:rPr>
        <w:t>Owners (Shareholders):</w:t>
      </w:r>
      <w:r w:rsidRPr="003444A2">
        <w:rPr>
          <w:rFonts w:cstheme="majorHAnsi"/>
        </w:rPr>
        <w:t xml:space="preserve"> Profit after tax recovered significantly (Financial Statements 2024, p. 7). However, to preserve capital for the continued expansion of the Hoa Sen Home network, the Company prioritized stock dividends (3% in 2023) and maintained cash dividends at a relatively low level (5% in 2024) (Annual Reports 2023 and 2024).</w:t>
      </w:r>
    </w:p>
    <w:p w14:paraId="4566745D" w14:textId="77777777" w:rsidR="005650B8" w:rsidRPr="003444A2" w:rsidRDefault="005650B8" w:rsidP="005650B8">
      <w:pPr>
        <w:numPr>
          <w:ilvl w:val="0"/>
          <w:numId w:val="32"/>
        </w:numPr>
        <w:rPr>
          <w:rFonts w:cstheme="majorHAnsi"/>
        </w:rPr>
      </w:pPr>
      <w:r w:rsidRPr="003444A2">
        <w:rPr>
          <w:rFonts w:cstheme="majorHAnsi"/>
          <w:b/>
          <w:bCs/>
        </w:rPr>
        <w:t>Community</w:t>
      </w:r>
      <w:r w:rsidRPr="003444A2">
        <w:rPr>
          <w:rFonts w:cstheme="majorHAnsi"/>
        </w:rPr>
        <w:t>: The Company allocated a significant portion of its profits to corporate social responsibility (CSR) activities, notably the "Vietnam Family Shelter" program, with cumulative contributions reaching VND 30 billion by 2025 (Annual Report 2024).</w:t>
      </w:r>
    </w:p>
    <w:p w14:paraId="068AFA24" w14:textId="6757667F" w:rsidR="005650B8" w:rsidRPr="003444A2" w:rsidRDefault="005650B8" w:rsidP="005650B8">
      <w:pPr>
        <w:rPr>
          <w:rFonts w:cstheme="majorHAnsi"/>
        </w:rPr>
      </w:pPr>
      <w:r w:rsidRPr="003444A2">
        <w:rPr>
          <w:rFonts w:cstheme="majorHAnsi"/>
        </w:rPr>
        <w:t>HSG's stakeholder value distribution indicates that the Company prioritized employees and the community in support of its retail-oriented strategy. At the same time, shareholders accepted lower short-term returns to facilitate business reinvestment, whereas creditors benefited from returns that were relatively higher than the Company's underlying profitability.</w:t>
      </w:r>
    </w:p>
    <w:p w14:paraId="1CAAEF34" w14:textId="060821C2" w:rsidR="005650B8" w:rsidRPr="003444A2" w:rsidRDefault="00823944" w:rsidP="001F3AC5">
      <w:pPr>
        <w:pStyle w:val="Heading2"/>
        <w:rPr>
          <w:rFonts w:cstheme="majorHAnsi"/>
        </w:rPr>
      </w:pPr>
      <w:bookmarkStart w:id="11" w:name="_Toc233984133"/>
      <w:r w:rsidRPr="003444A2">
        <w:rPr>
          <w:rFonts w:cstheme="majorHAnsi"/>
        </w:rPr>
        <w:t xml:space="preserve">IV. </w:t>
      </w:r>
      <w:r w:rsidR="005650B8" w:rsidRPr="003444A2">
        <w:rPr>
          <w:rFonts w:cstheme="majorHAnsi"/>
        </w:rPr>
        <w:t>Cash flow statement</w:t>
      </w:r>
      <w:bookmarkEnd w:id="11"/>
    </w:p>
    <w:p w14:paraId="64A7533D" w14:textId="1F3935B6" w:rsidR="005650B8" w:rsidRPr="003444A2" w:rsidRDefault="005650B8" w:rsidP="005650B8">
      <w:pPr>
        <w:rPr>
          <w:rFonts w:cstheme="majorHAnsi"/>
        </w:rPr>
      </w:pPr>
      <w:r w:rsidRPr="003444A2">
        <w:rPr>
          <w:rFonts w:cstheme="majorHAnsi"/>
          <w:b/>
          <w:bCs/>
          <w:i/>
          <w:iCs/>
        </w:rPr>
        <w:t>1.</w:t>
      </w:r>
      <w:r w:rsidR="00823944" w:rsidRPr="003444A2">
        <w:rPr>
          <w:rFonts w:cstheme="majorHAnsi"/>
          <w:b/>
          <w:bCs/>
          <w:i/>
          <w:iCs/>
        </w:rPr>
        <w:t xml:space="preserve"> </w:t>
      </w:r>
      <w:r w:rsidRPr="003444A2">
        <w:rPr>
          <w:rFonts w:cstheme="majorHAnsi"/>
          <w:b/>
          <w:bCs/>
          <w:i/>
          <w:iCs/>
        </w:rPr>
        <w:t>Cash flow by activities</w:t>
      </w:r>
    </w:p>
    <w:p w14:paraId="02313197" w14:textId="4C85471E" w:rsidR="005650B8" w:rsidRPr="003444A2" w:rsidRDefault="00B63451" w:rsidP="005650B8">
      <w:pPr>
        <w:rPr>
          <w:rFonts w:cstheme="majorHAnsi"/>
        </w:rPr>
      </w:pPr>
      <w:r>
        <w:rPr>
          <w:noProof/>
        </w:rPr>
        <w:drawing>
          <wp:inline distT="0" distB="0" distL="0" distR="0" wp14:anchorId="30062516" wp14:editId="661CF71E">
            <wp:extent cx="5704205" cy="2734147"/>
            <wp:effectExtent l="0" t="0" r="10795" b="9525"/>
            <wp:docPr id="1621920401" name="Chart 1">
              <a:extLst xmlns:a="http://schemas.openxmlformats.org/drawingml/2006/main">
                <a:ext uri="{FF2B5EF4-FFF2-40B4-BE49-F238E27FC236}">
                  <a16:creationId xmlns:a16="http://schemas.microsoft.com/office/drawing/2014/main" id="{02A9E55A-7444-3241-96A8-D922704236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34482CF2" w14:textId="77777777" w:rsidR="005650B8" w:rsidRPr="003444A2" w:rsidRDefault="005650B8" w:rsidP="005650B8">
      <w:pPr>
        <w:rPr>
          <w:rFonts w:cstheme="majorHAnsi"/>
        </w:rPr>
      </w:pPr>
      <w:r w:rsidRPr="003444A2">
        <w:rPr>
          <w:rFonts w:cstheme="majorHAnsi"/>
        </w:rPr>
        <w:lastRenderedPageBreak/>
        <w:t>In 2023, HSG prioritized debt repayment, leading to negative CFF while maintaining positive CFO. </w:t>
      </w:r>
    </w:p>
    <w:p w14:paraId="4FF11782" w14:textId="77777777" w:rsidR="005650B8" w:rsidRPr="003444A2" w:rsidRDefault="005650B8" w:rsidP="005650B8">
      <w:pPr>
        <w:rPr>
          <w:rFonts w:cstheme="majorHAnsi"/>
        </w:rPr>
      </w:pPr>
      <w:r w:rsidRPr="003444A2">
        <w:rPr>
          <w:rFonts w:cstheme="majorHAnsi"/>
        </w:rPr>
        <w:t>In 2024, the cash flow structure reversed, with a significantly negative CFO and a strong positive CFF, reflecting the substantial funding requirements needed to operate the Hoa Sen Home retail ecosystem.</w:t>
      </w:r>
    </w:p>
    <w:p w14:paraId="6F1FADAA" w14:textId="69BF8783" w:rsidR="005650B8" w:rsidRPr="003444A2" w:rsidRDefault="00B63451" w:rsidP="005650B8">
      <w:pPr>
        <w:rPr>
          <w:rFonts w:cstheme="majorHAnsi"/>
        </w:rPr>
      </w:pPr>
      <w:r>
        <w:rPr>
          <w:noProof/>
        </w:rPr>
        <w:drawing>
          <wp:anchor distT="0" distB="0" distL="114300" distR="114300" simplePos="0" relativeHeight="251658240" behindDoc="0" locked="0" layoutInCell="1" allowOverlap="1" wp14:anchorId="43D13C06" wp14:editId="0000BAE7">
            <wp:simplePos x="0" y="0"/>
            <wp:positionH relativeFrom="column">
              <wp:posOffset>0</wp:posOffset>
            </wp:positionH>
            <wp:positionV relativeFrom="paragraph">
              <wp:posOffset>274320</wp:posOffset>
            </wp:positionV>
            <wp:extent cx="2792095" cy="3136900"/>
            <wp:effectExtent l="0" t="0" r="8255" b="6350"/>
            <wp:wrapSquare wrapText="bothSides"/>
            <wp:docPr id="1973573711" name="Chart 1">
              <a:extLst xmlns:a="http://schemas.openxmlformats.org/drawingml/2006/main">
                <a:ext uri="{FF2B5EF4-FFF2-40B4-BE49-F238E27FC236}">
                  <a16:creationId xmlns:a16="http://schemas.microsoft.com/office/drawing/2014/main" id="{9E1DDA87-FA50-0C41-938B-9E28FDBF90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anchor>
        </w:drawing>
      </w:r>
      <w:r w:rsidR="005650B8" w:rsidRPr="003444A2">
        <w:rPr>
          <w:rFonts w:cstheme="majorHAnsi"/>
          <w:b/>
          <w:bCs/>
          <w:i/>
          <w:iCs/>
        </w:rPr>
        <w:t>2.Cash-flow from operating activities (CFO) analysis</w:t>
      </w:r>
    </w:p>
    <w:p w14:paraId="2D5651FD" w14:textId="6EB325D6" w:rsidR="005650B8" w:rsidRPr="003444A2" w:rsidRDefault="00B63451" w:rsidP="005650B8">
      <w:pPr>
        <w:rPr>
          <w:rFonts w:cstheme="majorHAnsi"/>
        </w:rPr>
      </w:pPr>
      <w:r>
        <w:rPr>
          <w:noProof/>
        </w:rPr>
        <w:drawing>
          <wp:inline distT="0" distB="0" distL="0" distR="0" wp14:anchorId="2A7AB59C" wp14:editId="68F550FC">
            <wp:extent cx="2785403" cy="3136900"/>
            <wp:effectExtent l="0" t="0" r="15240" b="6350"/>
            <wp:docPr id="820660368" name="Chart 1">
              <a:extLst xmlns:a="http://schemas.openxmlformats.org/drawingml/2006/main">
                <a:ext uri="{FF2B5EF4-FFF2-40B4-BE49-F238E27FC236}">
                  <a16:creationId xmlns:a16="http://schemas.microsoft.com/office/drawing/2014/main" id="{BEF55E1B-5D91-A844-BBDD-6414C12DCA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63941ADE" w14:textId="77777777" w:rsidR="005650B8" w:rsidRPr="003444A2" w:rsidRDefault="005650B8" w:rsidP="005650B8">
      <w:pPr>
        <w:rPr>
          <w:rFonts w:cstheme="majorHAnsi"/>
        </w:rPr>
      </w:pPr>
      <w:r w:rsidRPr="003444A2">
        <w:rPr>
          <w:rFonts w:cstheme="majorHAnsi"/>
        </w:rPr>
        <w:t>The most significant highlight was the sharp decline in operating cash flow (CFO) in 2024, despite the Company continuing to report positive accounting profit. Cash was not converted into operating cash inflows but was instead tied up in trade receivables, resulting in a cash flow shortfall of more than VND 1.8 trillion. The notes to the financial statements indicate that a substantial portion of these receivables was due from related-party customers (group entities) (Financial Statements 2024, pp. 5, 55).</w:t>
      </w:r>
    </w:p>
    <w:p w14:paraId="43D7AD2F" w14:textId="77777777" w:rsidR="005650B8" w:rsidRPr="003444A2" w:rsidRDefault="005650B8" w:rsidP="005650B8">
      <w:pPr>
        <w:rPr>
          <w:rFonts w:cstheme="majorHAnsi"/>
        </w:rPr>
      </w:pPr>
      <w:r w:rsidRPr="003444A2">
        <w:rPr>
          <w:rFonts w:cstheme="majorHAnsi"/>
        </w:rPr>
        <w:t>This indicates that the parent company is applying a relaxed credit policy to support its system of branches and stores in capturing the domestic market for the Hoa Sen Home chain. The fact that profits exist only on paper (accounts receivable) creates severe liquidity pressure, causing HSG’s earnings quality in 2024 to be assessed as low.</w:t>
      </w:r>
    </w:p>
    <w:p w14:paraId="441BCB8D" w14:textId="4399F48C" w:rsidR="005650B8" w:rsidRPr="003444A2" w:rsidRDefault="005650B8" w:rsidP="005650B8">
      <w:pPr>
        <w:rPr>
          <w:rFonts w:cstheme="majorHAnsi"/>
        </w:rPr>
      </w:pPr>
      <w:r w:rsidRPr="003444A2">
        <w:rPr>
          <w:rFonts w:cstheme="majorHAnsi"/>
          <w:b/>
          <w:bCs/>
          <w:i/>
          <w:iCs/>
        </w:rPr>
        <w:t>3.</w:t>
      </w:r>
      <w:r w:rsidR="00823944" w:rsidRPr="003444A2">
        <w:rPr>
          <w:rFonts w:cstheme="majorHAnsi"/>
          <w:b/>
          <w:bCs/>
          <w:i/>
          <w:iCs/>
        </w:rPr>
        <w:t xml:space="preserve"> </w:t>
      </w:r>
      <w:r w:rsidRPr="003444A2">
        <w:rPr>
          <w:rFonts w:cstheme="majorHAnsi"/>
          <w:b/>
          <w:bCs/>
          <w:i/>
          <w:iCs/>
        </w:rPr>
        <w:t>Cash-flow from investing activities (CFI) analysis</w:t>
      </w:r>
    </w:p>
    <w:p w14:paraId="795CB424" w14:textId="75AD7AF3" w:rsidR="005650B8" w:rsidRPr="003444A2" w:rsidRDefault="00B63451" w:rsidP="005650B8">
      <w:pPr>
        <w:rPr>
          <w:rFonts w:cstheme="majorHAnsi"/>
        </w:rPr>
      </w:pPr>
      <w:r>
        <w:rPr>
          <w:noProof/>
        </w:rPr>
        <w:lastRenderedPageBreak/>
        <w:drawing>
          <wp:inline distT="0" distB="0" distL="0" distR="0" wp14:anchorId="014648D6" wp14:editId="2A6BDEEC">
            <wp:extent cx="2651760" cy="2862775"/>
            <wp:effectExtent l="0" t="0" r="15240" b="13970"/>
            <wp:docPr id="566553008" name="Chart 1">
              <a:extLst xmlns:a="http://schemas.openxmlformats.org/drawingml/2006/main">
                <a:ext uri="{FF2B5EF4-FFF2-40B4-BE49-F238E27FC236}">
                  <a16:creationId xmlns:a16="http://schemas.microsoft.com/office/drawing/2014/main" id="{85689C76-B1A0-2245-95C4-5D10FC89D8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r>
        <w:rPr>
          <w:noProof/>
        </w:rPr>
        <w:drawing>
          <wp:inline distT="0" distB="0" distL="0" distR="0" wp14:anchorId="1B52B07E" wp14:editId="7ADD4851">
            <wp:extent cx="2714625" cy="2869809"/>
            <wp:effectExtent l="0" t="0" r="9525" b="6985"/>
            <wp:docPr id="1818627736" name="Chart 1">
              <a:extLst xmlns:a="http://schemas.openxmlformats.org/drawingml/2006/main">
                <a:ext uri="{FF2B5EF4-FFF2-40B4-BE49-F238E27FC236}">
                  <a16:creationId xmlns:a16="http://schemas.microsoft.com/office/drawing/2014/main" id="{7426E598-7F4B-2F8C-7385-E627E59950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7477B3B3" w14:textId="77777777" w:rsidR="005650B8" w:rsidRPr="003444A2" w:rsidRDefault="005650B8" w:rsidP="005650B8">
      <w:pPr>
        <w:rPr>
          <w:rFonts w:cstheme="majorHAnsi"/>
        </w:rPr>
      </w:pPr>
      <w:r w:rsidRPr="003444A2">
        <w:rPr>
          <w:rFonts w:cstheme="majorHAnsi"/>
        </w:rPr>
        <w:t>The increasing trend of negative CFI indicates that HSG is entering a phase of intensified investment to support its long-term expansion and development strategy.</w:t>
      </w:r>
    </w:p>
    <w:p w14:paraId="3CFF7DD7" w14:textId="07CFA281" w:rsidR="005650B8" w:rsidRPr="003444A2" w:rsidRDefault="005650B8" w:rsidP="005650B8">
      <w:pPr>
        <w:rPr>
          <w:rFonts w:cstheme="majorHAnsi"/>
        </w:rPr>
      </w:pPr>
      <w:r w:rsidRPr="003444A2">
        <w:rPr>
          <w:rFonts w:cstheme="majorHAnsi"/>
        </w:rPr>
        <w:t>Investment Components: The main focus is capital expenditure on fixed assets. Funds are being allocated to upgrading the system of 120 Hoa Sen Home supermarkets and 8 central distribution warehouses nationwide (Financial Statements 2024, p.32). This cash flow is directed toward long-term growth. Although it creates short-term pressure on cash liquidity, it is a necessary condition for HSG to shift from a pure steel manufacturing model to a retail model with higher profit margins in the long run, similar to the above statement.</w:t>
      </w:r>
    </w:p>
    <w:p w14:paraId="308B795F" w14:textId="2427C093" w:rsidR="005650B8" w:rsidRPr="003444A2" w:rsidRDefault="005650B8" w:rsidP="005650B8">
      <w:pPr>
        <w:rPr>
          <w:rFonts w:cstheme="majorHAnsi"/>
        </w:rPr>
      </w:pPr>
      <w:r w:rsidRPr="003444A2">
        <w:rPr>
          <w:rFonts w:cstheme="majorHAnsi"/>
          <w:b/>
          <w:bCs/>
          <w:i/>
          <w:iCs/>
        </w:rPr>
        <w:t>4.</w:t>
      </w:r>
      <w:r w:rsidR="00823944" w:rsidRPr="003444A2">
        <w:rPr>
          <w:rFonts w:cstheme="majorHAnsi"/>
          <w:b/>
          <w:bCs/>
          <w:i/>
          <w:iCs/>
        </w:rPr>
        <w:t xml:space="preserve"> </w:t>
      </w:r>
      <w:r w:rsidRPr="003444A2">
        <w:rPr>
          <w:rFonts w:cstheme="majorHAnsi"/>
          <w:b/>
          <w:bCs/>
          <w:i/>
          <w:iCs/>
        </w:rPr>
        <w:t>Cash-flow from financial activities (CFF) analysis</w:t>
      </w:r>
    </w:p>
    <w:p w14:paraId="71BC0A4D" w14:textId="0908541D" w:rsidR="005650B8" w:rsidRPr="003444A2" w:rsidRDefault="00B63451" w:rsidP="005650B8">
      <w:pPr>
        <w:rPr>
          <w:rFonts w:cstheme="majorHAnsi"/>
        </w:rPr>
      </w:pPr>
      <w:r>
        <w:rPr>
          <w:noProof/>
        </w:rPr>
        <w:drawing>
          <wp:inline distT="0" distB="0" distL="0" distR="0" wp14:anchorId="3A7A2D93" wp14:editId="2BF28A2D">
            <wp:extent cx="2883535" cy="3052689"/>
            <wp:effectExtent l="0" t="0" r="12065" b="14605"/>
            <wp:docPr id="278292077" name="Chart 1">
              <a:extLst xmlns:a="http://schemas.openxmlformats.org/drawingml/2006/main">
                <a:ext uri="{FF2B5EF4-FFF2-40B4-BE49-F238E27FC236}">
                  <a16:creationId xmlns:a16="http://schemas.microsoft.com/office/drawing/2014/main" id="{A8FF0729-B5C2-4148-ABF4-E3ECD1A0B9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r>
        <w:rPr>
          <w:noProof/>
        </w:rPr>
        <w:drawing>
          <wp:inline distT="0" distB="0" distL="0" distR="0" wp14:anchorId="1F8F8E37" wp14:editId="0C2383C3">
            <wp:extent cx="2806065" cy="3059723"/>
            <wp:effectExtent l="0" t="0" r="13335" b="7620"/>
            <wp:docPr id="1064459694" name="Chart 1">
              <a:extLst xmlns:a="http://schemas.openxmlformats.org/drawingml/2006/main">
                <a:ext uri="{FF2B5EF4-FFF2-40B4-BE49-F238E27FC236}">
                  <a16:creationId xmlns:a16="http://schemas.microsoft.com/office/drawing/2014/main" id="{77BF8247-4596-0F4B-BC37-90064E89E9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55E40F2D" w14:textId="77777777" w:rsidR="005650B8" w:rsidRPr="003444A2" w:rsidRDefault="005650B8" w:rsidP="005650B8">
      <w:pPr>
        <w:rPr>
          <w:rFonts w:cstheme="majorHAnsi"/>
        </w:rPr>
      </w:pPr>
      <w:r w:rsidRPr="003444A2">
        <w:rPr>
          <w:rFonts w:cstheme="majorHAnsi"/>
        </w:rPr>
        <w:t>Due to negative CFO, the enterprise is forced to increase short-term borrowing to offset it. Cash inflows from borrowing in 2024 reached a record of over VND 31,261 billion</w:t>
      </w:r>
    </w:p>
    <w:p w14:paraId="29271E12" w14:textId="77777777" w:rsidR="005650B8" w:rsidRPr="003444A2" w:rsidRDefault="005650B8" w:rsidP="005650B8">
      <w:pPr>
        <w:rPr>
          <w:rFonts w:cstheme="majorHAnsi"/>
        </w:rPr>
      </w:pPr>
      <w:r w:rsidRPr="003444A2">
        <w:rPr>
          <w:rFonts w:cstheme="majorHAnsi"/>
        </w:rPr>
        <w:lastRenderedPageBreak/>
        <w:t>HSG’s ability to still mobilize a massive amount of capital from major banks (Vietcombank, Vietinbank, HSBC...) (Financial Statements 2024, pp. 36–37) demonstrates the group’s financial credibility and strong access to funding sources.</w:t>
      </w:r>
    </w:p>
    <w:p w14:paraId="5CB96185" w14:textId="77777777" w:rsidR="005650B8" w:rsidRPr="003444A2" w:rsidRDefault="005650B8" w:rsidP="005650B8">
      <w:pPr>
        <w:rPr>
          <w:rFonts w:cstheme="majorHAnsi"/>
        </w:rPr>
      </w:pPr>
      <w:r w:rsidRPr="003444A2">
        <w:rPr>
          <w:rFonts w:cstheme="majorHAnsi"/>
        </w:rPr>
        <w:t>Despite tight cash flow, HSG continues to pay cash dividends (5% in 2024) to maintain investor confidence, although this expense further increases pressure on CFF, similarly.</w:t>
      </w:r>
    </w:p>
    <w:p w14:paraId="4EDF0202" w14:textId="77C9B1FE" w:rsidR="005650B8" w:rsidRPr="003444A2" w:rsidRDefault="00823944" w:rsidP="001F3AC5">
      <w:pPr>
        <w:pStyle w:val="Heading2"/>
        <w:rPr>
          <w:rFonts w:cstheme="majorHAnsi"/>
        </w:rPr>
      </w:pPr>
      <w:bookmarkStart w:id="12" w:name="_Toc233984134"/>
      <w:r w:rsidRPr="003444A2">
        <w:rPr>
          <w:rFonts w:cstheme="majorHAnsi"/>
        </w:rPr>
        <w:t xml:space="preserve">V. </w:t>
      </w:r>
      <w:r w:rsidR="005650B8" w:rsidRPr="003444A2">
        <w:rPr>
          <w:rFonts w:cstheme="majorHAnsi"/>
        </w:rPr>
        <w:t>Fund mobilization</w:t>
      </w:r>
      <w:bookmarkEnd w:id="12"/>
    </w:p>
    <w:p w14:paraId="5C5CE6A2" w14:textId="77777777" w:rsidR="005650B8" w:rsidRPr="003444A2" w:rsidRDefault="005650B8" w:rsidP="005650B8">
      <w:pPr>
        <w:rPr>
          <w:rFonts w:cstheme="majorHAnsi"/>
        </w:rPr>
      </w:pPr>
      <w:r w:rsidRPr="003444A2">
        <w:rPr>
          <w:rFonts w:cstheme="majorHAnsi"/>
        </w:rPr>
        <w:t>Hoa Sen Group is implementing a flexible financing strategy by increasing the use of short-term credit limits from banks to fund working capital needs for its retail system</w:t>
      </w:r>
    </w:p>
    <w:p w14:paraId="7308C1DF" w14:textId="77777777" w:rsidR="005650B8" w:rsidRPr="003444A2" w:rsidRDefault="005650B8" w:rsidP="005650B8">
      <w:pPr>
        <w:rPr>
          <w:rFonts w:cstheme="majorHAnsi"/>
        </w:rPr>
      </w:pPr>
      <w:r w:rsidRPr="003444A2">
        <w:rPr>
          <w:rFonts w:cstheme="majorHAnsi"/>
        </w:rPr>
        <w:t>In addition to bank debt, the company actively optimizes its trade credit from strategic suppliers through accounts payable, thereby reducing interest expense pressure in the context of a cash flow deficit from operating activities</w:t>
      </w:r>
    </w:p>
    <w:p w14:paraId="32026CDE" w14:textId="77777777" w:rsidR="005650B8" w:rsidRPr="003444A2" w:rsidRDefault="005650B8" w:rsidP="005650B8">
      <w:pPr>
        <w:rPr>
          <w:rFonts w:cstheme="majorHAnsi"/>
        </w:rPr>
      </w:pPr>
      <w:r w:rsidRPr="003444A2">
        <w:rPr>
          <w:rFonts w:cstheme="majorHAnsi"/>
        </w:rPr>
        <w:t>Regarding equity, HSG focuses on internal accumulation by issuing shares to pay dividends, helping to retain earnings, strengthen its financial buffer, and maintain autonomy against fluctuations in the steel market.</w:t>
      </w:r>
    </w:p>
    <w:p w14:paraId="22174702" w14:textId="3B6C4C15" w:rsidR="005650B8" w:rsidRPr="003444A2" w:rsidRDefault="00823944" w:rsidP="001F3AC5">
      <w:pPr>
        <w:pStyle w:val="Heading2"/>
        <w:rPr>
          <w:rFonts w:cstheme="majorHAnsi"/>
        </w:rPr>
      </w:pPr>
      <w:bookmarkStart w:id="13" w:name="_Toc233984135"/>
      <w:r w:rsidRPr="003444A2">
        <w:rPr>
          <w:rFonts w:cstheme="majorHAnsi"/>
        </w:rPr>
        <w:t xml:space="preserve">VI. </w:t>
      </w:r>
      <w:r w:rsidR="005650B8" w:rsidRPr="003444A2">
        <w:rPr>
          <w:rFonts w:cstheme="majorHAnsi"/>
        </w:rPr>
        <w:t>Investment and Operation</w:t>
      </w:r>
      <w:bookmarkEnd w:id="13"/>
    </w:p>
    <w:p w14:paraId="720BE0B4" w14:textId="77777777" w:rsidR="005650B8" w:rsidRPr="003444A2" w:rsidRDefault="005650B8" w:rsidP="005650B8">
      <w:pPr>
        <w:rPr>
          <w:rFonts w:cstheme="majorHAnsi"/>
        </w:rPr>
      </w:pPr>
      <w:r w:rsidRPr="003444A2">
        <w:rPr>
          <w:rFonts w:cstheme="majorHAnsi"/>
        </w:rPr>
        <w:t>HSG is aggressively transforming its business model from a pure steel manufacturing focus to the nationwide development of the Hoa Sen Home construction materials retail distribution ecosystem. The company is pursuing an “asset-light” strategy, prioritizing investment in short-term assets such as inventories and trade credit policies to capture the domestic market instead of spreading capital into new manufacturing facilities</w:t>
      </w:r>
    </w:p>
    <w:p w14:paraId="4CB85672" w14:textId="77777777" w:rsidR="005650B8" w:rsidRPr="003444A2" w:rsidRDefault="005650B8" w:rsidP="005650B8">
      <w:pPr>
        <w:rPr>
          <w:rFonts w:cstheme="majorHAnsi"/>
        </w:rPr>
      </w:pPr>
      <w:r w:rsidRPr="003444A2">
        <w:rPr>
          <w:rFonts w:cstheme="majorHAnsi"/>
        </w:rPr>
        <w:t>Operations are optimized through an integrated production process and accelerated digital transformation, enabling the group to tightly control production costs and enhance competitiveness by following a low-cost leadership strategy.</w:t>
      </w:r>
    </w:p>
    <w:p w14:paraId="56D93365" w14:textId="0094B3C9" w:rsidR="005650B8" w:rsidRPr="003444A2" w:rsidRDefault="00823944" w:rsidP="001F3AC5">
      <w:pPr>
        <w:pStyle w:val="Heading2"/>
        <w:rPr>
          <w:rFonts w:cstheme="majorHAnsi"/>
        </w:rPr>
      </w:pPr>
      <w:bookmarkStart w:id="14" w:name="_Toc233984136"/>
      <w:r w:rsidRPr="003444A2">
        <w:rPr>
          <w:rFonts w:cstheme="majorHAnsi"/>
        </w:rPr>
        <w:t xml:space="preserve">VII. </w:t>
      </w:r>
      <w:r w:rsidR="005650B8" w:rsidRPr="003444A2">
        <w:rPr>
          <w:rFonts w:cstheme="majorHAnsi"/>
        </w:rPr>
        <w:t>Profit Distribution</w:t>
      </w:r>
      <w:bookmarkEnd w:id="14"/>
    </w:p>
    <w:p w14:paraId="65959DAE" w14:textId="77777777" w:rsidR="005650B8" w:rsidRPr="003444A2" w:rsidRDefault="005650B8" w:rsidP="005650B8">
      <w:pPr>
        <w:rPr>
          <w:rFonts w:cstheme="majorHAnsi"/>
        </w:rPr>
      </w:pPr>
      <w:r w:rsidRPr="003444A2">
        <w:rPr>
          <w:rFonts w:cstheme="majorHAnsi"/>
        </w:rPr>
        <w:t>HSG’s profit distribution policy currently prioritizes a balance between employee benefits, corporate social responsibility, and the need to preserve capital for reinvestment. For shareholders, the group adopts a cautious distribution approach, favoring stock dividends in order to retain financial resources for the challenging phase of business model transformation</w:t>
      </w:r>
    </w:p>
    <w:p w14:paraId="37CEFCF2" w14:textId="77777777" w:rsidR="005650B8" w:rsidRPr="003444A2" w:rsidRDefault="005650B8" w:rsidP="005650B8">
      <w:pPr>
        <w:rPr>
          <w:rFonts w:cstheme="majorHAnsi"/>
        </w:rPr>
      </w:pPr>
      <w:r w:rsidRPr="003444A2">
        <w:rPr>
          <w:rFonts w:cstheme="majorHAnsi"/>
        </w:rPr>
        <w:t>In addition, the company focuses on efficiently managing financial expenses by taking advantage of a low interest rate environment and closely controlling foreign exchange risk, thereby ensuring that retained earnings are optimized to support long-term growth objectives.</w:t>
      </w:r>
    </w:p>
    <w:p w14:paraId="1ACA9680" w14:textId="77777777" w:rsidR="005650B8" w:rsidRPr="003444A2" w:rsidRDefault="005650B8" w:rsidP="00823944">
      <w:pPr>
        <w:rPr>
          <w:rFonts w:cstheme="majorHAnsi"/>
          <w:b/>
          <w:bCs/>
        </w:rPr>
      </w:pPr>
      <w:r w:rsidRPr="003444A2">
        <w:rPr>
          <w:rFonts w:cstheme="majorHAnsi"/>
          <w:b/>
          <w:bCs/>
        </w:rPr>
        <w:t>Conclusion</w:t>
      </w:r>
    </w:p>
    <w:p w14:paraId="68FC6405" w14:textId="77777777" w:rsidR="005650B8" w:rsidRPr="003444A2" w:rsidRDefault="005650B8" w:rsidP="005650B8">
      <w:pPr>
        <w:rPr>
          <w:rFonts w:cstheme="majorHAnsi"/>
        </w:rPr>
      </w:pPr>
      <w:r w:rsidRPr="003444A2">
        <w:rPr>
          <w:rFonts w:cstheme="majorHAnsi"/>
        </w:rPr>
        <w:t>The fluctuations in financial indicators during the 2022–2024 period reflect HSG’s comprehensive restructuring process and business model transformation strategy. The enterprise is gradually shifting from a traditional steel sheet manufacturer to the Hoa Sen Home construction materials and interior retail distribution ecosystem, leading to changes in asset structure, capital structure, and cash flows</w:t>
      </w:r>
    </w:p>
    <w:p w14:paraId="4DE33ADF" w14:textId="26DB1AC1" w:rsidR="003652A0" w:rsidRDefault="005650B8" w:rsidP="005650B8">
      <w:pPr>
        <w:rPr>
          <w:rFonts w:cstheme="majorHAnsi"/>
        </w:rPr>
      </w:pPr>
      <w:r w:rsidRPr="003444A2">
        <w:rPr>
          <w:rFonts w:cstheme="majorHAnsi"/>
        </w:rPr>
        <w:t>At the same time, HSG is also promoting specialization across its business segments under a Holding Company model, creating a foundation for its IPO roadmap and the independent listing of subsidiaries in the 2024–2026 period.</w:t>
      </w:r>
    </w:p>
    <w:p w14:paraId="5656E300" w14:textId="77777777" w:rsidR="003652A0" w:rsidRPr="003444A2" w:rsidRDefault="003652A0" w:rsidP="005650B8">
      <w:pPr>
        <w:rPr>
          <w:rFonts w:cstheme="majorHAnsi"/>
        </w:rPr>
      </w:pPr>
    </w:p>
    <w:p w14:paraId="7A484C6D" w14:textId="581C3D51" w:rsidR="001F3AC5" w:rsidRPr="003444A2" w:rsidRDefault="001F3AC5" w:rsidP="001F3AC5">
      <w:pPr>
        <w:pStyle w:val="Heading1"/>
        <w:rPr>
          <w:rFonts w:cstheme="majorHAnsi"/>
        </w:rPr>
      </w:pPr>
      <w:bookmarkStart w:id="15" w:name="_Toc233984137"/>
      <w:r w:rsidRPr="003444A2">
        <w:rPr>
          <w:rFonts w:cstheme="majorHAnsi"/>
        </w:rPr>
        <w:lastRenderedPageBreak/>
        <w:t>Part 3. FUND MOBILIZATION</w:t>
      </w:r>
      <w:bookmarkEnd w:id="15"/>
    </w:p>
    <w:p w14:paraId="5D509401" w14:textId="726F5666" w:rsidR="001F3AC5" w:rsidRPr="003444A2" w:rsidRDefault="001F3AC5" w:rsidP="001F3AC5">
      <w:pPr>
        <w:pStyle w:val="Heading2"/>
        <w:rPr>
          <w:rFonts w:cstheme="majorHAnsi"/>
        </w:rPr>
      </w:pPr>
      <w:bookmarkStart w:id="16" w:name="_Toc233984138"/>
      <w:r w:rsidRPr="003444A2">
        <w:rPr>
          <w:rFonts w:cstheme="majorHAnsi"/>
        </w:rPr>
        <w:t>I. Fund mobilization parttcipants</w:t>
      </w:r>
      <w:bookmarkEnd w:id="16"/>
    </w:p>
    <w:p w14:paraId="774ADC40" w14:textId="5C31644C" w:rsidR="001F3AC5" w:rsidRPr="003444A2" w:rsidRDefault="001F3AC5" w:rsidP="001F3AC5">
      <w:pPr>
        <w:rPr>
          <w:rFonts w:cstheme="majorHAnsi"/>
        </w:rPr>
      </w:pPr>
      <w:r w:rsidRPr="003444A2">
        <w:rPr>
          <w:rFonts w:cstheme="majorHAnsi"/>
        </w:rPr>
        <w:t>1. Creditors</w:t>
      </w:r>
    </w:p>
    <w:p w14:paraId="0DF0870D" w14:textId="15745092" w:rsidR="001F3AC5" w:rsidRPr="003444A2" w:rsidRDefault="00B63451" w:rsidP="001F3AC5">
      <w:pPr>
        <w:tabs>
          <w:tab w:val="left" w:pos="1276"/>
        </w:tabs>
        <w:rPr>
          <w:rFonts w:cstheme="majorHAnsi"/>
        </w:rPr>
      </w:pPr>
      <w:r w:rsidRPr="003444A2">
        <w:rPr>
          <w:rFonts w:cstheme="majorHAnsi"/>
        </w:rPr>
        <w:object w:dxaOrig="8400" w:dyaOrig="2940" w14:anchorId="265C926D">
          <v:shape id="_x0000_i1026" type="#_x0000_t75" style="width:470.3pt;height:139pt" o:ole="">
            <v:imagedata r:id="rId40" o:title=""/>
          </v:shape>
          <o:OLEObject Type="Link" ProgID="Excel.Sheet.12" ShapeID="_x0000_i1026" DrawAspect="Content" r:id="rId41" UpdateMode="Always">
            <o:LinkType>EnhancedMetaFile</o:LinkType>
            <o:LockedField>false</o:LockedField>
            <o:FieldCodes>\* MERGEFORMAT</o:FieldCodes>
          </o:OLEObject>
        </w:object>
      </w:r>
    </w:p>
    <w:p w14:paraId="5F79C4AE" w14:textId="77777777" w:rsidR="001F3AC5" w:rsidRPr="003444A2" w:rsidRDefault="001F3AC5" w:rsidP="001F3AC5">
      <w:pPr>
        <w:rPr>
          <w:rFonts w:cstheme="majorHAnsi"/>
        </w:rPr>
      </w:pPr>
      <w:r w:rsidRPr="003444A2">
        <w:rPr>
          <w:rFonts w:cstheme="majorHAnsi"/>
        </w:rPr>
        <w:t>The increase in bank financing was mainly driven by the company's growing working capital requirements rather than changes in its financing strategy. As accounts receivable and inventory expanded, a larger amount of capital became tied up in operating activities, leading to a higher working capital need. Since internally generated funds and trade credit were insufficient to fully support this increase, the company relied more heavily on bank borrowings to bridge the funding gap. Therefore, the growth in bank financing reflects the company's need to sustain its operating cycle and support business expansion.</w:t>
      </w:r>
    </w:p>
    <w:p w14:paraId="57C3E07D" w14:textId="44F9A874" w:rsidR="001F3AC5" w:rsidRPr="003444A2" w:rsidRDefault="001F3AC5" w:rsidP="001F3AC5">
      <w:pPr>
        <w:rPr>
          <w:rFonts w:cstheme="majorHAnsi"/>
        </w:rPr>
      </w:pPr>
      <w:r w:rsidRPr="003444A2">
        <w:rPr>
          <w:rFonts w:cstheme="majorHAnsi"/>
        </w:rPr>
        <w:t>2. Supplier:</w:t>
      </w:r>
    </w:p>
    <w:p w14:paraId="5B072D58" w14:textId="32C5B787" w:rsidR="001F3AC5" w:rsidRPr="003444A2" w:rsidRDefault="00B63451" w:rsidP="001F3AC5">
      <w:pPr>
        <w:rPr>
          <w:rFonts w:cstheme="majorHAnsi"/>
        </w:rPr>
      </w:pPr>
      <w:r w:rsidRPr="003444A2">
        <w:rPr>
          <w:rFonts w:cstheme="majorHAnsi"/>
        </w:rPr>
        <w:object w:dxaOrig="8570" w:dyaOrig="1180" w14:anchorId="7BC8663D">
          <v:shape id="_x0000_i1027" type="#_x0000_t75" style="width:465.3pt;height:39.1pt" o:ole="">
            <v:imagedata r:id="rId42" o:title=""/>
          </v:shape>
          <o:OLEObject Type="Link" ProgID="Excel.Sheet.12" ShapeID="_x0000_i1027" DrawAspect="Content" r:id="rId43" UpdateMode="Always">
            <o:LinkType>EnhancedMetaFile</o:LinkType>
            <o:LockedField>false</o:LockedField>
            <o:FieldCodes>\* MERGEFORMAT</o:FieldCodes>
          </o:OLEObject>
        </w:object>
      </w:r>
    </w:p>
    <w:p w14:paraId="648AA7F5" w14:textId="77777777" w:rsidR="003444A2" w:rsidRDefault="001F3AC5" w:rsidP="001F3AC5">
      <w:pPr>
        <w:rPr>
          <w:rFonts w:cstheme="majorHAnsi"/>
        </w:rPr>
      </w:pPr>
      <w:r w:rsidRPr="003444A2">
        <w:rPr>
          <w:rFonts w:cstheme="majorHAnsi"/>
        </w:rPr>
        <w:t>Supplier financing was primarily driven by the company's need to maintain a high level of inventory to support its operations and ensure a stable supply of products. Holding larger inventories increased the amount of capital tied up in working capital, creating additional funding requirements. Instead of relying solely on external financing sources, the company utilized trade credit from suppliers as an important source of short-term funding. This allowed the company to finance a portion of its inventory investment while preserving liquidity and reducing immediate cash outflows.</w:t>
      </w:r>
    </w:p>
    <w:p w14:paraId="663AB4FD" w14:textId="76ACF6F2" w:rsidR="001F3AC5" w:rsidRPr="003444A2" w:rsidRDefault="001F3AC5" w:rsidP="001F3AC5">
      <w:pPr>
        <w:rPr>
          <w:rFonts w:cstheme="majorHAnsi"/>
        </w:rPr>
      </w:pPr>
      <w:r w:rsidRPr="003444A2">
        <w:rPr>
          <w:rFonts w:cstheme="majorHAnsi"/>
        </w:rPr>
        <w:t>3. Government/Tax Authorities:</w:t>
      </w:r>
    </w:p>
    <w:p w14:paraId="225F43E7" w14:textId="34F5C108" w:rsidR="001F3AC5" w:rsidRPr="003444A2" w:rsidRDefault="00B63451" w:rsidP="001F3AC5">
      <w:pPr>
        <w:rPr>
          <w:rFonts w:cstheme="majorHAnsi"/>
        </w:rPr>
      </w:pPr>
      <w:r w:rsidRPr="003444A2">
        <w:rPr>
          <w:rFonts w:cstheme="majorHAnsi"/>
        </w:rPr>
        <w:object w:dxaOrig="9280" w:dyaOrig="1180" w14:anchorId="1C8ACE6C">
          <v:shape id="_x0000_i1028" type="#_x0000_t75" style="width:474.85pt;height:62pt" o:ole="">
            <v:imagedata r:id="rId44" o:title=""/>
          </v:shape>
          <o:OLEObject Type="Link" ProgID="Excel.Sheet.12" ShapeID="_x0000_i1028" DrawAspect="Content" r:id="rId45" UpdateMode="Always">
            <o:LinkType>EnhancedMetaFile</o:LinkType>
            <o:LockedField>false</o:LockedField>
            <o:FieldCodes>\* MERGEFORMAT</o:FieldCodes>
          </o:OLEObject>
        </w:object>
      </w:r>
    </w:p>
    <w:p w14:paraId="547D23D9" w14:textId="0BA9110F" w:rsidR="001F3AC5" w:rsidRPr="003444A2" w:rsidRDefault="001F3AC5" w:rsidP="001F3AC5">
      <w:pPr>
        <w:rPr>
          <w:rFonts w:cstheme="majorHAnsi"/>
        </w:rPr>
      </w:pPr>
      <w:r w:rsidRPr="003444A2">
        <w:rPr>
          <w:rFonts w:cstheme="majorHAnsi"/>
        </w:rPr>
        <w:t>As business activities expand, HSG generates larger tax obligations and other payables to the government. These liabilities are not paid immediately and therefore provide the company with temporary financing. Although government financing represents only a small proportion of total funding, it still supports short-term liquidity needs. Since this source of financing does not require explicit interest payments, it helps reduce the company's overall financing costs. </w:t>
      </w:r>
    </w:p>
    <w:p w14:paraId="0CEF562F" w14:textId="44371FC5" w:rsidR="001F3AC5" w:rsidRPr="003444A2" w:rsidRDefault="001F3AC5" w:rsidP="001F3AC5">
      <w:pPr>
        <w:rPr>
          <w:rFonts w:cstheme="majorHAnsi"/>
        </w:rPr>
      </w:pPr>
      <w:r w:rsidRPr="003444A2">
        <w:rPr>
          <w:rFonts w:cstheme="majorHAnsi"/>
        </w:rPr>
        <w:t>4. Key owners:</w:t>
      </w:r>
    </w:p>
    <w:p w14:paraId="54CA1068" w14:textId="28C4BF64" w:rsidR="001F3AC5" w:rsidRPr="003444A2" w:rsidRDefault="00B63451" w:rsidP="001F3AC5">
      <w:pPr>
        <w:rPr>
          <w:rFonts w:cstheme="majorHAnsi"/>
        </w:rPr>
      </w:pPr>
      <w:r w:rsidRPr="003444A2">
        <w:rPr>
          <w:rFonts w:cstheme="majorHAnsi"/>
        </w:rPr>
        <w:object w:dxaOrig="3200" w:dyaOrig="1480" w14:anchorId="6B5D3BF1">
          <v:shape id="_x0000_i1029" type="#_x0000_t75" style="width:226.8pt;height:78.25pt" o:ole="">
            <v:imagedata r:id="rId46" o:title=""/>
          </v:shape>
          <o:OLEObject Type="Link" ProgID="Excel.Sheet.12" ShapeID="_x0000_i1029" DrawAspect="Content" r:id="rId47" UpdateMode="Always">
            <o:LinkType>EnhancedMetaFile</o:LinkType>
            <o:LockedField>false</o:LockedField>
            <o:FieldCodes>\* MERGEFORMAT</o:FieldCodes>
          </o:OLEObject>
        </w:object>
      </w:r>
    </w:p>
    <w:p w14:paraId="5CF68D9B" w14:textId="100B25F0" w:rsidR="001F3AC5" w:rsidRPr="003444A2" w:rsidRDefault="001F3AC5" w:rsidP="001F3AC5">
      <w:pPr>
        <w:rPr>
          <w:rFonts w:cstheme="majorHAnsi"/>
        </w:rPr>
      </w:pPr>
      <w:r w:rsidRPr="003444A2">
        <w:rPr>
          <w:rFonts w:cstheme="majorHAnsi"/>
        </w:rPr>
        <w:t>The key owners support HSG by providing a stable equity base that can absorb business risks and finance long-term operations. Unlike bank financing, equity does not require fixed interest payments or principal repayments, making it suitable for funding permanent working capital and long-term investments. By maintaining a significant ownership stake, major shareholders demonstrate confidence in the company's future prospects and provide financial stability. Therefore, key owners play an essential role in strengthening HSG's capital structure and reducing financial pressure from debt financing. </w:t>
      </w:r>
    </w:p>
    <w:p w14:paraId="0A772999" w14:textId="27CAAA2D" w:rsidR="001F3AC5" w:rsidRPr="003444A2" w:rsidRDefault="001F3AC5" w:rsidP="001F3AC5">
      <w:pPr>
        <w:rPr>
          <w:rFonts w:cstheme="majorHAnsi"/>
        </w:rPr>
      </w:pPr>
      <w:r w:rsidRPr="003444A2">
        <w:rPr>
          <w:rFonts w:cstheme="majorHAnsi"/>
        </w:rPr>
        <w:t>5. Share holders:</w:t>
      </w:r>
    </w:p>
    <w:p w14:paraId="358F4F14" w14:textId="701AE137" w:rsidR="001F3AC5" w:rsidRPr="003444A2" w:rsidRDefault="00B63451" w:rsidP="001F3AC5">
      <w:pPr>
        <w:rPr>
          <w:rFonts w:cstheme="majorHAnsi"/>
        </w:rPr>
      </w:pPr>
      <w:r w:rsidRPr="003444A2">
        <w:rPr>
          <w:rFonts w:cstheme="majorHAnsi"/>
        </w:rPr>
        <w:object w:dxaOrig="6890" w:dyaOrig="1480" w14:anchorId="783D3333">
          <v:shape id="_x0000_i1030" type="#_x0000_t75" style="width:353.35pt;height:78.25pt" o:ole="">
            <v:imagedata r:id="rId48" o:title=""/>
          </v:shape>
          <o:OLEObject Type="Link" ProgID="Excel.Sheet.12" ShapeID="_x0000_i1030" DrawAspect="Content" r:id="rId49" UpdateMode="Always">
            <o:LinkType>EnhancedMetaFile</o:LinkType>
            <o:LockedField>false</o:LockedField>
            <o:FieldCodes>\* MERGEFORMAT</o:FieldCodes>
          </o:OLEObject>
        </w:object>
      </w:r>
    </w:p>
    <w:p w14:paraId="15230205" w14:textId="5EE21639" w:rsidR="001F3AC5" w:rsidRPr="003444A2" w:rsidRDefault="001F3AC5" w:rsidP="001F3AC5">
      <w:pPr>
        <w:rPr>
          <w:rFonts w:cstheme="majorHAnsi"/>
        </w:rPr>
      </w:pPr>
      <w:r w:rsidRPr="003444A2">
        <w:rPr>
          <w:rFonts w:cstheme="majorHAnsi"/>
        </w:rPr>
        <w:t>HSG also obtains financing from shareholders through share capital and retained earnings. Instead of distributing all profits as dividends, the company retains part of its earnings to finance future business activities and support growth opportunities. Retained earnings provide an internally generated source of capital that does not increase financial leverage or create repayment obligations. Consequently, shareholder financing improves financial flexibility and allows the company to meet funding needs without relying entirely on external debt. </w:t>
      </w:r>
    </w:p>
    <w:p w14:paraId="7B113049" w14:textId="546BBE87" w:rsidR="001F3AC5" w:rsidRPr="003444A2" w:rsidRDefault="003444A2" w:rsidP="003444A2">
      <w:pPr>
        <w:pStyle w:val="Heading2"/>
      </w:pPr>
      <w:bookmarkStart w:id="17" w:name="_Toc233984139"/>
      <w:r>
        <w:t>II</w:t>
      </w:r>
      <w:r w:rsidR="001F3AC5" w:rsidRPr="003444A2">
        <w:t>. Liabilities:</w:t>
      </w:r>
      <w:bookmarkEnd w:id="17"/>
    </w:p>
    <w:p w14:paraId="21B7078A" w14:textId="227B7BB9" w:rsidR="001F3AC5" w:rsidRPr="003444A2" w:rsidRDefault="001F3AC5" w:rsidP="001F3AC5">
      <w:pPr>
        <w:rPr>
          <w:rFonts w:cstheme="majorHAnsi"/>
        </w:rPr>
      </w:pPr>
      <w:r w:rsidRPr="003444A2">
        <w:rPr>
          <w:rFonts w:cstheme="majorHAnsi"/>
        </w:rPr>
        <w:t>- Short-term Liabilities:</w:t>
      </w:r>
    </w:p>
    <w:p w14:paraId="0EA95CF0" w14:textId="281482FA" w:rsidR="001F3AC5" w:rsidRPr="003444A2" w:rsidRDefault="00B63451" w:rsidP="001F3AC5">
      <w:pPr>
        <w:rPr>
          <w:rFonts w:cstheme="majorHAnsi"/>
        </w:rPr>
      </w:pPr>
      <w:r w:rsidRPr="003444A2">
        <w:rPr>
          <w:rFonts w:cstheme="majorHAnsi"/>
        </w:rPr>
        <w:object w:dxaOrig="8400" w:dyaOrig="1810" w14:anchorId="7072F066">
          <v:shape id="_x0000_i1031" type="#_x0000_t75" style="width:461.15pt;height:95.3pt" o:ole="">
            <v:imagedata r:id="rId50" o:title=""/>
          </v:shape>
          <o:OLEObject Type="Link" ProgID="Excel.Sheet.12" ShapeID="_x0000_i1031" DrawAspect="Content" r:id="rId51" UpdateMode="Always">
            <o:LinkType>EnhancedMetaFile</o:LinkType>
            <o:LockedField>false</o:LockedField>
            <o:FieldCodes>\* MERGEFORMAT</o:FieldCodes>
          </o:OLEObject>
        </w:object>
      </w:r>
    </w:p>
    <w:p w14:paraId="64AA8CCA" w14:textId="50D2F081" w:rsidR="001F3AC5" w:rsidRPr="003444A2" w:rsidRDefault="001F3AC5" w:rsidP="001F3AC5">
      <w:pPr>
        <w:rPr>
          <w:rFonts w:cstheme="majorHAnsi"/>
        </w:rPr>
      </w:pPr>
      <w:r w:rsidRPr="003444A2">
        <w:rPr>
          <w:rFonts w:cstheme="majorHAnsi"/>
        </w:rPr>
        <w:t>- Long-term Liabilities:</w:t>
      </w:r>
    </w:p>
    <w:p w14:paraId="285BB712" w14:textId="1D76EE57" w:rsidR="001F3AC5" w:rsidRPr="003444A2" w:rsidRDefault="00B63451" w:rsidP="001F3AC5">
      <w:pPr>
        <w:rPr>
          <w:rFonts w:cstheme="majorHAnsi"/>
        </w:rPr>
      </w:pPr>
      <w:r w:rsidRPr="003444A2">
        <w:rPr>
          <w:rFonts w:cstheme="majorHAnsi"/>
        </w:rPr>
        <w:object w:dxaOrig="10830" w:dyaOrig="2850" w14:anchorId="329B4998">
          <v:shape id="_x0000_i1032" type="#_x0000_t75" style="width:461.55pt;height:149.85pt" o:ole="">
            <v:imagedata r:id="rId52" o:title=""/>
          </v:shape>
          <o:OLEObject Type="Link" ProgID="Excel.Sheet.12" ShapeID="_x0000_i1032" DrawAspect="Content" r:id="rId53" UpdateMode="Always">
            <o:LinkType>EnhancedMetaFile</o:LinkType>
            <o:LockedField>false</o:LockedField>
            <o:FieldCodes>\* MERGEFORMAT</o:FieldCodes>
          </o:OLEObject>
        </w:object>
      </w:r>
      <w:r w:rsidR="001F3AC5" w:rsidRPr="003444A2">
        <w:rPr>
          <w:rFonts w:cstheme="majorHAnsi"/>
        </w:rPr>
        <w:br/>
      </w:r>
    </w:p>
    <w:p w14:paraId="618AF47F" w14:textId="595B6FD8" w:rsidR="001F3AC5" w:rsidRPr="00E92AF6" w:rsidRDefault="00E92AF6" w:rsidP="00E92AF6">
      <w:pPr>
        <w:rPr>
          <w:rFonts w:cstheme="majorHAnsi"/>
        </w:rPr>
      </w:pPr>
      <w:r w:rsidRPr="00E92AF6">
        <w:rPr>
          <w:rFonts w:cstheme="majorHAnsi"/>
        </w:rPr>
        <w:t>-</w:t>
      </w:r>
      <w:r>
        <w:rPr>
          <w:rFonts w:cstheme="majorHAnsi"/>
        </w:rPr>
        <w:t xml:space="preserve"> </w:t>
      </w:r>
      <w:r w:rsidR="001F3AC5" w:rsidRPr="00E92AF6">
        <w:rPr>
          <w:rFonts w:cstheme="majorHAnsi"/>
        </w:rPr>
        <w:t>Creditor composition:</w:t>
      </w:r>
    </w:p>
    <w:p w14:paraId="3C7BA169" w14:textId="4D081736" w:rsidR="001F3AC5" w:rsidRPr="003444A2" w:rsidRDefault="00B63451" w:rsidP="001F3AC5">
      <w:pPr>
        <w:rPr>
          <w:rFonts w:cstheme="majorHAnsi"/>
        </w:rPr>
      </w:pPr>
      <w:r w:rsidRPr="003444A2">
        <w:rPr>
          <w:rFonts w:cstheme="majorHAnsi"/>
        </w:rPr>
        <w:object w:dxaOrig="11190" w:dyaOrig="2260" w14:anchorId="4B05CE8F">
          <v:shape id="_x0000_i1033" type="#_x0000_t75" style="width:469.05pt;height:113.2pt" o:ole="">
            <v:imagedata r:id="rId54" o:title=""/>
          </v:shape>
          <o:OLEObject Type="Link" ProgID="Excel.Sheet.12" ShapeID="_x0000_i1033" DrawAspect="Content" r:id="rId55" UpdateMode="Always">
            <o:LinkType>EnhancedMetaFile</o:LinkType>
            <o:LockedField>false</o:LockedField>
            <o:FieldCodes>\* MERGEFORMAT</o:FieldCodes>
          </o:OLEObject>
        </w:object>
      </w:r>
    </w:p>
    <w:p w14:paraId="6DEC0FD6" w14:textId="77777777" w:rsidR="001F3AC5" w:rsidRPr="003444A2" w:rsidRDefault="001F3AC5" w:rsidP="001F3AC5">
      <w:pPr>
        <w:rPr>
          <w:rFonts w:cstheme="majorHAnsi"/>
        </w:rPr>
      </w:pPr>
      <w:r w:rsidRPr="003444A2">
        <w:rPr>
          <w:rFonts w:cstheme="majorHAnsi"/>
          <w:b/>
          <w:bCs/>
        </w:rPr>
        <w:t>Current Asset Structure</w:t>
      </w:r>
    </w:p>
    <w:p w14:paraId="142864A7" w14:textId="77777777" w:rsidR="001F3AC5" w:rsidRPr="003444A2" w:rsidRDefault="001F3AC5" w:rsidP="001F3AC5">
      <w:pPr>
        <w:rPr>
          <w:rFonts w:cstheme="majorHAnsi"/>
        </w:rPr>
      </w:pPr>
      <w:r w:rsidRPr="003444A2">
        <w:rPr>
          <w:rFonts w:cstheme="majorHAnsi"/>
        </w:rPr>
        <w:t>HSG's asset structure is heavily concentrated in current assets, particularly inventories and trade receivables, which are essential for supporting its trading and manufacturing activities. These assets continuously fluctuate with the operating cycle and require a substantial amount of short-term funding.</w:t>
      </w:r>
    </w:p>
    <w:p w14:paraId="6CAA2153" w14:textId="77777777" w:rsidR="001F3AC5" w:rsidRPr="003444A2" w:rsidRDefault="001F3AC5" w:rsidP="001F3AC5">
      <w:pPr>
        <w:rPr>
          <w:rFonts w:cstheme="majorHAnsi"/>
        </w:rPr>
      </w:pPr>
      <w:r w:rsidRPr="003444A2">
        <w:rPr>
          <w:rFonts w:cstheme="majorHAnsi"/>
          <w:b/>
          <w:bCs/>
        </w:rPr>
        <w:t>Use of Short-term Liabilities</w:t>
      </w:r>
    </w:p>
    <w:p w14:paraId="55CD5201" w14:textId="77777777" w:rsidR="001F3AC5" w:rsidRPr="003444A2" w:rsidRDefault="001F3AC5" w:rsidP="001F3AC5">
      <w:pPr>
        <w:rPr>
          <w:rFonts w:cstheme="majorHAnsi"/>
        </w:rPr>
      </w:pPr>
      <w:r w:rsidRPr="003444A2">
        <w:rPr>
          <w:rFonts w:cstheme="majorHAnsi"/>
        </w:rPr>
        <w:t>Given the predominance of current assets, the company primarily relies on short-term liabilities, including bank borrowings and trade credit, to finance its working capital requirements. Short-term financing provides greater flexibility and aligns with the temporary nature of the company's operating funding needs.</w:t>
      </w:r>
    </w:p>
    <w:p w14:paraId="40CFDD16" w14:textId="77777777" w:rsidR="001F3AC5" w:rsidRPr="003444A2" w:rsidRDefault="001F3AC5" w:rsidP="001F3AC5">
      <w:pPr>
        <w:rPr>
          <w:rFonts w:cstheme="majorHAnsi"/>
        </w:rPr>
      </w:pPr>
      <w:r w:rsidRPr="003444A2">
        <w:rPr>
          <w:rFonts w:cstheme="majorHAnsi"/>
          <w:b/>
          <w:bCs/>
        </w:rPr>
        <w:t>Duration Matching Principle</w:t>
      </w:r>
    </w:p>
    <w:p w14:paraId="01615DFA" w14:textId="77777777" w:rsidR="001F3AC5" w:rsidRPr="003444A2" w:rsidRDefault="001F3AC5" w:rsidP="001F3AC5">
      <w:pPr>
        <w:rPr>
          <w:rFonts w:cstheme="majorHAnsi"/>
        </w:rPr>
      </w:pPr>
      <w:r w:rsidRPr="003444A2">
        <w:rPr>
          <w:rFonts w:cstheme="majorHAnsi"/>
        </w:rPr>
        <w:t>The company's financing strategy is also consistent with the duration matching principle, whereby short-term assets are financed with short-term liabilities. By matching the maturity of funding sources with the life of assets, HSG can reduce refinancing risk, improve liquidity management, and optimize financing costs.</w:t>
      </w:r>
    </w:p>
    <w:p w14:paraId="482FC1B7" w14:textId="4F09113D" w:rsidR="001F3AC5" w:rsidRPr="003444A2" w:rsidRDefault="001F3AC5" w:rsidP="001F3AC5">
      <w:pPr>
        <w:rPr>
          <w:rFonts w:cstheme="majorHAnsi"/>
        </w:rPr>
      </w:pPr>
      <w:r w:rsidRPr="003444A2">
        <w:rPr>
          <w:rFonts w:cstheme="majorHAnsi"/>
        </w:rPr>
        <w:t>2.2. Owner’s Equity:</w:t>
      </w:r>
    </w:p>
    <w:p w14:paraId="27FE676B" w14:textId="1AF63F1A" w:rsidR="007F5322" w:rsidRPr="003444A2" w:rsidRDefault="003652A0" w:rsidP="001F3AC5">
      <w:pPr>
        <w:rPr>
          <w:rFonts w:cstheme="majorHAnsi"/>
        </w:rPr>
      </w:pPr>
      <w:r w:rsidRPr="003444A2">
        <w:rPr>
          <w:rFonts w:cstheme="majorHAnsi"/>
        </w:rPr>
        <w:object w:dxaOrig="9283" w:dyaOrig="1590" w14:anchorId="29E36178">
          <v:shape id="_x0000_i1034" type="#_x0000_t75" style="width:501.9pt;height:103.2pt" o:ole="">
            <v:imagedata r:id="rId56" o:title=""/>
          </v:shape>
          <o:OLEObject Type="Link" ProgID="Excel.Sheet.12" ShapeID="_x0000_i1034" DrawAspect="Content" r:id="rId57" UpdateMode="Always">
            <o:LinkType>EnhancedMetaFile</o:LinkType>
            <o:LockedField>false</o:LockedField>
            <o:FieldCodes>\* MERGEFORMAT</o:FieldCodes>
          </o:OLEObject>
        </w:object>
      </w:r>
    </w:p>
    <w:p w14:paraId="754CBA4D" w14:textId="29E742E7" w:rsidR="001F3AC5" w:rsidRPr="003444A2" w:rsidRDefault="001F3AC5" w:rsidP="001F3AC5">
      <w:pPr>
        <w:rPr>
          <w:rFonts w:cstheme="majorHAnsi"/>
        </w:rPr>
      </w:pPr>
      <w:r w:rsidRPr="003444A2">
        <w:rPr>
          <w:rFonts w:cstheme="majorHAnsi"/>
        </w:rPr>
        <w:lastRenderedPageBreak/>
        <w:t>The company's equity remained relatively stable throughout the period and was primarily supported by retained earnings. The consistently high proportion of retained earnings indicates that HSG relied heavily on internally generated funds to finance its operations and support future growth. This financing strategy reduces dependence on external capital and strengthens the company's financial flexibility. The gradual increase in retained earnings also reflects the company's ability to preserve and reinvest profits to enhance long-term shareholder value.</w:t>
      </w:r>
    </w:p>
    <w:p w14:paraId="1B940001" w14:textId="77777777" w:rsidR="001F3AC5" w:rsidRPr="003444A2" w:rsidRDefault="001F3AC5" w:rsidP="001F3AC5">
      <w:pPr>
        <w:rPr>
          <w:rFonts w:cstheme="majorHAnsi"/>
        </w:rPr>
      </w:pPr>
      <w:r w:rsidRPr="003444A2">
        <w:rPr>
          <w:rFonts w:cstheme="majorHAnsi"/>
        </w:rPr>
        <w:t>2.3. Cost of Liabilities:</w:t>
      </w:r>
    </w:p>
    <w:p w14:paraId="3D34164C" w14:textId="67C6E6A0" w:rsidR="001F3AC5" w:rsidRPr="003444A2" w:rsidRDefault="00B63451" w:rsidP="001F3AC5">
      <w:pPr>
        <w:rPr>
          <w:rFonts w:cstheme="majorHAnsi"/>
        </w:rPr>
      </w:pPr>
      <w:r w:rsidRPr="003444A2">
        <w:rPr>
          <w:rFonts w:cstheme="majorHAnsi"/>
        </w:rPr>
        <w:object w:dxaOrig="8570" w:dyaOrig="1210" w14:anchorId="04A100C2">
          <v:shape id="_x0000_i1035" type="#_x0000_t75" style="width:503.6pt;height:63.25pt" o:ole="">
            <v:imagedata r:id="rId58" o:title=""/>
          </v:shape>
          <o:OLEObject Type="Link" ProgID="Excel.Sheet.12" ShapeID="_x0000_i1035" DrawAspect="Content" r:id="rId59" UpdateMode="Always">
            <o:LinkType>EnhancedMetaFile</o:LinkType>
            <o:LockedField>false</o:LockedField>
            <o:FieldCodes>\* MERGEFORMAT</o:FieldCodes>
          </o:OLEObject>
        </w:object>
      </w:r>
    </w:p>
    <w:p w14:paraId="12483C6D" w14:textId="77777777" w:rsidR="001F3AC5" w:rsidRPr="003444A2" w:rsidRDefault="001F3AC5" w:rsidP="001F3AC5">
      <w:pPr>
        <w:rPr>
          <w:rFonts w:cstheme="majorHAnsi"/>
        </w:rPr>
      </w:pPr>
      <w:r w:rsidRPr="003444A2">
        <w:rPr>
          <w:rFonts w:cstheme="majorHAnsi"/>
        </w:rPr>
        <w:t>The company's interest coverage ratio improved significantly over the period, indicating a stronger ability to meet interest payment obligations from operating earnings. The improvement was mainly driven by the recovery in operating performance, as earnings grew at a faster pace than interest expenses. A higher interest coverage ratio suggests lower financial risk and a greater debt-servicing capacity. This also implies that the company has more flexibility to utilize debt financing without placing excessive pressure on its profitability and cash flows.</w:t>
      </w:r>
    </w:p>
    <w:p w14:paraId="7842DAC4" w14:textId="7BA0D437" w:rsidR="001F3AC5" w:rsidRPr="003444A2" w:rsidRDefault="003444A2" w:rsidP="003444A2">
      <w:pPr>
        <w:pStyle w:val="Heading2"/>
      </w:pPr>
      <w:bookmarkStart w:id="18" w:name="_Toc233984140"/>
      <w:r>
        <w:t>III</w:t>
      </w:r>
      <w:r w:rsidR="001F3AC5" w:rsidRPr="003444A2">
        <w:t>. Matching of fund structure:</w:t>
      </w:r>
      <w:bookmarkEnd w:id="18"/>
    </w:p>
    <w:p w14:paraId="37CF81BF" w14:textId="77777777" w:rsidR="001F3AC5" w:rsidRPr="003444A2" w:rsidRDefault="001F3AC5" w:rsidP="001F3AC5">
      <w:pPr>
        <w:numPr>
          <w:ilvl w:val="0"/>
          <w:numId w:val="39"/>
        </w:numPr>
        <w:rPr>
          <w:rFonts w:cstheme="majorHAnsi"/>
        </w:rPr>
      </w:pPr>
      <w:r w:rsidRPr="003444A2">
        <w:rPr>
          <w:rFonts w:cstheme="majorHAnsi"/>
        </w:rPr>
        <w:t>Financial Implications:</w:t>
      </w:r>
    </w:p>
    <w:p w14:paraId="7D7221AD" w14:textId="1DECCFB6" w:rsidR="00B5331A" w:rsidRPr="003444A2" w:rsidRDefault="00B63451" w:rsidP="00B5331A">
      <w:pPr>
        <w:rPr>
          <w:rFonts w:cstheme="majorHAnsi"/>
        </w:rPr>
      </w:pPr>
      <w:r w:rsidRPr="003444A2">
        <w:rPr>
          <w:rFonts w:cstheme="majorHAnsi"/>
        </w:rPr>
        <w:object w:dxaOrig="8400" w:dyaOrig="900" w14:anchorId="217D12A9">
          <v:shape id="_x0000_i1036" type="#_x0000_t75" style="width:492.75pt;height:47.85pt" o:ole="">
            <v:imagedata r:id="rId60" o:title=""/>
          </v:shape>
          <o:OLEObject Type="Link" ProgID="Excel.Sheet.12" ShapeID="_x0000_i1036" DrawAspect="Content" r:id="rId61" UpdateMode="Always">
            <o:LinkType>EnhancedMetaFile</o:LinkType>
            <o:LockedField>false</o:LockedField>
            <o:FieldCodes>\* MERGEFORMAT</o:FieldCodes>
          </o:OLEObject>
        </w:object>
      </w:r>
    </w:p>
    <w:p w14:paraId="25D2FF1E" w14:textId="020B1899" w:rsidR="001F3AC5" w:rsidRPr="003444A2" w:rsidRDefault="00B5331A" w:rsidP="001F3AC5">
      <w:pPr>
        <w:rPr>
          <w:rFonts w:cstheme="majorHAnsi"/>
        </w:rPr>
      </w:pPr>
      <w:r w:rsidRPr="003444A2">
        <w:rPr>
          <w:rFonts w:cstheme="majorHAnsi"/>
          <w:noProof/>
        </w:rPr>
        <w:drawing>
          <wp:inline distT="0" distB="0" distL="0" distR="0" wp14:anchorId="7EBB692A" wp14:editId="426E3114">
            <wp:extent cx="4472628" cy="2473603"/>
            <wp:effectExtent l="0" t="0" r="4445" b="3175"/>
            <wp:docPr id="835977858" name="Chart 1">
              <a:extLst xmlns:a="http://schemas.openxmlformats.org/drawingml/2006/main">
                <a:ext uri="{FF2B5EF4-FFF2-40B4-BE49-F238E27FC236}">
                  <a16:creationId xmlns:a16="http://schemas.microsoft.com/office/drawing/2014/main" id="{D2CF7F5F-F2B1-2044-EF9D-8B062016C7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2A91EF87" w14:textId="77777777" w:rsidR="001F3AC5" w:rsidRPr="003444A2" w:rsidRDefault="001F3AC5" w:rsidP="001F3AC5">
      <w:pPr>
        <w:numPr>
          <w:ilvl w:val="0"/>
          <w:numId w:val="40"/>
        </w:numPr>
        <w:rPr>
          <w:rFonts w:cstheme="majorHAnsi"/>
        </w:rPr>
      </w:pPr>
      <w:r w:rsidRPr="003444A2">
        <w:rPr>
          <w:rFonts w:cstheme="majorHAnsi"/>
        </w:rPr>
        <w:t>Working capital Analysis:</w:t>
      </w:r>
    </w:p>
    <w:p w14:paraId="3B9EC86A" w14:textId="3F34F499" w:rsidR="001F3AC5" w:rsidRPr="003444A2" w:rsidRDefault="00B63451" w:rsidP="001F3AC5">
      <w:pPr>
        <w:rPr>
          <w:rFonts w:cstheme="majorHAnsi"/>
        </w:rPr>
      </w:pPr>
      <w:r w:rsidRPr="003444A2">
        <w:rPr>
          <w:rFonts w:cstheme="majorHAnsi"/>
        </w:rPr>
        <w:object w:dxaOrig="8570" w:dyaOrig="600" w14:anchorId="38D1D0A9">
          <v:shape id="_x0000_i1037" type="#_x0000_t75" style="width:454.05pt;height:31.2pt" o:ole="">
            <v:imagedata r:id="rId63" o:title=""/>
          </v:shape>
          <o:OLEObject Type="Link" ProgID="Excel.Sheet.12" ShapeID="_x0000_i1037" DrawAspect="Content" r:id="rId64" UpdateMode="Always">
            <o:LinkType>EnhancedMetaFile</o:LinkType>
            <o:LockedField>false</o:LockedField>
            <o:FieldCodes>\* MERGEFORMAT</o:FieldCodes>
          </o:OLEObject>
        </w:object>
      </w:r>
    </w:p>
    <w:p w14:paraId="557B5117" w14:textId="206B8371" w:rsidR="001F3AC5" w:rsidRPr="003444A2" w:rsidRDefault="00B5331A" w:rsidP="001F3AC5">
      <w:pPr>
        <w:rPr>
          <w:rFonts w:cstheme="majorHAnsi"/>
        </w:rPr>
      </w:pPr>
      <w:r w:rsidRPr="003444A2">
        <w:rPr>
          <w:rFonts w:cstheme="majorHAnsi"/>
          <w:noProof/>
        </w:rPr>
        <w:lastRenderedPageBreak/>
        <w:drawing>
          <wp:inline distT="0" distB="0" distL="0" distR="0" wp14:anchorId="579E4FB4" wp14:editId="185DB219">
            <wp:extent cx="5720149" cy="2800178"/>
            <wp:effectExtent l="0" t="0" r="13970" b="635"/>
            <wp:docPr id="399779390" name="Chart 1">
              <a:extLst xmlns:a="http://schemas.openxmlformats.org/drawingml/2006/main">
                <a:ext uri="{FF2B5EF4-FFF2-40B4-BE49-F238E27FC236}">
                  <a16:creationId xmlns:a16="http://schemas.microsoft.com/office/drawing/2014/main" id="{07A8B5B5-5834-E140-FDEB-0FA3DAE264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76E2BD3D" w14:textId="77777777" w:rsidR="001F3AC5" w:rsidRPr="003444A2" w:rsidRDefault="001F3AC5" w:rsidP="001F3AC5">
      <w:pPr>
        <w:rPr>
          <w:rFonts w:cstheme="majorHAnsi"/>
        </w:rPr>
      </w:pPr>
      <w:r w:rsidRPr="003444A2">
        <w:rPr>
          <w:rFonts w:cstheme="majorHAnsi"/>
        </w:rPr>
        <w:t>HSG finances its operations through a combination of debt and equity, each carrying a different financing cost. Although the company increased its reliance on debt over the period, the cost of debt remained significantly lower than the cost of equity, leading to a gradual decline in the weighted average cost of capital (WACC). The reduction in WACC indicates that the company was able to obtain funding at a lower overall cost and improve capital efficiency.</w:t>
      </w:r>
    </w:p>
    <w:p w14:paraId="7382BDD9" w14:textId="77777777" w:rsidR="001F3AC5" w:rsidRPr="003444A2" w:rsidRDefault="001F3AC5" w:rsidP="001F3AC5">
      <w:pPr>
        <w:rPr>
          <w:rFonts w:cstheme="majorHAnsi"/>
        </w:rPr>
      </w:pPr>
      <w:r w:rsidRPr="003444A2">
        <w:rPr>
          <w:rFonts w:cstheme="majorHAnsi"/>
        </w:rPr>
        <w:t>To evaluate whether this financing structure creates value, the company's return on capital employed (ROCE) should be compared with its WACC. If ROCE exceeds WACC, HSG generates returns that are higher than its required cost of capital, thereby creating value for shareholders. Conversely, if ROCE is lower than WACC, the company destroys value because its investments fail to earn sufficient returns to compensate capital providers.</w:t>
      </w:r>
    </w:p>
    <w:p w14:paraId="7798D499" w14:textId="18B21B08" w:rsidR="001F3AC5" w:rsidRPr="003444A2" w:rsidRDefault="001F3AC5" w:rsidP="001F3AC5">
      <w:pPr>
        <w:rPr>
          <w:rFonts w:cstheme="majorHAnsi"/>
        </w:rPr>
      </w:pPr>
      <w:r w:rsidRPr="003444A2">
        <w:rPr>
          <w:rFonts w:cstheme="majorHAnsi"/>
        </w:rPr>
        <w:t>Although HSG's weighted average cost of capital (WACC) declined over the period, the company's return on capital employed (ROCE) remained consistently below its cost of capital. This indicates that the returns generated from operating activities were insufficient to compensate both debt holders and shareholders for the capital they provided. In other words, the company was unable to earn returns above its required rate of return, resulting in value destruction rather than value creation. Nevertheless, the improvement in ROCE suggests that HSG's capital efficiency has been gradually recovering, narrowing the gap between operating returns and the cost of capital.</w:t>
      </w:r>
    </w:p>
    <w:p w14:paraId="33198714" w14:textId="09B03298" w:rsidR="001F3AC5" w:rsidRPr="003444A2" w:rsidRDefault="003444A2" w:rsidP="003444A2">
      <w:pPr>
        <w:pStyle w:val="Heading2"/>
      </w:pPr>
      <w:bookmarkStart w:id="19" w:name="_Toc233984141"/>
      <w:r>
        <w:lastRenderedPageBreak/>
        <w:t>IV</w:t>
      </w:r>
      <w:r w:rsidR="001F3AC5" w:rsidRPr="003444A2">
        <w:t>. Cost of Capital:</w:t>
      </w:r>
      <w:bookmarkEnd w:id="19"/>
    </w:p>
    <w:p w14:paraId="1F90E02B" w14:textId="55096779" w:rsidR="001F3AC5" w:rsidRPr="003444A2" w:rsidRDefault="00B63451" w:rsidP="001F3AC5">
      <w:pPr>
        <w:rPr>
          <w:rFonts w:cstheme="majorHAnsi"/>
        </w:rPr>
      </w:pPr>
      <w:r w:rsidRPr="003444A2">
        <w:rPr>
          <w:rFonts w:cstheme="majorHAnsi"/>
        </w:rPr>
        <w:object w:dxaOrig="6280" w:dyaOrig="4610" w14:anchorId="08D99C28">
          <v:shape id="_x0000_i1038" type="#_x0000_t75" style="width:322.95pt;height:242.65pt" o:ole="">
            <v:imagedata r:id="rId66" o:title=""/>
          </v:shape>
          <o:OLEObject Type="Link" ProgID="Excel.Sheet.12" ShapeID="_x0000_i1038" DrawAspect="Content" r:id="rId67" UpdateMode="Always">
            <o:LinkType>EnhancedMetaFile</o:LinkType>
            <o:LockedField>false</o:LockedField>
            <o:FieldCodes>\* MERGEFORMAT</o:FieldCodes>
          </o:OLEObject>
        </w:object>
      </w:r>
    </w:p>
    <w:p w14:paraId="27DF1388" w14:textId="38E066A7" w:rsidR="001F3AC5" w:rsidRPr="003444A2" w:rsidRDefault="001F3AC5" w:rsidP="001F3AC5">
      <w:pPr>
        <w:rPr>
          <w:rFonts w:cstheme="majorHAnsi"/>
        </w:rPr>
      </w:pPr>
      <w:r w:rsidRPr="003444A2">
        <w:rPr>
          <w:rFonts w:cstheme="majorHAnsi"/>
        </w:rPr>
        <w:t>To finance its operations, HSG employs both debt and equity, which generate the cost of debt and the cost of equity. These two costs are combined to determine the company's weighted average cost of capital (WACC), representing the minimum return expected by capital providers. The effectiveness of financing decisions can then be assessed by comparing WACC with the return on capital employed (ROCE). If ROCE exceeds WACC, the company creates value for investors; otherwise, it destroys value. Although HSG's profitability has improved, its ROCE remains below WACC, indicating that the company has not yet created economic value.</w:t>
      </w:r>
    </w:p>
    <w:p w14:paraId="33FD027A" w14:textId="2DB1DA6C" w:rsidR="001F3AC5" w:rsidRPr="003444A2" w:rsidRDefault="003444A2" w:rsidP="003444A2">
      <w:pPr>
        <w:pStyle w:val="Heading2"/>
      </w:pPr>
      <w:bookmarkStart w:id="20" w:name="_Toc233984142"/>
      <w:r>
        <w:t xml:space="preserve">V. </w:t>
      </w:r>
      <w:r w:rsidRPr="003444A2">
        <w:t xml:space="preserve">Efficiency </w:t>
      </w:r>
      <w:r>
        <w:t>o</w:t>
      </w:r>
      <w:r w:rsidRPr="003444A2">
        <w:t>f Financing</w:t>
      </w:r>
      <w:bookmarkEnd w:id="20"/>
    </w:p>
    <w:p w14:paraId="0C54D365" w14:textId="08E61A1D" w:rsidR="001F3AC5" w:rsidRPr="003444A2" w:rsidRDefault="003444A2" w:rsidP="003444A2">
      <w:pPr>
        <w:rPr>
          <w:rFonts w:cstheme="majorHAnsi"/>
        </w:rPr>
      </w:pPr>
      <w:r>
        <w:rPr>
          <w:rFonts w:cstheme="majorHAnsi"/>
        </w:rPr>
        <w:t xml:space="preserve">1. </w:t>
      </w:r>
      <w:r w:rsidR="001F3AC5" w:rsidRPr="003444A2">
        <w:rPr>
          <w:rFonts w:cstheme="majorHAnsi"/>
        </w:rPr>
        <w:t>ROC trend analysis:</w:t>
      </w:r>
    </w:p>
    <w:p w14:paraId="063EB048" w14:textId="2F789C00" w:rsidR="00B5331A" w:rsidRPr="003444A2" w:rsidRDefault="00B63451" w:rsidP="00B5331A">
      <w:pPr>
        <w:rPr>
          <w:rFonts w:cstheme="majorHAnsi"/>
        </w:rPr>
      </w:pPr>
      <w:r w:rsidRPr="003444A2">
        <w:rPr>
          <w:rFonts w:cstheme="majorHAnsi"/>
        </w:rPr>
        <w:object w:dxaOrig="8400" w:dyaOrig="1770" w14:anchorId="17CD7E3C">
          <v:shape id="_x0000_i1039" type="#_x0000_t75" style="width:492.75pt;height:92.8pt" o:ole="">
            <v:imagedata r:id="rId68" o:title=""/>
          </v:shape>
          <o:OLEObject Type="Link" ProgID="Excel.Sheet.12" ShapeID="_x0000_i1039" DrawAspect="Content" r:id="rId69" UpdateMode="Always">
            <o:LinkType>EnhancedMetaFile</o:LinkType>
            <o:LockedField>false</o:LockedField>
            <o:FieldCodes>\* MERGEFORMAT</o:FieldCodes>
          </o:OLEObject>
        </w:object>
      </w:r>
    </w:p>
    <w:p w14:paraId="2D3E91B3" w14:textId="77777777" w:rsidR="001F3AC5" w:rsidRPr="003444A2" w:rsidRDefault="001F3AC5" w:rsidP="001F3AC5">
      <w:pPr>
        <w:rPr>
          <w:rFonts w:cstheme="majorHAnsi"/>
        </w:rPr>
      </w:pPr>
    </w:p>
    <w:p w14:paraId="5A702105" w14:textId="2F49A3E5" w:rsidR="001F3AC5" w:rsidRPr="003444A2" w:rsidRDefault="003444A2" w:rsidP="003444A2">
      <w:pPr>
        <w:rPr>
          <w:rFonts w:cstheme="majorHAnsi"/>
        </w:rPr>
      </w:pPr>
      <w:r>
        <w:rPr>
          <w:rFonts w:cstheme="majorHAnsi"/>
        </w:rPr>
        <w:t xml:space="preserve">2. </w:t>
      </w:r>
      <w:r w:rsidR="001F3AC5" w:rsidRPr="003444A2">
        <w:rPr>
          <w:rFonts w:cstheme="majorHAnsi"/>
        </w:rPr>
        <w:t>ROE trend analysis:</w:t>
      </w:r>
    </w:p>
    <w:p w14:paraId="7F0E3B87" w14:textId="692FE29B" w:rsidR="001F3AC5" w:rsidRPr="003444A2" w:rsidRDefault="00B63451" w:rsidP="001F3AC5">
      <w:pPr>
        <w:rPr>
          <w:rFonts w:cstheme="majorHAnsi"/>
        </w:rPr>
      </w:pPr>
      <w:r w:rsidRPr="003444A2">
        <w:rPr>
          <w:rFonts w:cstheme="majorHAnsi"/>
        </w:rPr>
        <w:object w:dxaOrig="10260" w:dyaOrig="1480" w14:anchorId="44584174">
          <v:shape id="_x0000_i1040" type="#_x0000_t75" style="width:492.35pt;height:78.25pt" o:ole="">
            <v:imagedata r:id="rId70" o:title=""/>
          </v:shape>
          <o:OLEObject Type="Link" ProgID="Excel.Sheet.12" ShapeID="_x0000_i1040" DrawAspect="Content" r:id="rId71" UpdateMode="Always">
            <o:LinkType>EnhancedMetaFile</o:LinkType>
            <o:LockedField>false</o:LockedField>
            <o:FieldCodes>\* MERGEFORMAT</o:FieldCodes>
          </o:OLEObject>
        </w:object>
      </w:r>
    </w:p>
    <w:p w14:paraId="600E9544" w14:textId="77777777" w:rsidR="001F3AC5" w:rsidRPr="003444A2" w:rsidRDefault="001F3AC5" w:rsidP="001F3AC5">
      <w:pPr>
        <w:rPr>
          <w:rFonts w:cstheme="majorHAnsi"/>
        </w:rPr>
      </w:pPr>
      <w:r w:rsidRPr="003444A2">
        <w:rPr>
          <w:rFonts w:cstheme="majorHAnsi"/>
        </w:rPr>
        <w:t xml:space="preserve">The recovery in HSG's profitability significantly improved both its return on capital (ROC) and return on equity (ROE) during the period. As earnings rebounded, the company was able to retain a larger portion of its profits, leading to a gradual increase in retained earnings. Stronger retained earnings enhanced the company's internal financing capacity, allowing it to fund business activities through </w:t>
      </w:r>
      <w:r w:rsidRPr="003444A2">
        <w:rPr>
          <w:rFonts w:cstheme="majorHAnsi"/>
        </w:rPr>
        <w:lastRenderedPageBreak/>
        <w:t>internally generated capital rather than relying heavily on external equity financing. Consequently, HSG became less dependent on equity issuance and gained greater financial flexibility while preserving existing shareholders' ownership interests.</w:t>
      </w:r>
    </w:p>
    <w:p w14:paraId="2A8128D9" w14:textId="71F46ECC" w:rsidR="001F3AC5" w:rsidRPr="003444A2" w:rsidRDefault="001F3AC5" w:rsidP="003444A2">
      <w:pPr>
        <w:pStyle w:val="Heading2"/>
      </w:pPr>
      <w:r w:rsidRPr="003444A2">
        <w:t> </w:t>
      </w:r>
      <w:bookmarkStart w:id="21" w:name="_Toc233984143"/>
      <w:r w:rsidR="003444A2">
        <w:t>VI</w:t>
      </w:r>
      <w:r w:rsidRPr="003444A2">
        <w:t>. Risk of Financing</w:t>
      </w:r>
      <w:bookmarkEnd w:id="21"/>
    </w:p>
    <w:p w14:paraId="443377F2" w14:textId="4DE56E61" w:rsidR="001F3AC5" w:rsidRPr="003444A2" w:rsidRDefault="003444A2" w:rsidP="003444A2">
      <w:pPr>
        <w:rPr>
          <w:rFonts w:cstheme="majorHAnsi"/>
        </w:rPr>
      </w:pPr>
      <w:r>
        <w:rPr>
          <w:rFonts w:cstheme="majorHAnsi"/>
        </w:rPr>
        <w:t xml:space="preserve">1. </w:t>
      </w:r>
      <w:r w:rsidR="001F3AC5" w:rsidRPr="003444A2">
        <w:rPr>
          <w:rFonts w:cstheme="majorHAnsi"/>
        </w:rPr>
        <w:t>Liquidity risk:</w:t>
      </w:r>
    </w:p>
    <w:p w14:paraId="31EAF986" w14:textId="37E8386D" w:rsidR="00B5331A" w:rsidRPr="003444A2" w:rsidRDefault="00B63451" w:rsidP="00B5331A">
      <w:pPr>
        <w:rPr>
          <w:rFonts w:cstheme="majorHAnsi"/>
        </w:rPr>
      </w:pPr>
      <w:r w:rsidRPr="003444A2">
        <w:rPr>
          <w:rFonts w:cstheme="majorHAnsi"/>
        </w:rPr>
        <w:object w:dxaOrig="8400" w:dyaOrig="3780" w14:anchorId="2905C33E">
          <v:shape id="_x0000_i1041" type="#_x0000_t75" style="width:6in;height:183.1pt" o:ole="">
            <v:imagedata r:id="rId72" o:title=""/>
          </v:shape>
          <o:OLEObject Type="Link" ProgID="Excel.Sheet.12" ShapeID="_x0000_i1041" DrawAspect="Content" r:id="rId73" UpdateMode="Always">
            <o:LinkType>EnhancedMetaFile</o:LinkType>
            <o:LockedField>false</o:LockedField>
            <o:FieldCodes>\* MERGEFORMAT</o:FieldCodes>
          </o:OLEObject>
        </w:object>
      </w:r>
    </w:p>
    <w:p w14:paraId="0DB99589" w14:textId="293A82DC" w:rsidR="001F3AC5" w:rsidRPr="003444A2" w:rsidRDefault="003444A2" w:rsidP="003444A2">
      <w:pPr>
        <w:rPr>
          <w:rFonts w:cstheme="majorHAnsi"/>
        </w:rPr>
      </w:pPr>
      <w:r>
        <w:rPr>
          <w:rFonts w:cstheme="majorHAnsi"/>
        </w:rPr>
        <w:t xml:space="preserve">2. </w:t>
      </w:r>
      <w:r w:rsidR="001F3AC5" w:rsidRPr="003444A2">
        <w:rPr>
          <w:rFonts w:cstheme="majorHAnsi"/>
        </w:rPr>
        <w:t>(Annual obligations) Debt obligations' fulfilling:</w:t>
      </w:r>
    </w:p>
    <w:p w14:paraId="2BAF7F54" w14:textId="4AC0F437" w:rsidR="001F3AC5" w:rsidRPr="003444A2" w:rsidRDefault="00B63451" w:rsidP="001F3AC5">
      <w:pPr>
        <w:rPr>
          <w:rFonts w:cstheme="majorHAnsi"/>
        </w:rPr>
      </w:pPr>
      <w:r w:rsidRPr="003444A2">
        <w:rPr>
          <w:rFonts w:cstheme="majorHAnsi"/>
        </w:rPr>
        <w:object w:dxaOrig="8570" w:dyaOrig="2050" w14:anchorId="05C8BAB8">
          <v:shape id="_x0000_i1042" type="#_x0000_t75" style="width:439.5pt;height:108.2pt" o:ole="">
            <v:imagedata r:id="rId74" o:title=""/>
          </v:shape>
          <o:OLEObject Type="Link" ProgID="Excel.Sheet.12" ShapeID="_x0000_i1042" DrawAspect="Content" r:id="rId75" UpdateMode="Always">
            <o:LinkType>EnhancedMetaFile</o:LinkType>
            <o:LockedField>false</o:LockedField>
            <o:FieldCodes>\* MERGEFORMAT</o:FieldCodes>
          </o:OLEObject>
        </w:object>
      </w:r>
    </w:p>
    <w:p w14:paraId="7324C950" w14:textId="1F77F85D" w:rsidR="00252480" w:rsidRPr="003444A2" w:rsidRDefault="00B63451" w:rsidP="001F3AC5">
      <w:pPr>
        <w:rPr>
          <w:rFonts w:cstheme="majorHAnsi"/>
        </w:rPr>
      </w:pPr>
      <w:r w:rsidRPr="003444A2">
        <w:rPr>
          <w:rFonts w:cstheme="majorHAnsi"/>
        </w:rPr>
        <w:object w:dxaOrig="8570" w:dyaOrig="3190" w14:anchorId="5F759E5B">
          <v:shape id="_x0000_i1043" type="#_x0000_t75" style="width:439.5pt;height:152.3pt" o:ole="">
            <v:imagedata r:id="rId76" o:title=""/>
          </v:shape>
          <o:OLEObject Type="Link" ProgID="Excel.Sheet.12" ShapeID="_x0000_i1043" DrawAspect="Content" r:id="rId77" UpdateMode="Always">
            <o:LinkType>EnhancedMetaFile</o:LinkType>
            <o:LockedField>false</o:LockedField>
            <o:FieldCodes>\* MERGEFORMAT</o:FieldCodes>
          </o:OLEObject>
        </w:object>
      </w:r>
    </w:p>
    <w:p w14:paraId="6407B8A0" w14:textId="25C54834" w:rsidR="001F3AC5" w:rsidRPr="003444A2" w:rsidRDefault="003444A2" w:rsidP="003444A2">
      <w:pPr>
        <w:rPr>
          <w:rFonts w:cstheme="majorHAnsi"/>
        </w:rPr>
      </w:pPr>
      <w:r>
        <w:rPr>
          <w:rFonts w:cstheme="majorHAnsi"/>
        </w:rPr>
        <w:t xml:space="preserve">3. </w:t>
      </w:r>
      <w:r w:rsidR="001F3AC5" w:rsidRPr="003444A2">
        <w:rPr>
          <w:rFonts w:cstheme="majorHAnsi"/>
        </w:rPr>
        <w:t>Default Risk:</w:t>
      </w:r>
    </w:p>
    <w:p w14:paraId="1742AC31" w14:textId="716884DD" w:rsidR="001F3AC5" w:rsidRPr="003444A2" w:rsidRDefault="00B63451" w:rsidP="001F3AC5">
      <w:pPr>
        <w:rPr>
          <w:rFonts w:cstheme="majorHAnsi"/>
        </w:rPr>
      </w:pPr>
      <w:r w:rsidRPr="003444A2">
        <w:rPr>
          <w:rFonts w:cstheme="majorHAnsi"/>
        </w:rPr>
        <w:object w:dxaOrig="9280" w:dyaOrig="8150" w14:anchorId="0B65CFC3">
          <v:shape id="_x0000_i1044" type="#_x0000_t75" style="width:476.1pt;height:399.55pt" o:ole="">
            <v:imagedata r:id="rId78" o:title=""/>
          </v:shape>
          <o:OLEObject Type="Link" ProgID="Excel.Sheet.12" ShapeID="_x0000_i1044" DrawAspect="Content" r:id="rId79" UpdateMode="Always">
            <o:LinkType>EnhancedMetaFile</o:LinkType>
            <o:LockedField>false</o:LockedField>
            <o:FieldCodes>\* MERGEFORMAT</o:FieldCodes>
          </o:OLEObject>
        </w:object>
      </w:r>
    </w:p>
    <w:p w14:paraId="73D49403" w14:textId="77777777" w:rsidR="001F3AC5" w:rsidRPr="003444A2" w:rsidRDefault="001F3AC5" w:rsidP="001F3AC5">
      <w:pPr>
        <w:rPr>
          <w:rFonts w:cstheme="majorHAnsi"/>
        </w:rPr>
      </w:pPr>
      <w:r w:rsidRPr="003444A2">
        <w:rPr>
          <w:rFonts w:cstheme="majorHAnsi"/>
        </w:rPr>
        <w:t>Although HSG's liquidity ratios gradually declined, the company maintained positive working capital and remained capable of meeting its short-term obligations. At the same time, its interest coverage ratio improved significantly, indicating a stronger ability to service debt from operating earnings. The consistently high Altman Z-score also suggests a relatively low probability of financial distress and bankruptcy.</w:t>
      </w:r>
    </w:p>
    <w:p w14:paraId="3D3F2A7B" w14:textId="77777777" w:rsidR="001F3AC5" w:rsidRPr="003444A2" w:rsidRDefault="001F3AC5" w:rsidP="001F3AC5">
      <w:pPr>
        <w:rPr>
          <w:rFonts w:cstheme="majorHAnsi"/>
        </w:rPr>
      </w:pPr>
      <w:r w:rsidRPr="003444A2">
        <w:rPr>
          <w:rFonts w:cstheme="majorHAnsi"/>
        </w:rPr>
        <w:t>The improvement in the company's financial risk profile has important implications for its cost of capital. Lower default risk reduces the risk premium required by lenders and investors, contributing to a lower cost of debt and, consequently, a decline in the weighted average cost of capital (WACC). However, despite the decreasing WACC, HSG's return on capital employed (ROCE) remained below its cost of capital throughout the period. Therefore, although the company has become financially safer and can obtain financing at a lower cost, it has not yet generated sufficient returns to create value for capital providers.</w:t>
      </w:r>
    </w:p>
    <w:p w14:paraId="02E51653" w14:textId="77777777" w:rsidR="00D20F81" w:rsidRPr="003444A2" w:rsidRDefault="00D20F81" w:rsidP="00D20F81">
      <w:pPr>
        <w:pStyle w:val="Heading1"/>
        <w:rPr>
          <w:rFonts w:cstheme="majorHAnsi"/>
        </w:rPr>
      </w:pPr>
      <w:bookmarkStart w:id="22" w:name="_Toc233984144"/>
      <w:r w:rsidRPr="003444A2">
        <w:rPr>
          <w:rFonts w:cstheme="majorHAnsi"/>
        </w:rPr>
        <w:t>PART 4. INVESTMENT</w:t>
      </w:r>
      <w:bookmarkEnd w:id="22"/>
    </w:p>
    <w:p w14:paraId="29960FB9" w14:textId="77777777" w:rsidR="00D20F81" w:rsidRPr="003444A2" w:rsidRDefault="00D20F81" w:rsidP="00D20F81">
      <w:pPr>
        <w:pStyle w:val="Heading2"/>
        <w:rPr>
          <w:rFonts w:cstheme="majorHAnsi"/>
        </w:rPr>
      </w:pPr>
      <w:bookmarkStart w:id="23" w:name="_Toc233984145"/>
      <w:r w:rsidRPr="003444A2">
        <w:rPr>
          <w:rFonts w:cstheme="majorHAnsi"/>
        </w:rPr>
        <w:t>I. Investment Strategy &amp; Portfolio</w:t>
      </w:r>
      <w:bookmarkEnd w:id="23"/>
    </w:p>
    <w:p w14:paraId="7CE5EE11" w14:textId="77777777" w:rsidR="00D20F81" w:rsidRPr="003444A2" w:rsidRDefault="00D20F81" w:rsidP="00D20F81">
      <w:pPr>
        <w:rPr>
          <w:rFonts w:cstheme="majorHAnsi"/>
        </w:rPr>
      </w:pPr>
      <w:r w:rsidRPr="003444A2">
        <w:rPr>
          <w:rFonts w:cstheme="majorHAnsi"/>
        </w:rPr>
        <w:t>1. Operation Investment Portfolio</w:t>
      </w:r>
    </w:p>
    <w:p w14:paraId="1BEB0C6C" w14:textId="1A7EC4DA" w:rsidR="00D20F81" w:rsidRPr="003444A2" w:rsidRDefault="004C5575" w:rsidP="00D20F81">
      <w:pPr>
        <w:rPr>
          <w:rFonts w:cstheme="majorHAnsi"/>
        </w:rPr>
      </w:pPr>
      <w:r>
        <w:rPr>
          <w:rFonts w:cstheme="majorHAnsi"/>
        </w:rPr>
        <w:object w:dxaOrig="8484" w:dyaOrig="14135" w14:anchorId="0B2265BB">
          <v:shape id="_x0000_i1045" type="#_x0000_t75" style="width:424.1pt;height:706.7pt" o:ole="">
            <v:imagedata r:id="rId80" o:title=""/>
          </v:shape>
          <o:OLEObject Type="Link" ProgID="Excel.Sheet.12" ShapeID="_x0000_i1045" DrawAspect="Content" r:id="rId81" UpdateMode="Always">
            <o:LinkType>EnhancedMetaFile</o:LinkType>
            <o:LockedField>false</o:LockedField>
          </o:OLEObject>
        </w:object>
      </w:r>
    </w:p>
    <w:p w14:paraId="234843A8" w14:textId="77777777" w:rsidR="00D20F81" w:rsidRPr="003444A2" w:rsidRDefault="00D20F81" w:rsidP="00D20F81">
      <w:pPr>
        <w:rPr>
          <w:rFonts w:cstheme="majorHAnsi"/>
        </w:rPr>
      </w:pPr>
      <w:r w:rsidRPr="003444A2">
        <w:rPr>
          <w:rFonts w:cstheme="majorHAnsi"/>
          <w:b/>
          <w:bCs/>
        </w:rPr>
        <w:lastRenderedPageBreak/>
        <w:t>Strategic Transformation: From Pure Manufacturing to a Distribution &amp; Retail Ecosystem:</w:t>
      </w:r>
      <w:r w:rsidRPr="003444A2">
        <w:rPr>
          <w:rFonts w:cstheme="majorHAnsi"/>
          <w:b/>
          <w:bCs/>
        </w:rPr>
        <w:br/>
      </w:r>
      <w:r w:rsidRPr="003444A2">
        <w:rPr>
          <w:rFonts w:cstheme="majorHAnsi"/>
          <w:b/>
          <w:bCs/>
        </w:rPr>
        <w:tab/>
      </w:r>
      <w:r w:rsidRPr="003444A2">
        <w:rPr>
          <w:rFonts w:cstheme="majorHAnsi"/>
        </w:rPr>
        <w:t>According to its announced strategy, HSG has been shifting from a "Pure Manufacturing" model, which focuses primarily on steel sheet production, to a "Distribution &amp; Retail Ecosystem" model aimed at building Vietnam's leading construction materials distribution and retail network. This strategic transition provides the key explanation for the company's investment structure throughout the period.</w:t>
      </w:r>
    </w:p>
    <w:p w14:paraId="26585541" w14:textId="77777777" w:rsidR="00D20F81" w:rsidRPr="003444A2" w:rsidRDefault="00D20F81" w:rsidP="00D20F81">
      <w:pPr>
        <w:rPr>
          <w:rFonts w:cstheme="majorHAnsi"/>
        </w:rPr>
      </w:pPr>
      <w:r w:rsidRPr="003444A2">
        <w:rPr>
          <w:rFonts w:cstheme="majorHAnsi"/>
          <w:b/>
          <w:bCs/>
        </w:rPr>
        <w:t>Investment Portfolio Restructuring:</w:t>
      </w:r>
      <w:r w:rsidRPr="003444A2">
        <w:rPr>
          <w:rFonts w:cstheme="majorHAnsi"/>
        </w:rPr>
        <w:t> </w:t>
      </w:r>
    </w:p>
    <w:p w14:paraId="25CB748F" w14:textId="77777777" w:rsidR="00D20F81" w:rsidRPr="003444A2" w:rsidRDefault="00D20F81" w:rsidP="00D20F81">
      <w:pPr>
        <w:rPr>
          <w:rFonts w:cstheme="majorHAnsi"/>
        </w:rPr>
      </w:pPr>
      <w:r w:rsidRPr="003444A2">
        <w:rPr>
          <w:rFonts w:cstheme="majorHAnsi"/>
        </w:rPr>
        <w:t>This strategic transformation is directly reflected in HSG's operating investment structure. As the company no longer pursued production capacity expansion, investments in new fixed assets were significantly reduced.</w:t>
      </w:r>
    </w:p>
    <w:p w14:paraId="0943528B" w14:textId="77777777" w:rsidR="00D20F81" w:rsidRPr="003444A2" w:rsidRDefault="00D20F81" w:rsidP="00D20F81">
      <w:pPr>
        <w:numPr>
          <w:ilvl w:val="0"/>
          <w:numId w:val="46"/>
        </w:numPr>
        <w:rPr>
          <w:rFonts w:cstheme="majorHAnsi"/>
        </w:rPr>
      </w:pPr>
      <w:r w:rsidRPr="003444A2">
        <w:rPr>
          <w:rFonts w:cstheme="majorHAnsi"/>
        </w:rPr>
        <w:t>Construction in Progress (CIP) declined by more than 90%, from VND 106 billion in 2022 to only VND 9 billion in 2024, indicating that HSG had virtually ceased launching new construction projects during this period.</w:t>
      </w:r>
    </w:p>
    <w:p w14:paraId="76C241A2" w14:textId="77777777" w:rsidR="00D20F81" w:rsidRPr="003444A2" w:rsidRDefault="00D20F81" w:rsidP="00D20F81">
      <w:pPr>
        <w:numPr>
          <w:ilvl w:val="0"/>
          <w:numId w:val="46"/>
        </w:numPr>
        <w:rPr>
          <w:rFonts w:cstheme="majorHAnsi"/>
        </w:rPr>
      </w:pPr>
      <w:r w:rsidRPr="003444A2">
        <w:rPr>
          <w:rFonts w:cstheme="majorHAnsi"/>
        </w:rPr>
        <w:t>Fixed assets decreased by nearly 30%, from VND 1,198 billion in 2022 to VND 844 billion in 2024, mainly due to accumulated depreciation while capital expenditure on new assets remained limited.</w:t>
      </w:r>
    </w:p>
    <w:p w14:paraId="155CEB53" w14:textId="77777777" w:rsidR="00D20F81" w:rsidRPr="003444A2" w:rsidRDefault="00D20F81" w:rsidP="00D20F81">
      <w:pPr>
        <w:rPr>
          <w:rFonts w:cstheme="majorHAnsi"/>
        </w:rPr>
      </w:pPr>
      <w:r w:rsidRPr="003444A2">
        <w:rPr>
          <w:rFonts w:cstheme="majorHAnsi"/>
        </w:rPr>
        <w:t>These changes should not be interpreted as signs of contraction or weakening performance. Rather, they represent a deliberate strategic decision: instead of expanding manufacturing capacity, HSG redirected its resources toward strengthening its distribution network.</w:t>
      </w:r>
    </w:p>
    <w:p w14:paraId="28BC9237" w14:textId="77777777" w:rsidR="00D20F81" w:rsidRPr="003444A2" w:rsidRDefault="00D20F81" w:rsidP="00D20F81">
      <w:pPr>
        <w:rPr>
          <w:rFonts w:cstheme="majorHAnsi"/>
        </w:rPr>
      </w:pPr>
      <w:r w:rsidRPr="003444A2">
        <w:rPr>
          <w:rFonts w:cstheme="majorHAnsi"/>
        </w:rPr>
        <w:t>2. Financial Investments Portfolio </w:t>
      </w:r>
    </w:p>
    <w:p w14:paraId="65421142" w14:textId="71A21746" w:rsidR="00D20F81" w:rsidRPr="003444A2" w:rsidRDefault="00B63451" w:rsidP="00D20F81">
      <w:pPr>
        <w:rPr>
          <w:rFonts w:cstheme="majorHAnsi"/>
        </w:rPr>
      </w:pPr>
      <w:r w:rsidRPr="003444A2">
        <w:rPr>
          <w:rFonts w:cstheme="majorHAnsi"/>
        </w:rPr>
        <w:object w:dxaOrig="8260" w:dyaOrig="1750" w14:anchorId="6A9E35C6">
          <v:shape id="_x0000_i1046" type="#_x0000_t75" style="width:505.65pt;height:92.8pt" o:ole="">
            <v:imagedata r:id="rId82" o:title=""/>
          </v:shape>
          <o:OLEObject Type="Link" ProgID="Excel.Sheet.12" ShapeID="_x0000_i1046" DrawAspect="Content" r:id="rId83" UpdateMode="Always">
            <o:LinkType>EnhancedMetaFile</o:LinkType>
            <o:LockedField>false</o:LockedField>
            <o:FieldCodes>\* MERGEFORMAT</o:FieldCodes>
          </o:OLEObject>
        </w:object>
      </w:r>
    </w:p>
    <w:p w14:paraId="329D038B" w14:textId="77777777" w:rsidR="00D20F81" w:rsidRPr="003444A2" w:rsidRDefault="00D20F81" w:rsidP="00D20F81">
      <w:pPr>
        <w:rPr>
          <w:rFonts w:cstheme="majorHAnsi"/>
        </w:rPr>
      </w:pPr>
      <w:r w:rsidRPr="003444A2">
        <w:rPr>
          <w:rFonts w:cstheme="majorHAnsi"/>
          <w:b/>
          <w:bCs/>
        </w:rPr>
        <w:t>Capital Reallocation toward the Distribution Ecosystem</w:t>
      </w:r>
    </w:p>
    <w:p w14:paraId="4C9DBAEB" w14:textId="77777777" w:rsidR="00D20F81" w:rsidRPr="003444A2" w:rsidRDefault="00D20F81" w:rsidP="00D20F81">
      <w:pPr>
        <w:rPr>
          <w:rFonts w:cstheme="majorHAnsi"/>
        </w:rPr>
      </w:pPr>
      <w:r w:rsidRPr="003444A2">
        <w:rPr>
          <w:rFonts w:cstheme="majorHAnsi"/>
        </w:rPr>
        <w:t>The company's financial investment portfolio shows that most long-term investments were directed to its subsidiaries, particularly those operating the Hoa Sen Home retail chain and the nationwide distribution network.</w:t>
      </w:r>
    </w:p>
    <w:p w14:paraId="5A18B7E4" w14:textId="77777777" w:rsidR="00D20F81" w:rsidRPr="003444A2" w:rsidRDefault="00D20F81" w:rsidP="00D20F81">
      <w:pPr>
        <w:rPr>
          <w:rFonts w:cstheme="majorHAnsi"/>
        </w:rPr>
      </w:pPr>
      <w:r w:rsidRPr="003444A2">
        <w:rPr>
          <w:rFonts w:cstheme="majorHAnsi"/>
        </w:rPr>
        <w:t>HSG's financial investment portfolio during 2022–2024 demonstrates an overwhelming concentration in its subsidiaries, which consistently accounted for more than 99% of total long-term financial investments. The remaining portion (less than 0.62%) was allocated to held-to-maturity investments, primarily bank deposits and bonds, serving as liquidity management instruments rather than major profit-generating investments. Meanwhile, investments in manufacturing subsidiaries (such as Hoa Sen Nghe An, Ton Hoa Sen, and Hoa Sen Ha Nam) remained relatively stable. The sharp decline in Construction in Progress mainly reflects the completion of the Hoa Sen Home development projects and machinery upgrade programs.</w:t>
      </w:r>
    </w:p>
    <w:p w14:paraId="01537C99" w14:textId="77777777" w:rsidR="00D20F81" w:rsidRPr="003444A2" w:rsidRDefault="00D20F81" w:rsidP="00D20F81">
      <w:pPr>
        <w:rPr>
          <w:rFonts w:cstheme="majorHAnsi"/>
        </w:rPr>
      </w:pPr>
      <w:r w:rsidRPr="003444A2">
        <w:rPr>
          <w:rFonts w:cstheme="majorHAnsi"/>
          <w:b/>
          <w:bCs/>
        </w:rPr>
        <w:t>Investment Strategy: Vertical Integration </w:t>
      </w:r>
    </w:p>
    <w:p w14:paraId="7ADFBA18" w14:textId="77777777" w:rsidR="00D20F81" w:rsidRPr="003444A2" w:rsidRDefault="00D20F81" w:rsidP="00D20F81">
      <w:pPr>
        <w:rPr>
          <w:rFonts w:cstheme="majorHAnsi"/>
        </w:rPr>
      </w:pPr>
      <w:r w:rsidRPr="003444A2">
        <w:rPr>
          <w:rFonts w:cstheme="majorHAnsi"/>
        </w:rPr>
        <w:t>The key objective behind these subsidiary investments is not financial speculation. HSG did not acquire shares in unrelated companies for capital gains or dividend income. Instead, virtually all subsidiary investments were concentrated in three core segments of its value chain:</w:t>
      </w:r>
    </w:p>
    <w:p w14:paraId="73F3139E" w14:textId="77777777" w:rsidR="00D20F81" w:rsidRPr="003444A2" w:rsidRDefault="00D20F81" w:rsidP="00D20F81">
      <w:pPr>
        <w:numPr>
          <w:ilvl w:val="0"/>
          <w:numId w:val="47"/>
        </w:numPr>
        <w:rPr>
          <w:rFonts w:cstheme="majorHAnsi"/>
        </w:rPr>
      </w:pPr>
      <w:r w:rsidRPr="003444A2">
        <w:rPr>
          <w:rFonts w:cstheme="majorHAnsi"/>
        </w:rPr>
        <w:lastRenderedPageBreak/>
        <w:t>manufacturing (steel production plants)</w:t>
      </w:r>
    </w:p>
    <w:p w14:paraId="4F44852A" w14:textId="77777777" w:rsidR="00D20F81" w:rsidRPr="003444A2" w:rsidRDefault="00D20F81" w:rsidP="00D20F81">
      <w:pPr>
        <w:numPr>
          <w:ilvl w:val="0"/>
          <w:numId w:val="47"/>
        </w:numPr>
        <w:rPr>
          <w:rFonts w:cstheme="majorHAnsi"/>
        </w:rPr>
      </w:pPr>
      <w:r w:rsidRPr="003444A2">
        <w:rPr>
          <w:rFonts w:cstheme="majorHAnsi"/>
        </w:rPr>
        <w:t>distribution (trading subsidiaries)</w:t>
      </w:r>
    </w:p>
    <w:p w14:paraId="12B58456" w14:textId="77777777" w:rsidR="00D20F81" w:rsidRPr="003444A2" w:rsidRDefault="00D20F81" w:rsidP="00D20F81">
      <w:pPr>
        <w:numPr>
          <w:ilvl w:val="0"/>
          <w:numId w:val="47"/>
        </w:numPr>
        <w:rPr>
          <w:rFonts w:cstheme="majorHAnsi"/>
        </w:rPr>
      </w:pPr>
      <w:r w:rsidRPr="003444A2">
        <w:rPr>
          <w:rFonts w:cstheme="majorHAnsi"/>
        </w:rPr>
        <w:t>retail (the Hoa Sen Home network).</w:t>
      </w:r>
    </w:p>
    <w:p w14:paraId="58A2962E" w14:textId="77777777" w:rsidR="00D20F81" w:rsidRPr="003444A2" w:rsidRDefault="00D20F81" w:rsidP="00D20F81">
      <w:pPr>
        <w:rPr>
          <w:rFonts w:cstheme="majorHAnsi"/>
        </w:rPr>
      </w:pPr>
      <w:r w:rsidRPr="003444A2">
        <w:rPr>
          <w:rFonts w:cstheme="majorHAnsi"/>
        </w:rPr>
        <w:t>HSG typically holds controlling ownership stakes (95%-100%) allowing it to exercise full operational control rather than merely acting as a financial investor.</w:t>
      </w:r>
    </w:p>
    <w:p w14:paraId="706852BA" w14:textId="77777777" w:rsidR="00D20F81" w:rsidRPr="003444A2" w:rsidRDefault="00D20F81" w:rsidP="00D20F81">
      <w:pPr>
        <w:rPr>
          <w:rFonts w:cstheme="majorHAnsi"/>
        </w:rPr>
      </w:pPr>
      <w:r w:rsidRPr="003444A2">
        <w:rPr>
          <w:rFonts w:cstheme="majorHAnsi"/>
        </w:rPr>
        <w:t>This reflects HSG's vertical integration strategy, which aims to control the entire value chain from manufacturing to the end consumer. Instead of relying on independent distributors, HSG directly owns and operates its distribution and retail channels, enabling the company to control pricing, service quality, and customer experience. This strategy also lays the foundation for future business restructuring and potential IPOs of individual business segments, thereby maximizing value across the entire group.</w:t>
      </w:r>
    </w:p>
    <w:p w14:paraId="6D3A989D" w14:textId="77777777" w:rsidR="00D20F81" w:rsidRPr="003444A2" w:rsidRDefault="00D20F81" w:rsidP="00D20F81">
      <w:pPr>
        <w:rPr>
          <w:rFonts w:cstheme="majorHAnsi"/>
        </w:rPr>
      </w:pPr>
    </w:p>
    <w:p w14:paraId="7BFDA05D" w14:textId="77777777" w:rsidR="00D20F81" w:rsidRPr="003444A2" w:rsidRDefault="00D20F81" w:rsidP="003444A2">
      <w:pPr>
        <w:pStyle w:val="Heading2"/>
      </w:pPr>
      <w:bookmarkStart w:id="24" w:name="_Toc233984146"/>
      <w:r w:rsidRPr="003444A2">
        <w:t>II. Investment Efficiency Performance</w:t>
      </w:r>
      <w:bookmarkEnd w:id="24"/>
    </w:p>
    <w:p w14:paraId="4BFE0E30" w14:textId="77777777" w:rsidR="00D20F81" w:rsidRPr="003444A2" w:rsidRDefault="00D20F81" w:rsidP="00D20F81">
      <w:pPr>
        <w:rPr>
          <w:rFonts w:cstheme="majorHAnsi"/>
        </w:rPr>
      </w:pPr>
      <w:r w:rsidRPr="003444A2">
        <w:rPr>
          <w:rFonts w:cstheme="majorHAnsi"/>
          <w:b/>
          <w:bCs/>
        </w:rPr>
        <w:t>1. Overall Assessment</w:t>
      </w:r>
    </w:p>
    <w:p w14:paraId="6C7331C2" w14:textId="77777777" w:rsidR="00D20F81" w:rsidRPr="003444A2" w:rsidRDefault="00D20F81" w:rsidP="00D20F81">
      <w:pPr>
        <w:rPr>
          <w:rFonts w:cstheme="majorHAnsi"/>
        </w:rPr>
      </w:pPr>
      <w:r w:rsidRPr="003444A2">
        <w:rPr>
          <w:rFonts w:cstheme="majorHAnsi"/>
          <w:b/>
          <w:bCs/>
        </w:rPr>
        <w:t>1.1. Return on Assets (ROA)</w:t>
      </w:r>
    </w:p>
    <w:p w14:paraId="1A48D604" w14:textId="77777777" w:rsidR="00D20F81" w:rsidRPr="003444A2" w:rsidRDefault="00D20F81" w:rsidP="00D20F81">
      <w:pPr>
        <w:rPr>
          <w:rFonts w:cstheme="majorHAnsi"/>
        </w:rPr>
      </w:pPr>
      <w:r w:rsidRPr="003444A2">
        <w:rPr>
          <w:rFonts w:cstheme="majorHAnsi"/>
        </w:rPr>
        <w:t>Strategy: HSG is transitioning from a Pure Manufacturing model to a Distribution Ecosystem by optimizing existing assets rather than injecting additional capital into expansion. The expectation is that profitability grows faster than asset base, driving ROA upward.</w:t>
      </w:r>
    </w:p>
    <w:p w14:paraId="774718B6" w14:textId="66A81FBE" w:rsidR="00D20F81" w:rsidRPr="003444A2" w:rsidRDefault="00B63451" w:rsidP="00D20F81">
      <w:pPr>
        <w:rPr>
          <w:rFonts w:cstheme="majorHAnsi"/>
        </w:rPr>
      </w:pPr>
      <w:r w:rsidRPr="003444A2">
        <w:rPr>
          <w:rFonts w:cstheme="majorHAnsi"/>
        </w:rPr>
        <w:object w:dxaOrig="9440" w:dyaOrig="3780" w14:anchorId="0926B11E">
          <v:shape id="_x0000_i1047" type="#_x0000_t75" style="width:484.45pt;height:168.15pt" o:ole="">
            <v:imagedata r:id="rId84" o:title=""/>
          </v:shape>
          <o:OLEObject Type="Link" ProgID="Excel.Sheet.12" ShapeID="_x0000_i1047" DrawAspect="Content" r:id="rId85" UpdateMode="Always">
            <o:LinkType>EnhancedMetaFile</o:LinkType>
            <o:LockedField>false</o:LockedField>
            <o:FieldCodes>\* MERGEFORMAT</o:FieldCodes>
          </o:OLEObject>
        </w:object>
      </w:r>
    </w:p>
    <w:p w14:paraId="7D8C0655" w14:textId="77777777" w:rsidR="00D20F81" w:rsidRPr="003444A2" w:rsidRDefault="00D20F81" w:rsidP="00D20F81">
      <w:pPr>
        <w:rPr>
          <w:rFonts w:cstheme="majorHAnsi"/>
        </w:rPr>
      </w:pPr>
      <w:r w:rsidRPr="003444A2">
        <w:rPr>
          <w:rFonts w:cstheme="majorHAnsi"/>
        </w:rPr>
        <w:t>ROA improved consistently from 0.23% to 2.75%, while average total assets in 2024 remained below the 2022 level, meaning net income grew more than tenfold without requiring additional asset investment. Compared to NKG, HSG's ROA remains lower, reflecting the scale-intensive nature of its operations, which require large inventories, warehousing, and a nationwide distribution network.</w:t>
      </w:r>
    </w:p>
    <w:p w14:paraId="7FDBF3C5" w14:textId="77777777" w:rsidR="00D20F81" w:rsidRPr="003444A2" w:rsidRDefault="00D20F81" w:rsidP="00D20F81">
      <w:pPr>
        <w:rPr>
          <w:rFonts w:cstheme="majorHAnsi"/>
        </w:rPr>
      </w:pPr>
      <w:r w:rsidRPr="003444A2">
        <w:rPr>
          <w:rFonts w:cstheme="majorHAnsi"/>
        </w:rPr>
        <w:t>-&gt; The strong ROA improvement against a flat asset base confirms the strategic direction: HSG is generating significantly more profit from its existing asset foundation rather than relying on new investment expansion.</w:t>
      </w:r>
    </w:p>
    <w:p w14:paraId="3423C760" w14:textId="77777777" w:rsidR="00D20F81" w:rsidRPr="003444A2" w:rsidRDefault="00D20F81" w:rsidP="00D20F81">
      <w:pPr>
        <w:rPr>
          <w:rFonts w:cstheme="majorHAnsi"/>
        </w:rPr>
      </w:pPr>
      <w:r w:rsidRPr="003444A2">
        <w:rPr>
          <w:rFonts w:cstheme="majorHAnsi"/>
          <w:b/>
          <w:bCs/>
        </w:rPr>
        <w:t>1.2. Total Asset Efficiency</w:t>
      </w:r>
    </w:p>
    <w:p w14:paraId="5BA47CA0" w14:textId="77777777" w:rsidR="00D20F81" w:rsidRPr="003444A2" w:rsidRDefault="00D20F81" w:rsidP="00D20F81">
      <w:pPr>
        <w:rPr>
          <w:rFonts w:cstheme="majorHAnsi"/>
        </w:rPr>
      </w:pPr>
      <w:r w:rsidRPr="003444A2">
        <w:rPr>
          <w:rFonts w:cstheme="majorHAnsi"/>
        </w:rPr>
        <w:t>Strategy: By not expanding production capacity, HSG keeps total assets at a relatively stable scale. The expectation is that asset turnover recovers in line with revenue, but the primary driver of investment efficiency improvement comes from margin expansion rather than faster asset utilization.</w:t>
      </w:r>
    </w:p>
    <w:p w14:paraId="504DDC4B" w14:textId="09ECBE5C" w:rsidR="00D20F81" w:rsidRPr="003444A2" w:rsidRDefault="00B63451" w:rsidP="00D20F81">
      <w:pPr>
        <w:rPr>
          <w:rFonts w:cstheme="majorHAnsi"/>
        </w:rPr>
      </w:pPr>
      <w:r w:rsidRPr="003444A2">
        <w:rPr>
          <w:rFonts w:cstheme="majorHAnsi"/>
        </w:rPr>
        <w:object w:dxaOrig="9440" w:dyaOrig="2040" w14:anchorId="1F5DDA94">
          <v:shape id="_x0000_i1048" type="#_x0000_t75" style="width:484.45pt;height:92.8pt" o:ole="">
            <v:imagedata r:id="rId86" o:title=""/>
          </v:shape>
          <o:OLEObject Type="Link" ProgID="Excel.Sheet.12" ShapeID="_x0000_i1048" DrawAspect="Content" r:id="rId87" UpdateMode="Always">
            <o:LinkType>EnhancedMetaFile</o:LinkType>
            <o:LockedField>false</o:LockedField>
            <o:FieldCodes>\* MERGEFORMAT</o:FieldCodes>
          </o:OLEObject>
        </w:object>
      </w:r>
    </w:p>
    <w:p w14:paraId="5608FEBD" w14:textId="77777777" w:rsidR="00D20F81" w:rsidRPr="003444A2" w:rsidRDefault="00D20F81" w:rsidP="00D20F81">
      <w:pPr>
        <w:rPr>
          <w:rFonts w:cstheme="majorHAnsi"/>
        </w:rPr>
      </w:pPr>
      <w:r w:rsidRPr="003444A2">
        <w:rPr>
          <w:rFonts w:cstheme="majorHAnsi"/>
        </w:rPr>
        <w:t>Total asset turnover recovered from 2.96 to 3.47 in 2024 but has not returned to the 2022 level of 3.88. The 2023 decline was a consequence of weakening steel demand and a frozen real estate market - cyclical in nature and not indicative of a structural problem in the investment strategy.</w:t>
      </w:r>
    </w:p>
    <w:p w14:paraId="32217C2B" w14:textId="77777777" w:rsidR="00D20F81" w:rsidRPr="003444A2" w:rsidRDefault="00D20F81" w:rsidP="00D20F81">
      <w:pPr>
        <w:rPr>
          <w:rFonts w:cstheme="majorHAnsi"/>
        </w:rPr>
      </w:pPr>
      <w:r w:rsidRPr="003444A2">
        <w:rPr>
          <w:rFonts w:cstheme="majorHAnsi"/>
        </w:rPr>
        <w:t>-&gt; Although asset turnover has not fully recovered, ROA improved far more substantially over the same period. This confirms that the driver of investment efficiency is margin improvement rather than asset utilization speed, consistent with a company transitioning from volume-driven growth to value chain efficiency.</w:t>
      </w:r>
    </w:p>
    <w:p w14:paraId="49A5397D" w14:textId="77777777" w:rsidR="00D20F81" w:rsidRPr="003444A2" w:rsidRDefault="00D20F81" w:rsidP="00D20F81">
      <w:pPr>
        <w:rPr>
          <w:rFonts w:cstheme="majorHAnsi"/>
        </w:rPr>
      </w:pPr>
      <w:r w:rsidRPr="003444A2">
        <w:rPr>
          <w:rFonts w:cstheme="majorHAnsi"/>
          <w:b/>
          <w:bCs/>
        </w:rPr>
        <w:t>2. Operating Assets Efficiency</w:t>
      </w:r>
    </w:p>
    <w:p w14:paraId="629B4F45" w14:textId="77777777" w:rsidR="00D20F81" w:rsidRPr="003444A2" w:rsidRDefault="00D20F81" w:rsidP="00D20F81">
      <w:pPr>
        <w:rPr>
          <w:rFonts w:cstheme="majorHAnsi"/>
        </w:rPr>
      </w:pPr>
      <w:r w:rsidRPr="003444A2">
        <w:rPr>
          <w:rFonts w:cstheme="majorHAnsi"/>
          <w:b/>
          <w:bCs/>
        </w:rPr>
        <w:t>2.1. Short-Term Operating Assets Efficiency</w:t>
      </w:r>
    </w:p>
    <w:p w14:paraId="7B3CE241" w14:textId="77777777" w:rsidR="00D20F81" w:rsidRPr="003444A2" w:rsidRDefault="00D20F81" w:rsidP="00D20F81">
      <w:pPr>
        <w:rPr>
          <w:rFonts w:cstheme="majorHAnsi"/>
        </w:rPr>
      </w:pPr>
      <w:r w:rsidRPr="003444A2">
        <w:rPr>
          <w:rFonts w:cstheme="majorHAnsi"/>
        </w:rPr>
        <w:t>Strategy: Rather than expanding production, HSG invested in the Hoa Sen Home system and its distribution network to reach end customers more directly. The expectation is that inventory turnover accelerates and collection periods shorten as the distribution network reaches stable operation.</w:t>
      </w:r>
    </w:p>
    <w:p w14:paraId="69C0CFCC" w14:textId="30D7573C" w:rsidR="00D20F81" w:rsidRPr="003444A2" w:rsidRDefault="00B63451" w:rsidP="00D20F81">
      <w:pPr>
        <w:rPr>
          <w:rFonts w:cstheme="majorHAnsi"/>
        </w:rPr>
      </w:pPr>
      <w:r w:rsidRPr="003444A2">
        <w:rPr>
          <w:rFonts w:cstheme="majorHAnsi"/>
        </w:rPr>
        <w:object w:dxaOrig="10280" w:dyaOrig="6100" w14:anchorId="7F64E0BC">
          <v:shape id="_x0000_i1049" type="#_x0000_t75" style="width:500.65pt;height:244.7pt" o:ole="">
            <v:imagedata r:id="rId88" o:title=""/>
          </v:shape>
          <o:OLEObject Type="Link" ProgID="Excel.Sheet.12" ShapeID="_x0000_i1049" DrawAspect="Content" r:id="rId89" UpdateMode="Always">
            <o:LinkType>EnhancedMetaFile</o:LinkType>
            <o:LockedField>false</o:LockedField>
            <o:FieldCodes>\* MERGEFORMAT</o:FieldCodes>
          </o:OLEObject>
        </w:object>
      </w:r>
    </w:p>
    <w:p w14:paraId="24F0AC70" w14:textId="77777777" w:rsidR="00D20F81" w:rsidRPr="003444A2" w:rsidRDefault="00D20F81" w:rsidP="00D20F81">
      <w:pPr>
        <w:rPr>
          <w:rFonts w:cstheme="majorHAnsi"/>
        </w:rPr>
      </w:pPr>
      <w:r w:rsidRPr="003444A2">
        <w:rPr>
          <w:rFonts w:cstheme="majorHAnsi"/>
        </w:rPr>
        <w:t>In 2023, both indicators deteriorated as weak market demand slowed inventory movement and delayed collections. By 2024, inventory turnover recovered to 16.50x, while the collection period shortened to 52 days.</w:t>
      </w:r>
    </w:p>
    <w:p w14:paraId="40140AAC" w14:textId="77777777" w:rsidR="00D20F81" w:rsidRPr="003444A2" w:rsidRDefault="00D20F81" w:rsidP="00D20F81">
      <w:pPr>
        <w:rPr>
          <w:rFonts w:cstheme="majorHAnsi"/>
        </w:rPr>
      </w:pPr>
      <w:r w:rsidRPr="003444A2">
        <w:rPr>
          <w:rFonts w:cstheme="majorHAnsi"/>
        </w:rPr>
        <w:t>-&gt; Short-term asset efficiency recovering beyond the 2022 baseline indicates that HSG's investment in its distribution and retail network is translating into tangible operational results - goods reach customers faster and cash is collected sooner. This is an early confirmation that the Distribution Ecosystem strategy is gaining traction at the working capital level.</w:t>
      </w:r>
    </w:p>
    <w:p w14:paraId="5BEA34FC" w14:textId="77777777" w:rsidR="00D20F81" w:rsidRPr="003444A2" w:rsidRDefault="00D20F81" w:rsidP="00D20F81">
      <w:pPr>
        <w:rPr>
          <w:rFonts w:cstheme="majorHAnsi"/>
        </w:rPr>
      </w:pPr>
      <w:r w:rsidRPr="003444A2">
        <w:rPr>
          <w:rFonts w:cstheme="majorHAnsi"/>
          <w:b/>
          <w:bCs/>
        </w:rPr>
        <w:t>2.2. Long-Term Operating Assets Efficiency</w:t>
      </w:r>
    </w:p>
    <w:p w14:paraId="42FF92D8" w14:textId="77777777" w:rsidR="00D20F81" w:rsidRPr="003444A2" w:rsidRDefault="00D20F81" w:rsidP="00D20F81">
      <w:pPr>
        <w:rPr>
          <w:rFonts w:cstheme="majorHAnsi"/>
        </w:rPr>
      </w:pPr>
      <w:r w:rsidRPr="003444A2">
        <w:rPr>
          <w:rFonts w:cstheme="majorHAnsi"/>
        </w:rPr>
        <w:lastRenderedPageBreak/>
        <w:t>Strategy: HSG deliberately allowed CIP to decline to near zero and did not reinvest in new fixed assets. The expectation is that while the fixed asset base shrinks, turnover increases as revenue is sustained and improved through existing production capacity.</w:t>
      </w:r>
    </w:p>
    <w:p w14:paraId="61B14681" w14:textId="5029126C" w:rsidR="00D20F81" w:rsidRPr="003444A2" w:rsidRDefault="00B63451" w:rsidP="00D20F81">
      <w:pPr>
        <w:rPr>
          <w:rFonts w:cstheme="majorHAnsi"/>
        </w:rPr>
      </w:pPr>
      <w:r w:rsidRPr="003444A2">
        <w:rPr>
          <w:rFonts w:cstheme="majorHAnsi"/>
        </w:rPr>
        <w:object w:dxaOrig="10280" w:dyaOrig="6390" w14:anchorId="3482663E">
          <v:shape id="_x0000_i1050" type="#_x0000_t75" style="width:498.15pt;height:275.1pt" o:ole="">
            <v:imagedata r:id="rId90" o:title=""/>
          </v:shape>
          <o:OLEObject Type="Link" ProgID="Excel.Sheet.12" ShapeID="_x0000_i1050" DrawAspect="Content" r:id="rId91" UpdateMode="Always">
            <o:LinkType>EnhancedMetaFile</o:LinkType>
            <o:LockedField>false</o:LockedField>
            <o:FieldCodes>\* MERGEFORMAT</o:FieldCodes>
          </o:OLEObject>
        </w:object>
      </w:r>
    </w:p>
    <w:p w14:paraId="68EA9B20" w14:textId="77777777" w:rsidR="00D20F81" w:rsidRPr="003444A2" w:rsidRDefault="00D20F81" w:rsidP="00D20F81">
      <w:pPr>
        <w:rPr>
          <w:rFonts w:cstheme="majorHAnsi"/>
        </w:rPr>
      </w:pPr>
      <w:r w:rsidRPr="003444A2">
        <w:rPr>
          <w:rFonts w:cstheme="majorHAnsi"/>
        </w:rPr>
        <w:t>Fixed assets declined by nearly 30%, yet fixed asset turnover in 2024 reached 71.71 (exceeding the 2022 level of 69.61). CIP approaching zero means virtually no capital is idle in ongoing construction projects. Margin improvement drove Operating ROA up from 0.19% to 3.07%.</w:t>
      </w:r>
    </w:p>
    <w:p w14:paraId="0B4E19C8" w14:textId="77777777" w:rsidR="00D20F81" w:rsidRPr="003444A2" w:rsidRDefault="00D20F81" w:rsidP="00D20F81">
      <w:pPr>
        <w:rPr>
          <w:rFonts w:cstheme="majorHAnsi"/>
        </w:rPr>
      </w:pPr>
      <w:r w:rsidRPr="003444A2">
        <w:rPr>
          <w:rFonts w:cstheme="majorHAnsi"/>
        </w:rPr>
        <w:t>-&gt; Fixed assets declining while turnover rises is the clearest quantitative confirmation of the strategic decision outlined in Part I. Halting capacity expansion did not erode asset utilization efficiency - on the contrary, each remaining unit of fixed assets is now generating more revenue and profit. HSG is demonstrably shifting from asset-scale-driven growth to operational efficiency-driven growth.</w:t>
      </w:r>
    </w:p>
    <w:p w14:paraId="4E3FCA7F" w14:textId="77777777" w:rsidR="00D20F81" w:rsidRPr="003444A2" w:rsidRDefault="00D20F81" w:rsidP="00D20F81">
      <w:pPr>
        <w:rPr>
          <w:rFonts w:cstheme="majorHAnsi"/>
        </w:rPr>
      </w:pPr>
      <w:r w:rsidRPr="003444A2">
        <w:rPr>
          <w:rFonts w:cstheme="majorHAnsi"/>
          <w:b/>
          <w:bCs/>
        </w:rPr>
        <w:t>3. Financial Assets Efficiency</w:t>
      </w:r>
    </w:p>
    <w:p w14:paraId="004856DD" w14:textId="77777777" w:rsidR="00D20F81" w:rsidRPr="003444A2" w:rsidRDefault="00D20F81" w:rsidP="00D20F81">
      <w:pPr>
        <w:rPr>
          <w:rFonts w:cstheme="majorHAnsi"/>
        </w:rPr>
      </w:pPr>
      <w:r w:rsidRPr="003444A2">
        <w:rPr>
          <w:rFonts w:cstheme="majorHAnsi"/>
        </w:rPr>
        <w:t>Strategy: As established in Part I, HSG does not pursue speculative financial investment - virtually all long-term financial assets represent strategic investments in subsidiaries across the value chain (manufacturing, distribution, retail). The expectation is that the portfolio remains stable, with financial yield not being the primary performance metric - the real value lies in full value chain control and group-level margin improvement.</w:t>
      </w:r>
    </w:p>
    <w:p w14:paraId="7238FEE6" w14:textId="44E6B2D4" w:rsidR="00D20F81" w:rsidRPr="003444A2" w:rsidRDefault="004C5575" w:rsidP="00D20F81">
      <w:pPr>
        <w:rPr>
          <w:rFonts w:cstheme="majorHAnsi"/>
        </w:rPr>
      </w:pPr>
      <w:r>
        <w:rPr>
          <w:rFonts w:cstheme="majorHAnsi"/>
        </w:rPr>
        <w:object w:dxaOrig="10556" w:dyaOrig="3063" w14:anchorId="77BCE1F4">
          <v:shape id="_x0000_i1051" type="#_x0000_t75" style="width:466.95pt;height:153.15pt" o:ole="">
            <v:imagedata r:id="rId92" o:title=""/>
          </v:shape>
          <o:OLEObject Type="Link" ProgID="Excel.Sheet.12" ShapeID="_x0000_i1051" DrawAspect="Content" r:id="rId93" UpdateMode="Always">
            <o:LinkType>EnhancedMetaFile</o:LinkType>
            <o:LockedField>false</o:LockedField>
          </o:OLEObject>
        </w:object>
      </w:r>
    </w:p>
    <w:p w14:paraId="0F97BA9D" w14:textId="77777777" w:rsidR="00D20F81" w:rsidRPr="003444A2" w:rsidRDefault="00D20F81" w:rsidP="00D20F81">
      <w:pPr>
        <w:rPr>
          <w:rFonts w:cstheme="majorHAnsi"/>
        </w:rPr>
      </w:pPr>
      <w:r w:rsidRPr="003444A2">
        <w:rPr>
          <w:rFonts w:cstheme="majorHAnsi"/>
        </w:rPr>
        <w:lastRenderedPageBreak/>
        <w:t>Financial asset return ranged between 12.79% and 22.85%, remaining above inflation, cost of debt (Rd), and WACC throughout the period. The slight decline to 18.07% in 2024 partly reflects a normalization of financial income following the strong recovery in 2023. The financial asset portfolio held steady at approximately VND 3.4-3.6 trillion, with nearly the entire balance concentrated in subsidiary investments.</w:t>
      </w:r>
    </w:p>
    <w:p w14:paraId="4ADEE10A" w14:textId="77777777" w:rsidR="00D20F81" w:rsidRPr="003444A2" w:rsidRDefault="00D20F81" w:rsidP="00D20F81">
      <w:pPr>
        <w:rPr>
          <w:rFonts w:cstheme="majorHAnsi"/>
        </w:rPr>
      </w:pPr>
      <w:r w:rsidRPr="003444A2">
        <w:rPr>
          <w:rFonts w:cstheme="majorHAnsi"/>
        </w:rPr>
        <w:t>-&gt; The modest yield decline in 2024 should not be read as a negative signal, this is a strategic investment portfolio, not a speculative financial one. The true value of subsidiary investments is reflected indirectly through the improvement in group-level ROA and profit margins, rather than through yield figures alone. The portfolio's stability and concentration signal HSG's commitment to Value Chain Control (fully consistent with the Vertical Integration strategy)</w:t>
      </w:r>
    </w:p>
    <w:p w14:paraId="2C94CB19" w14:textId="23F52247" w:rsidR="00D20F81" w:rsidRPr="003444A2" w:rsidRDefault="00D20F81" w:rsidP="00D20F81">
      <w:pPr>
        <w:pStyle w:val="Heading1"/>
        <w:rPr>
          <w:rFonts w:cstheme="majorHAnsi"/>
        </w:rPr>
      </w:pPr>
      <w:bookmarkStart w:id="25" w:name="_Toc233984147"/>
      <w:r w:rsidRPr="003444A2">
        <w:rPr>
          <w:rFonts w:cstheme="majorHAnsi"/>
        </w:rPr>
        <w:t>PART 5. PROFIT SHARING</w:t>
      </w:r>
      <w:bookmarkEnd w:id="25"/>
    </w:p>
    <w:p w14:paraId="6CF5DDA2" w14:textId="76DD3682" w:rsidR="00D20F81" w:rsidRPr="003444A2" w:rsidRDefault="00D20F81" w:rsidP="00D20F81">
      <w:pPr>
        <w:rPr>
          <w:rFonts w:cstheme="majorHAnsi"/>
          <w:b/>
          <w:bCs/>
        </w:rPr>
      </w:pPr>
      <w:bookmarkStart w:id="26" w:name="_Toc233984148"/>
      <w:r w:rsidRPr="003444A2">
        <w:rPr>
          <w:rStyle w:val="Heading2Char"/>
          <w:rFonts w:cstheme="majorHAnsi"/>
        </w:rPr>
        <w:t>I. Internal Financing Capacity</w:t>
      </w:r>
      <w:bookmarkEnd w:id="26"/>
      <w:r w:rsidRPr="003444A2">
        <w:rPr>
          <w:rStyle w:val="Heading2Char"/>
          <w:rFonts w:cstheme="majorHAnsi"/>
        </w:rPr>
        <w:t xml:space="preserve"> </w:t>
      </w:r>
      <w:r w:rsidRPr="003444A2">
        <w:rPr>
          <w:rStyle w:val="Heading2Char"/>
          <w:rFonts w:cstheme="majorHAnsi"/>
        </w:rPr>
        <w:br/>
      </w:r>
      <w:r w:rsidRPr="003444A2">
        <w:rPr>
          <w:rFonts w:cstheme="majorHAnsi"/>
          <w:b/>
          <w:bCs/>
        </w:rPr>
        <w:t>1. Profit Recovery and Retained Earnings Growth</w:t>
      </w:r>
    </w:p>
    <w:p w14:paraId="6D45AA22" w14:textId="7DE7B082" w:rsidR="00930350" w:rsidRPr="003444A2" w:rsidRDefault="00B63451" w:rsidP="00D20F81">
      <w:pPr>
        <w:rPr>
          <w:rFonts w:cstheme="majorHAnsi"/>
        </w:rPr>
      </w:pPr>
      <w:r w:rsidRPr="003444A2">
        <w:rPr>
          <w:rFonts w:cstheme="majorHAnsi"/>
        </w:rPr>
        <w:object w:dxaOrig="8790" w:dyaOrig="910" w14:anchorId="210396DA">
          <v:shape id="_x0000_i1052" type="#_x0000_t75" style="width:451.55pt;height:48.7pt" o:ole="">
            <v:imagedata r:id="rId94" o:title=""/>
          </v:shape>
          <o:OLEObject Type="Link" ProgID="Excel.Sheet.12" ShapeID="_x0000_i1052" DrawAspect="Content" r:id="rId95" UpdateMode="Always">
            <o:LinkType>EnhancedMetaFile</o:LinkType>
            <o:LockedField>false</o:LockedField>
            <o:FieldCodes>\* MERGEFORMAT</o:FieldCodes>
          </o:OLEObject>
        </w:object>
      </w:r>
    </w:p>
    <w:p w14:paraId="69682BCC" w14:textId="5B4E7E07" w:rsidR="00D20F81" w:rsidRPr="003444A2" w:rsidRDefault="00D20F81" w:rsidP="00D20F81">
      <w:pPr>
        <w:rPr>
          <w:rFonts w:cstheme="majorHAnsi"/>
        </w:rPr>
      </w:pPr>
      <w:r w:rsidRPr="003444A2">
        <w:rPr>
          <w:rFonts w:cstheme="majorHAnsi"/>
        </w:rPr>
        <w:t>HSG's profitability recovered strongly during FY2022–FY2024, leading to a continuous increase in retained earnings. This indicates that the company was able to accumulate more internally generated funds and gradually strengthen its internal financing capacity. As a result, HSG strengthened its internal financing capacity and gained greater financial flexibility to support future operations, investments, and shareholder distributions.</w:t>
      </w:r>
    </w:p>
    <w:p w14:paraId="2DE8A0DA" w14:textId="7C34841C" w:rsidR="00D20F81" w:rsidRPr="003444A2" w:rsidRDefault="00D20F81" w:rsidP="00D20F81">
      <w:pPr>
        <w:rPr>
          <w:rFonts w:cstheme="majorHAnsi"/>
        </w:rPr>
      </w:pPr>
      <w:r w:rsidRPr="003444A2">
        <w:rPr>
          <w:rFonts w:cstheme="majorHAnsi"/>
          <w:b/>
          <w:bCs/>
        </w:rPr>
        <w:t>2. Retention and Sustainable Growth </w:t>
      </w:r>
    </w:p>
    <w:p w14:paraId="3E65D791" w14:textId="558B060B" w:rsidR="00D20F81" w:rsidRPr="003444A2" w:rsidRDefault="00B63451" w:rsidP="00D20F81">
      <w:pPr>
        <w:rPr>
          <w:rFonts w:cstheme="majorHAnsi"/>
        </w:rPr>
      </w:pPr>
      <w:r w:rsidRPr="003444A2">
        <w:rPr>
          <w:rFonts w:cstheme="majorHAnsi"/>
        </w:rPr>
        <w:object w:dxaOrig="6660" w:dyaOrig="2360" w14:anchorId="7DF7FCF7">
          <v:shape id="_x0000_i1053" type="#_x0000_t75" style="width:342.5pt;height:124pt" o:ole="">
            <v:imagedata r:id="rId96" o:title=""/>
          </v:shape>
          <o:OLEObject Type="Link" ProgID="Excel.Sheet.12" ShapeID="_x0000_i1053" DrawAspect="Content" r:id="rId97" UpdateMode="Always">
            <o:LinkType>EnhancedMetaFile</o:LinkType>
            <o:LockedField>false</o:LockedField>
            <o:FieldCodes>\* MERGEFORMAT</o:FieldCodes>
          </o:OLEObject>
        </w:object>
      </w:r>
    </w:p>
    <w:p w14:paraId="3396CAB3" w14:textId="7D865679" w:rsidR="00D20F81" w:rsidRPr="003444A2" w:rsidRDefault="00B63451" w:rsidP="00D20F81">
      <w:pPr>
        <w:rPr>
          <w:rFonts w:cstheme="majorHAnsi"/>
        </w:rPr>
      </w:pPr>
      <w:r w:rsidRPr="003444A2">
        <w:rPr>
          <w:rFonts w:cstheme="majorHAnsi"/>
        </w:rPr>
        <w:object w:dxaOrig="8790" w:dyaOrig="2660" w14:anchorId="2ACCBDC3">
          <v:shape id="_x0000_i1054" type="#_x0000_t75" style="width:451.55pt;height:139.85pt" o:ole="">
            <v:imagedata r:id="rId98" o:title=""/>
          </v:shape>
          <o:OLEObject Type="Link" ProgID="Excel.Sheet.12" ShapeID="_x0000_i1054" DrawAspect="Content" r:id="rId99" UpdateMode="Always">
            <o:LinkType>EnhancedMetaFile</o:LinkType>
            <o:LockedField>false</o:LockedField>
            <o:FieldCodes>\* MERGEFORMAT</o:FieldCodes>
          </o:OLEObject>
        </w:object>
      </w:r>
    </w:p>
    <w:p w14:paraId="3790CE32" w14:textId="282C94AA" w:rsidR="00D20F81" w:rsidRPr="003444A2" w:rsidRDefault="00B63451" w:rsidP="00D20F81">
      <w:pPr>
        <w:rPr>
          <w:rFonts w:cstheme="majorHAnsi"/>
        </w:rPr>
      </w:pPr>
      <w:r w:rsidRPr="003444A2">
        <w:rPr>
          <w:rFonts w:cstheme="majorHAnsi"/>
        </w:rPr>
        <w:object w:dxaOrig="6660" w:dyaOrig="1190" w14:anchorId="5C437C19">
          <v:shape id="_x0000_i1055" type="#_x0000_t75" style="width:342.5pt;height:62.85pt" o:ole="">
            <v:imagedata r:id="rId100" o:title=""/>
          </v:shape>
          <o:OLEObject Type="Link" ProgID="Excel.Sheet.12" ShapeID="_x0000_i1055" DrawAspect="Content" r:id="rId101" UpdateMode="Always">
            <o:LinkType>EnhancedMetaFile</o:LinkType>
            <o:LockedField>false</o:LockedField>
            <o:FieldCodes>\* MERGEFORMAT</o:FieldCodes>
          </o:OLEObject>
        </w:object>
      </w:r>
    </w:p>
    <w:p w14:paraId="32AA3E21" w14:textId="05BD167E" w:rsidR="00D20F81" w:rsidRPr="003444A2" w:rsidRDefault="00D20F81" w:rsidP="00D20F81">
      <w:pPr>
        <w:rPr>
          <w:rFonts w:cstheme="majorHAnsi"/>
        </w:rPr>
      </w:pPr>
      <w:r w:rsidRPr="003444A2">
        <w:rPr>
          <w:rFonts w:cstheme="majorHAnsi"/>
        </w:rPr>
        <w:t>In FY2023, the retention ratio was negative because cash dividend payments exceeded current-year earnings, resulting in a negative sustainable growth rate. This indicates that the company was unable to support growth through internally generated earnings during that period.</w:t>
      </w:r>
    </w:p>
    <w:p w14:paraId="4CEB728F" w14:textId="42149E0A" w:rsidR="00D20F81" w:rsidRPr="003444A2" w:rsidRDefault="00D20F81" w:rsidP="00D20F81">
      <w:pPr>
        <w:rPr>
          <w:rFonts w:cstheme="majorHAnsi"/>
        </w:rPr>
      </w:pPr>
      <w:r w:rsidRPr="003444A2">
        <w:rPr>
          <w:rFonts w:cstheme="majorHAnsi"/>
        </w:rPr>
        <w:t>Although earnings retention improved significantly in FY2024, the sustainable growth rate remained relatively low. The main reason lies in the company's modest return on equity, which limits the effectiveness of retained earnings in generating future growth. Therefore, HSG's growth constraint appears to stem more from profitability and capital efficiency than from an insufficient earnings retention policy. </w:t>
      </w:r>
    </w:p>
    <w:p w14:paraId="55266D6C" w14:textId="13685F9C" w:rsidR="00D20F81" w:rsidRPr="003444A2" w:rsidRDefault="00D20F81" w:rsidP="00930350">
      <w:pPr>
        <w:pStyle w:val="Heading2"/>
        <w:rPr>
          <w:rFonts w:cstheme="majorHAnsi"/>
        </w:rPr>
      </w:pPr>
      <w:bookmarkStart w:id="27" w:name="_Toc233984149"/>
      <w:r w:rsidRPr="003444A2">
        <w:rPr>
          <w:rFonts w:cstheme="majorHAnsi"/>
        </w:rPr>
        <w:t>II. Dividend Policy Evolution</w:t>
      </w:r>
      <w:bookmarkEnd w:id="27"/>
      <w:r w:rsidRPr="003444A2">
        <w:rPr>
          <w:rFonts w:cstheme="majorHAnsi"/>
        </w:rPr>
        <w:t> </w:t>
      </w:r>
    </w:p>
    <w:p w14:paraId="2F44186A" w14:textId="170F6147" w:rsidR="00930350" w:rsidRPr="003444A2" w:rsidRDefault="00B63451" w:rsidP="00930350">
      <w:pPr>
        <w:rPr>
          <w:rFonts w:cstheme="majorHAnsi"/>
        </w:rPr>
      </w:pPr>
      <w:r w:rsidRPr="003444A2">
        <w:rPr>
          <w:rFonts w:cstheme="majorHAnsi"/>
        </w:rPr>
        <w:object w:dxaOrig="6660" w:dyaOrig="1470" w14:anchorId="7382338A">
          <v:shape id="_x0000_i1056" type="#_x0000_t75" style="width:342.5pt;height:77.85pt" o:ole="">
            <v:imagedata r:id="rId102" o:title=""/>
          </v:shape>
          <o:OLEObject Type="Link" ProgID="Excel.Sheet.12" ShapeID="_x0000_i1056" DrawAspect="Content" r:id="rId103" UpdateMode="Always">
            <o:LinkType>EnhancedMetaFile</o:LinkType>
            <o:LockedField>false</o:LockedField>
            <o:FieldCodes>\* MERGEFORMAT</o:FieldCodes>
          </o:OLEObject>
        </w:object>
      </w:r>
    </w:p>
    <w:p w14:paraId="1F7E695F" w14:textId="77777777" w:rsidR="00D20F81" w:rsidRPr="003444A2" w:rsidRDefault="00D20F81" w:rsidP="00D20F81">
      <w:pPr>
        <w:rPr>
          <w:rFonts w:cstheme="majorHAnsi"/>
        </w:rPr>
      </w:pPr>
      <w:r w:rsidRPr="003444A2">
        <w:rPr>
          <w:rFonts w:cstheme="majorHAnsi"/>
        </w:rPr>
        <w:t>HSG's distribution policy evolved significantly during the FY2022–FY2024 period. The company initially distributed stock dividends in FY2021-22, allowing shareholders to receive additional shares while preserving cash resources within the business. As profitability recovered and retained earnings increased, HSG transitioned to a cash dividend policy and maintained a stable cash dividend rate in the following years.</w:t>
      </w:r>
    </w:p>
    <w:p w14:paraId="4F9D1895" w14:textId="77777777" w:rsidR="00D20F81" w:rsidRPr="003444A2" w:rsidRDefault="00D20F81" w:rsidP="00D20F81">
      <w:pPr>
        <w:rPr>
          <w:rFonts w:cstheme="majorHAnsi"/>
        </w:rPr>
      </w:pPr>
      <w:r w:rsidRPr="003444A2">
        <w:rPr>
          <w:rFonts w:cstheme="majorHAnsi"/>
        </w:rPr>
        <w:t>This transition reflects an improvement in the company's internal financing capacity and financial flexibility. With stronger profitability and higher retained earnings, HSG became capable of distributing cash dividends while continuing to retain funds for future operations and growth. The shift from stock dividends to cash dividends may also be interpreted by investors as a positive signal regarding the company's financial stability and cash-generating ability.</w:t>
      </w:r>
    </w:p>
    <w:p w14:paraId="58C4F960" w14:textId="3D924427" w:rsidR="00D20F81" w:rsidRPr="003444A2" w:rsidRDefault="00D20F81" w:rsidP="00930350">
      <w:pPr>
        <w:pStyle w:val="Heading2"/>
        <w:rPr>
          <w:rFonts w:cstheme="majorHAnsi"/>
        </w:rPr>
      </w:pPr>
      <w:bookmarkStart w:id="28" w:name="_Toc233984150"/>
      <w:r w:rsidRPr="003444A2">
        <w:rPr>
          <w:rFonts w:cstheme="majorHAnsi"/>
        </w:rPr>
        <w:t>III. Policy Assessment</w:t>
      </w:r>
      <w:bookmarkEnd w:id="28"/>
    </w:p>
    <w:p w14:paraId="179FAB46" w14:textId="77777777" w:rsidR="00D20F81" w:rsidRPr="003444A2" w:rsidRDefault="00D20F81" w:rsidP="00D20F81">
      <w:pPr>
        <w:rPr>
          <w:rFonts w:cstheme="majorHAnsi"/>
        </w:rPr>
      </w:pPr>
      <w:r w:rsidRPr="003444A2">
        <w:rPr>
          <w:rFonts w:cstheme="majorHAnsi"/>
        </w:rPr>
        <w:t>Overall, HSG's profit distribution policy appears prudent and sustainable. The company maintained a moderate level of shareholder distribution while preserving a significant portion of earnings within the business. This approach helps balance shareholder returns with the need to maintain financial flexibility and support future business activities.</w:t>
      </w:r>
    </w:p>
    <w:p w14:paraId="426A2930" w14:textId="0ABB140F" w:rsidR="003652A0" w:rsidRPr="003444A2" w:rsidRDefault="00D20F81" w:rsidP="00D20F81">
      <w:pPr>
        <w:rPr>
          <w:rFonts w:cstheme="majorHAnsi"/>
        </w:rPr>
      </w:pPr>
      <w:r w:rsidRPr="003444A2">
        <w:rPr>
          <w:rFonts w:cstheme="majorHAnsi"/>
        </w:rPr>
        <w:t>Such a policy is particularly appropriate for the steel industry, where earnings are highly cyclical and capital requirements remain substantial. By avoiding an overly aggressive payout strategy, HSG reduces the risk of weakening its financial position during periods of market volatility while still providing consistent returns to shareholders.</w:t>
      </w:r>
    </w:p>
    <w:p w14:paraId="7A9EE9F1" w14:textId="09EF6BFE" w:rsidR="00930350" w:rsidRPr="003444A2" w:rsidRDefault="00930350" w:rsidP="00930350">
      <w:pPr>
        <w:pStyle w:val="Heading1"/>
        <w:rPr>
          <w:rFonts w:cstheme="majorHAnsi"/>
        </w:rPr>
      </w:pPr>
      <w:bookmarkStart w:id="29" w:name="_Toc233984151"/>
      <w:r w:rsidRPr="003444A2">
        <w:rPr>
          <w:rFonts w:cstheme="majorHAnsi"/>
        </w:rPr>
        <w:t>PART 6. OVERALL ASSESSMENT</w:t>
      </w:r>
      <w:bookmarkEnd w:id="29"/>
    </w:p>
    <w:tbl>
      <w:tblPr>
        <w:tblW w:w="0" w:type="auto"/>
        <w:tblCellMar>
          <w:top w:w="15" w:type="dxa"/>
          <w:left w:w="15" w:type="dxa"/>
          <w:bottom w:w="15" w:type="dxa"/>
          <w:right w:w="15" w:type="dxa"/>
        </w:tblCellMar>
        <w:tblLook w:val="04A0" w:firstRow="1" w:lastRow="0" w:firstColumn="1" w:lastColumn="0" w:noHBand="0" w:noVBand="1"/>
      </w:tblPr>
      <w:tblGrid>
        <w:gridCol w:w="3512"/>
        <w:gridCol w:w="977"/>
        <w:gridCol w:w="977"/>
        <w:gridCol w:w="977"/>
      </w:tblGrid>
      <w:tr w:rsidR="00930350" w:rsidRPr="003444A2" w14:paraId="33C59A79" w14:textId="77777777">
        <w:trPr>
          <w:trHeight w:val="4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3D81BC76" w14:textId="77777777" w:rsidR="00930350" w:rsidRPr="003444A2" w:rsidRDefault="00930350" w:rsidP="00930350">
            <w:pPr>
              <w:rPr>
                <w:rFonts w:cstheme="majorHAnsi"/>
              </w:rPr>
            </w:pPr>
            <w:r w:rsidRPr="003444A2">
              <w:rPr>
                <w:rFonts w:cstheme="majorHAnsi"/>
              </w:rPr>
              <w:t>Hoa Phat Group</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3527C2B9" w14:textId="77777777" w:rsidR="00930350" w:rsidRPr="003444A2" w:rsidRDefault="00930350" w:rsidP="00930350">
            <w:pPr>
              <w:rPr>
                <w:rFonts w:cstheme="majorHAnsi"/>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51661477" w14:textId="77777777" w:rsidR="00930350" w:rsidRPr="003444A2" w:rsidRDefault="00930350" w:rsidP="00930350">
            <w:pPr>
              <w:rPr>
                <w:rFonts w:cstheme="majorHAnsi"/>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542BEA3A" w14:textId="77777777" w:rsidR="00930350" w:rsidRPr="003444A2" w:rsidRDefault="00930350" w:rsidP="00930350">
            <w:pPr>
              <w:rPr>
                <w:rFonts w:cstheme="majorHAnsi"/>
              </w:rPr>
            </w:pPr>
          </w:p>
        </w:tc>
      </w:tr>
      <w:tr w:rsidR="00930350" w:rsidRPr="003444A2" w14:paraId="7E68B2A5" w14:textId="77777777">
        <w:trPr>
          <w:trHeight w:val="4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3EC3E0E9" w14:textId="77777777" w:rsidR="00930350" w:rsidRPr="003444A2" w:rsidRDefault="00930350" w:rsidP="00930350">
            <w:pPr>
              <w:rPr>
                <w:rFonts w:cstheme="majorHAnsi"/>
              </w:rPr>
            </w:pPr>
            <w:r w:rsidRPr="003444A2">
              <w:rPr>
                <w:rFonts w:cstheme="majorHAnsi"/>
              </w:rPr>
              <w:t>Fiscal Year</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7B981306" w14:textId="77777777" w:rsidR="00930350" w:rsidRPr="003444A2" w:rsidRDefault="00930350" w:rsidP="00930350">
            <w:pPr>
              <w:rPr>
                <w:rFonts w:cstheme="majorHAnsi"/>
              </w:rPr>
            </w:pPr>
            <w:r w:rsidRPr="003444A2">
              <w:rPr>
                <w:rFonts w:cstheme="majorHAnsi"/>
              </w:rPr>
              <w:t>FY 2024</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141EB8DB" w14:textId="77777777" w:rsidR="00930350" w:rsidRPr="003444A2" w:rsidRDefault="00930350" w:rsidP="00930350">
            <w:pPr>
              <w:rPr>
                <w:rFonts w:cstheme="majorHAnsi"/>
              </w:rPr>
            </w:pPr>
            <w:r w:rsidRPr="003444A2">
              <w:rPr>
                <w:rFonts w:cstheme="majorHAnsi"/>
              </w:rPr>
              <w:t>FY 2023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79A65DC8" w14:textId="77777777" w:rsidR="00930350" w:rsidRPr="003444A2" w:rsidRDefault="00930350" w:rsidP="00930350">
            <w:pPr>
              <w:rPr>
                <w:rFonts w:cstheme="majorHAnsi"/>
              </w:rPr>
            </w:pPr>
            <w:r w:rsidRPr="003444A2">
              <w:rPr>
                <w:rFonts w:cstheme="majorHAnsi"/>
              </w:rPr>
              <w:t>FY 2022</w:t>
            </w:r>
          </w:p>
        </w:tc>
      </w:tr>
      <w:tr w:rsidR="00930350" w:rsidRPr="003444A2" w14:paraId="0C723FE0" w14:textId="77777777">
        <w:trPr>
          <w:trHeight w:val="4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119A60DA" w14:textId="77777777" w:rsidR="00930350" w:rsidRPr="003444A2" w:rsidRDefault="00930350" w:rsidP="00930350">
            <w:pPr>
              <w:rPr>
                <w:rFonts w:cstheme="majorHAnsi"/>
              </w:rPr>
            </w:pPr>
            <w:r w:rsidRPr="003444A2">
              <w:rPr>
                <w:rFonts w:cstheme="majorHAnsi"/>
              </w:rPr>
              <w:lastRenderedPageBreak/>
              <w:t>Return on Equity (ROE)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A8236E0" w14:textId="77777777" w:rsidR="00930350" w:rsidRPr="003444A2" w:rsidRDefault="00930350" w:rsidP="00930350">
            <w:pPr>
              <w:rPr>
                <w:rFonts w:cstheme="majorHAnsi"/>
              </w:rPr>
            </w:pPr>
            <w:r w:rsidRPr="003444A2">
              <w:rPr>
                <w:rFonts w:cstheme="majorHAnsi"/>
              </w:rPr>
              <w:t>11,05%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20802B9C" w14:textId="77777777" w:rsidR="00930350" w:rsidRPr="003444A2" w:rsidRDefault="00930350" w:rsidP="00930350">
            <w:pPr>
              <w:rPr>
                <w:rFonts w:cstheme="majorHAnsi"/>
              </w:rPr>
            </w:pPr>
            <w:r w:rsidRPr="003444A2">
              <w:rPr>
                <w:rFonts w:cstheme="majorHAnsi"/>
              </w:rPr>
              <w:t>6,84%</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7015B94A" w14:textId="77777777" w:rsidR="00930350" w:rsidRPr="003444A2" w:rsidRDefault="00930350" w:rsidP="00930350">
            <w:pPr>
              <w:rPr>
                <w:rFonts w:cstheme="majorHAnsi"/>
              </w:rPr>
            </w:pPr>
            <w:r w:rsidRPr="003444A2">
              <w:rPr>
                <w:rFonts w:cstheme="majorHAnsi"/>
              </w:rPr>
              <w:t>9,04%</w:t>
            </w:r>
          </w:p>
        </w:tc>
      </w:tr>
      <w:tr w:rsidR="00930350" w:rsidRPr="003444A2" w14:paraId="06E6D37F" w14:textId="77777777">
        <w:trPr>
          <w:trHeight w:val="4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16092EBF" w14:textId="77777777" w:rsidR="00930350" w:rsidRPr="003444A2" w:rsidRDefault="00930350" w:rsidP="00930350">
            <w:pPr>
              <w:rPr>
                <w:rFonts w:cstheme="majorHAnsi"/>
              </w:rPr>
            </w:pPr>
            <w:r w:rsidRPr="003444A2">
              <w:rPr>
                <w:rFonts w:cstheme="majorHAnsi"/>
              </w:rPr>
              <w:t>Return on Assets (ROA)</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79531BF7" w14:textId="410EB27C" w:rsidR="00930350" w:rsidRPr="003444A2" w:rsidRDefault="00930350" w:rsidP="00930350">
            <w:pPr>
              <w:rPr>
                <w:rFonts w:cstheme="majorHAnsi"/>
              </w:rPr>
            </w:pPr>
            <w:r w:rsidRPr="003444A2">
              <w:rPr>
                <w:rFonts w:cstheme="majorHAnsi"/>
              </w:rPr>
              <w:t>4,43%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0464D6FC" w14:textId="77777777" w:rsidR="00930350" w:rsidRPr="003444A2" w:rsidRDefault="00930350" w:rsidP="00930350">
            <w:pPr>
              <w:rPr>
                <w:rFonts w:cstheme="majorHAnsi"/>
              </w:rPr>
            </w:pPr>
            <w:r w:rsidRPr="003444A2">
              <w:rPr>
                <w:rFonts w:cstheme="majorHAnsi"/>
              </w:rPr>
              <w:t>3,38%</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2B982597" w14:textId="77777777" w:rsidR="00930350" w:rsidRPr="003444A2" w:rsidRDefault="00930350" w:rsidP="00930350">
            <w:pPr>
              <w:rPr>
                <w:rFonts w:cstheme="majorHAnsi"/>
              </w:rPr>
            </w:pPr>
            <w:r w:rsidRPr="003444A2">
              <w:rPr>
                <w:rFonts w:cstheme="majorHAnsi"/>
              </w:rPr>
              <w:t>4,69%</w:t>
            </w:r>
          </w:p>
        </w:tc>
      </w:tr>
      <w:tr w:rsidR="00930350" w:rsidRPr="003444A2" w14:paraId="623355E2" w14:textId="77777777">
        <w:trPr>
          <w:trHeight w:val="4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04C671B" w14:textId="77777777" w:rsidR="00930350" w:rsidRPr="003444A2" w:rsidRDefault="00930350" w:rsidP="00930350">
            <w:pPr>
              <w:rPr>
                <w:rFonts w:cstheme="majorHAnsi"/>
              </w:rPr>
            </w:pPr>
            <w:r w:rsidRPr="003444A2">
              <w:rPr>
                <w:rFonts w:cstheme="majorHAnsi"/>
              </w:rPr>
              <w:t>Return on Capital Employed (ROCE)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E1C6AF2" w14:textId="77777777" w:rsidR="00930350" w:rsidRPr="003444A2" w:rsidRDefault="00930350" w:rsidP="00930350">
            <w:pPr>
              <w:rPr>
                <w:rFonts w:cstheme="majorHAnsi"/>
              </w:rPr>
            </w:pPr>
            <w:r w:rsidRPr="003444A2">
              <w:rPr>
                <w:rFonts w:cstheme="majorHAnsi"/>
              </w:rPr>
              <w:t>9,80%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533FB495" w14:textId="77777777" w:rsidR="00930350" w:rsidRPr="003444A2" w:rsidRDefault="00930350" w:rsidP="00930350">
            <w:pPr>
              <w:rPr>
                <w:rFonts w:cstheme="majorHAnsi"/>
              </w:rPr>
            </w:pPr>
            <w:r w:rsidRPr="003444A2">
              <w:rPr>
                <w:rFonts w:cstheme="majorHAnsi"/>
              </w:rPr>
              <w:t>8,30%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4DFF9CE8" w14:textId="77777777" w:rsidR="00930350" w:rsidRPr="003444A2" w:rsidRDefault="00930350" w:rsidP="00930350">
            <w:pPr>
              <w:rPr>
                <w:rFonts w:cstheme="majorHAnsi"/>
              </w:rPr>
            </w:pPr>
            <w:r w:rsidRPr="003444A2">
              <w:rPr>
                <w:rFonts w:cstheme="majorHAnsi"/>
              </w:rPr>
              <w:t>12,10%</w:t>
            </w:r>
          </w:p>
        </w:tc>
      </w:tr>
      <w:tr w:rsidR="00930350" w:rsidRPr="003444A2" w14:paraId="180F6005" w14:textId="77777777">
        <w:trPr>
          <w:trHeight w:val="4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672A4A1" w14:textId="77777777" w:rsidR="00930350" w:rsidRPr="003444A2" w:rsidRDefault="00930350" w:rsidP="00930350">
            <w:pPr>
              <w:rPr>
                <w:rFonts w:cstheme="majorHAnsi"/>
              </w:rPr>
            </w:pPr>
            <w:r w:rsidRPr="003444A2">
              <w:rPr>
                <w:rFonts w:cstheme="majorHAnsi"/>
              </w:rPr>
              <w:t>Nam Kim</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5722930C" w14:textId="77777777" w:rsidR="00930350" w:rsidRPr="003444A2" w:rsidRDefault="00930350" w:rsidP="00930350">
            <w:pPr>
              <w:rPr>
                <w:rFonts w:cstheme="majorHAnsi"/>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470160A" w14:textId="77777777" w:rsidR="00930350" w:rsidRPr="003444A2" w:rsidRDefault="00930350" w:rsidP="00930350">
            <w:pPr>
              <w:rPr>
                <w:rFonts w:cstheme="majorHAnsi"/>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3B0A5FF0" w14:textId="77777777" w:rsidR="00930350" w:rsidRPr="003444A2" w:rsidRDefault="00930350" w:rsidP="00930350">
            <w:pPr>
              <w:rPr>
                <w:rFonts w:cstheme="majorHAnsi"/>
              </w:rPr>
            </w:pPr>
          </w:p>
        </w:tc>
      </w:tr>
      <w:tr w:rsidR="00930350" w:rsidRPr="003444A2" w14:paraId="08EDB498" w14:textId="77777777">
        <w:trPr>
          <w:trHeight w:val="4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20E34D86" w14:textId="77777777" w:rsidR="00930350" w:rsidRPr="003444A2" w:rsidRDefault="00930350" w:rsidP="00930350">
            <w:pPr>
              <w:rPr>
                <w:rFonts w:cstheme="majorHAnsi"/>
              </w:rPr>
            </w:pPr>
            <w:r w:rsidRPr="003444A2">
              <w:rPr>
                <w:rFonts w:cstheme="majorHAnsi"/>
              </w:rPr>
              <w:t>Fiscal Year</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4B21DFE0" w14:textId="77777777" w:rsidR="00930350" w:rsidRPr="003444A2" w:rsidRDefault="00930350" w:rsidP="00930350">
            <w:pPr>
              <w:rPr>
                <w:rFonts w:cstheme="majorHAnsi"/>
              </w:rPr>
            </w:pPr>
            <w:r w:rsidRPr="003444A2">
              <w:rPr>
                <w:rFonts w:cstheme="majorHAnsi"/>
              </w:rPr>
              <w:t>FY 2024</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D96782D" w14:textId="77777777" w:rsidR="00930350" w:rsidRPr="003444A2" w:rsidRDefault="00930350" w:rsidP="00930350">
            <w:pPr>
              <w:rPr>
                <w:rFonts w:cstheme="majorHAnsi"/>
              </w:rPr>
            </w:pPr>
            <w:r w:rsidRPr="003444A2">
              <w:rPr>
                <w:rFonts w:cstheme="majorHAnsi"/>
              </w:rPr>
              <w:t>FY 2023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408D5474" w14:textId="77777777" w:rsidR="00930350" w:rsidRPr="003444A2" w:rsidRDefault="00930350" w:rsidP="00930350">
            <w:pPr>
              <w:rPr>
                <w:rFonts w:cstheme="majorHAnsi"/>
              </w:rPr>
            </w:pPr>
            <w:r w:rsidRPr="003444A2">
              <w:rPr>
                <w:rFonts w:cstheme="majorHAnsi"/>
              </w:rPr>
              <w:t>FY 2022</w:t>
            </w:r>
          </w:p>
        </w:tc>
      </w:tr>
      <w:tr w:rsidR="00930350" w:rsidRPr="003444A2" w14:paraId="75554A98" w14:textId="77777777">
        <w:trPr>
          <w:trHeight w:val="4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2235E584" w14:textId="77777777" w:rsidR="00930350" w:rsidRPr="003444A2" w:rsidRDefault="00930350" w:rsidP="00930350">
            <w:pPr>
              <w:rPr>
                <w:rFonts w:cstheme="majorHAnsi"/>
              </w:rPr>
            </w:pPr>
            <w:r w:rsidRPr="003444A2">
              <w:rPr>
                <w:rFonts w:cstheme="majorHAnsi"/>
              </w:rPr>
              <w:t>Return on Equity (ROE)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08B2B892" w14:textId="77777777" w:rsidR="00930350" w:rsidRPr="003444A2" w:rsidRDefault="00930350" w:rsidP="00930350">
            <w:pPr>
              <w:rPr>
                <w:rFonts w:cstheme="majorHAnsi"/>
              </w:rPr>
            </w:pPr>
            <w:r w:rsidRPr="003444A2">
              <w:rPr>
                <w:rFonts w:cstheme="majorHAnsi"/>
              </w:rPr>
              <w:t>8,02%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4B5F74AE" w14:textId="77777777" w:rsidR="00930350" w:rsidRPr="003444A2" w:rsidRDefault="00930350" w:rsidP="00930350">
            <w:pPr>
              <w:rPr>
                <w:rFonts w:cstheme="majorHAnsi"/>
              </w:rPr>
            </w:pPr>
            <w:r w:rsidRPr="003444A2">
              <w:rPr>
                <w:rFonts w:cstheme="majorHAnsi"/>
              </w:rPr>
              <w:t>2,19%</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280C2788" w14:textId="77777777" w:rsidR="00930350" w:rsidRPr="003444A2" w:rsidRDefault="00930350" w:rsidP="00930350">
            <w:pPr>
              <w:rPr>
                <w:rFonts w:cstheme="majorHAnsi"/>
              </w:rPr>
            </w:pPr>
            <w:r w:rsidRPr="003444A2">
              <w:rPr>
                <w:rFonts w:cstheme="majorHAnsi"/>
              </w:rPr>
              <w:t>-2,26%</w:t>
            </w:r>
          </w:p>
        </w:tc>
      </w:tr>
      <w:tr w:rsidR="00930350" w:rsidRPr="003444A2" w14:paraId="5A39C10E" w14:textId="77777777">
        <w:trPr>
          <w:trHeight w:val="42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41BA047" w14:textId="77777777" w:rsidR="00930350" w:rsidRPr="003444A2" w:rsidRDefault="00930350" w:rsidP="00930350">
            <w:pPr>
              <w:rPr>
                <w:rFonts w:cstheme="majorHAnsi"/>
              </w:rPr>
            </w:pPr>
            <w:r w:rsidRPr="003444A2">
              <w:rPr>
                <w:rFonts w:cstheme="majorHAnsi"/>
              </w:rPr>
              <w:t>Return on Assets (ROA)</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12E0B5C3" w14:textId="77777777" w:rsidR="00930350" w:rsidRPr="003444A2" w:rsidRDefault="00930350" w:rsidP="00930350">
            <w:pPr>
              <w:rPr>
                <w:rFonts w:cstheme="majorHAnsi"/>
              </w:rPr>
            </w:pPr>
            <w:r w:rsidRPr="003444A2">
              <w:rPr>
                <w:rFonts w:cstheme="majorHAnsi"/>
              </w:rPr>
              <w:t>3,37%</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51A9B7E1" w14:textId="77777777" w:rsidR="00930350" w:rsidRPr="003444A2" w:rsidRDefault="00930350" w:rsidP="00930350">
            <w:pPr>
              <w:rPr>
                <w:rFonts w:cstheme="majorHAnsi"/>
              </w:rPr>
            </w:pPr>
            <w:r w:rsidRPr="003444A2">
              <w:rPr>
                <w:rFonts w:cstheme="majorHAnsi"/>
              </w:rPr>
              <w:t>1,81%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77001BDC" w14:textId="77777777" w:rsidR="00930350" w:rsidRPr="003444A2" w:rsidRDefault="00930350" w:rsidP="00930350">
            <w:pPr>
              <w:rPr>
                <w:rFonts w:cstheme="majorHAnsi"/>
              </w:rPr>
            </w:pPr>
            <w:r w:rsidRPr="003444A2">
              <w:rPr>
                <w:rFonts w:cstheme="majorHAnsi"/>
              </w:rPr>
              <w:t>0,40%</w:t>
            </w:r>
          </w:p>
        </w:tc>
      </w:tr>
      <w:tr w:rsidR="00930350" w:rsidRPr="003444A2" w14:paraId="4C4824BA" w14:textId="77777777">
        <w:trPr>
          <w:trHeight w:val="42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74B012EB" w14:textId="77777777" w:rsidR="00930350" w:rsidRPr="003444A2" w:rsidRDefault="00930350" w:rsidP="00930350">
            <w:pPr>
              <w:rPr>
                <w:rFonts w:cstheme="majorHAnsi"/>
              </w:rPr>
            </w:pPr>
            <w:r w:rsidRPr="003444A2">
              <w:rPr>
                <w:rFonts w:cstheme="majorHAnsi"/>
              </w:rPr>
              <w:t>Return on Capital Employed (ROCE)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21D2C399" w14:textId="77777777" w:rsidR="00930350" w:rsidRPr="003444A2" w:rsidRDefault="00930350" w:rsidP="00930350">
            <w:pPr>
              <w:rPr>
                <w:rFonts w:cstheme="majorHAnsi"/>
              </w:rPr>
            </w:pPr>
            <w:r w:rsidRPr="003444A2">
              <w:rPr>
                <w:rFonts w:cstheme="majorHAnsi"/>
              </w:rPr>
              <w:t>11,80%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2DA692BC" w14:textId="77777777" w:rsidR="00930350" w:rsidRPr="003444A2" w:rsidRDefault="00930350" w:rsidP="00930350">
            <w:pPr>
              <w:rPr>
                <w:rFonts w:cstheme="majorHAnsi"/>
              </w:rPr>
            </w:pPr>
            <w:r w:rsidRPr="003444A2">
              <w:rPr>
                <w:rFonts w:cstheme="majorHAnsi"/>
              </w:rPr>
              <w:t>6,80%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A57FB14" w14:textId="77777777" w:rsidR="00930350" w:rsidRPr="003444A2" w:rsidRDefault="00930350" w:rsidP="00930350">
            <w:pPr>
              <w:rPr>
                <w:rFonts w:cstheme="majorHAnsi"/>
              </w:rPr>
            </w:pPr>
            <w:r w:rsidRPr="003444A2">
              <w:rPr>
                <w:rFonts w:cstheme="majorHAnsi"/>
              </w:rPr>
              <w:t>1,70%</w:t>
            </w:r>
          </w:p>
        </w:tc>
      </w:tr>
    </w:tbl>
    <w:p w14:paraId="06B5D415" w14:textId="6DD97860" w:rsidR="00930350" w:rsidRPr="003444A2" w:rsidRDefault="00930350" w:rsidP="00930350">
      <w:pPr>
        <w:pStyle w:val="Heading2"/>
        <w:rPr>
          <w:rFonts w:cstheme="majorHAnsi"/>
        </w:rPr>
      </w:pPr>
      <w:bookmarkStart w:id="30" w:name="_Toc233984152"/>
      <w:r w:rsidRPr="003444A2">
        <w:rPr>
          <w:rFonts w:cstheme="majorHAnsi"/>
        </w:rPr>
        <w:t>I. Management-level Assessment</w:t>
      </w:r>
      <w:bookmarkEnd w:id="30"/>
    </w:p>
    <w:p w14:paraId="0895DB4F" w14:textId="2BD609DA" w:rsidR="00930350" w:rsidRPr="003444A2" w:rsidRDefault="00930350" w:rsidP="00930350">
      <w:pPr>
        <w:rPr>
          <w:rFonts w:cstheme="majorHAnsi"/>
          <w:b/>
          <w:bCs/>
        </w:rPr>
      </w:pPr>
      <w:r w:rsidRPr="003444A2">
        <w:rPr>
          <w:rFonts w:cstheme="majorHAnsi"/>
          <w:b/>
          <w:bCs/>
        </w:rPr>
        <w:t>1. Return on Assets (ROA)</w:t>
      </w:r>
    </w:p>
    <w:p w14:paraId="780B2995" w14:textId="77777777" w:rsidR="00930350" w:rsidRPr="003444A2" w:rsidRDefault="00930350" w:rsidP="00930350">
      <w:pPr>
        <w:rPr>
          <w:rFonts w:cstheme="majorHAnsi"/>
        </w:rPr>
      </w:pPr>
      <w:r w:rsidRPr="003444A2">
        <w:rPr>
          <w:rFonts w:cstheme="majorHAnsi"/>
        </w:rPr>
        <w:t>ROA evaluates whether HSG's investment decisions improved the company's ability to generate returns from its assets. The decomposition distinguishes the contribution of operating activities and financial activities to identify the primary source of the company's performance improvement.</w:t>
      </w:r>
    </w:p>
    <w:p w14:paraId="5F4728B2" w14:textId="77777777" w:rsidR="00930350" w:rsidRPr="003444A2" w:rsidRDefault="00930350" w:rsidP="00930350">
      <w:pPr>
        <w:rPr>
          <w:rFonts w:cstheme="majorHAnsi"/>
          <w:b/>
          <w:bCs/>
        </w:rPr>
      </w:pPr>
      <w:r w:rsidRPr="003444A2">
        <w:rPr>
          <w:rFonts w:cstheme="majorHAnsi"/>
          <w:b/>
          <w:bCs/>
        </w:rPr>
        <w:t>ROA1 – Operating Decomposition</w:t>
      </w:r>
    </w:p>
    <w:p w14:paraId="6301CD33" w14:textId="04C7A21D" w:rsidR="00930350" w:rsidRPr="003444A2" w:rsidRDefault="00B63451" w:rsidP="00930350">
      <w:pPr>
        <w:rPr>
          <w:rFonts w:cstheme="majorHAnsi"/>
          <w:b/>
          <w:bCs/>
        </w:rPr>
      </w:pPr>
      <w:r w:rsidRPr="003444A2">
        <w:rPr>
          <w:rFonts w:cstheme="majorHAnsi"/>
          <w:b/>
          <w:bCs/>
        </w:rPr>
        <w:object w:dxaOrig="7940" w:dyaOrig="1450" w14:anchorId="637615FA">
          <v:shape id="_x0000_i1057" type="#_x0000_t75" style="width:407.85pt;height:76.15pt" o:ole="">
            <v:imagedata r:id="rId104" o:title=""/>
          </v:shape>
          <o:OLEObject Type="Link" ProgID="Excel.Sheet.12" ShapeID="_x0000_i1057" DrawAspect="Content" r:id="rId105" UpdateMode="Always">
            <o:LinkType>EnhancedMetaFile</o:LinkType>
            <o:LockedField>false</o:LockedField>
            <o:FieldCodes>\* MERGEFORMAT</o:FieldCodes>
          </o:OLEObject>
        </w:object>
      </w:r>
    </w:p>
    <w:p w14:paraId="574C9FFC" w14:textId="77777777" w:rsidR="00930350" w:rsidRPr="003444A2" w:rsidRDefault="00930350" w:rsidP="00930350">
      <w:pPr>
        <w:rPr>
          <w:rFonts w:cstheme="majorHAnsi"/>
        </w:rPr>
      </w:pPr>
      <w:r w:rsidRPr="003444A2">
        <w:rPr>
          <w:rFonts w:cstheme="majorHAnsi"/>
          <w:b/>
          <w:bCs/>
        </w:rPr>
        <w:t>NI / Sales</w:t>
      </w:r>
    </w:p>
    <w:p w14:paraId="31A257FF" w14:textId="77777777" w:rsidR="00930350" w:rsidRPr="003444A2" w:rsidRDefault="00930350" w:rsidP="00930350">
      <w:pPr>
        <w:rPr>
          <w:rFonts w:cstheme="majorHAnsi"/>
        </w:rPr>
      </w:pPr>
      <w:r w:rsidRPr="003444A2">
        <w:rPr>
          <w:rFonts w:cstheme="majorHAnsi"/>
        </w:rPr>
        <w:t>Profitability was the main driver of ROA1 improvement, indicating that HSG generated stronger earnings from its core business activities. This suggests that the company's recovery was primarily supported by improved operating performance.</w:t>
      </w:r>
    </w:p>
    <w:p w14:paraId="3C16961F" w14:textId="77777777" w:rsidR="00930350" w:rsidRPr="003444A2" w:rsidRDefault="00930350" w:rsidP="00930350">
      <w:pPr>
        <w:rPr>
          <w:rFonts w:cstheme="majorHAnsi"/>
        </w:rPr>
      </w:pPr>
      <w:r w:rsidRPr="003444A2">
        <w:rPr>
          <w:rFonts w:cstheme="majorHAnsi"/>
          <w:b/>
          <w:bCs/>
        </w:rPr>
        <w:t>Sales / Average Operating Assets</w:t>
      </w:r>
    </w:p>
    <w:p w14:paraId="4989FDDA" w14:textId="77777777" w:rsidR="00930350" w:rsidRPr="003444A2" w:rsidRDefault="00930350" w:rsidP="00930350">
      <w:pPr>
        <w:rPr>
          <w:rFonts w:cstheme="majorHAnsi"/>
        </w:rPr>
      </w:pPr>
      <w:r w:rsidRPr="003444A2">
        <w:rPr>
          <w:rFonts w:cstheme="majorHAnsi"/>
        </w:rPr>
        <w:t>Higher operating asset turnover indicates more efficient utilization of operating assets. This reflects stronger operational efficiency rather than expansion of the operating asset base.</w:t>
      </w:r>
    </w:p>
    <w:p w14:paraId="4DDC5ED3" w14:textId="77777777" w:rsidR="00930350" w:rsidRPr="003444A2" w:rsidRDefault="00930350" w:rsidP="00930350">
      <w:pPr>
        <w:rPr>
          <w:rFonts w:cstheme="majorHAnsi"/>
        </w:rPr>
      </w:pPr>
      <w:r w:rsidRPr="003444A2">
        <w:rPr>
          <w:rFonts w:cstheme="majorHAnsi"/>
          <w:b/>
          <w:bCs/>
        </w:rPr>
        <w:t>Average Operating Assets / Average Total Assets</w:t>
      </w:r>
    </w:p>
    <w:p w14:paraId="1A2E9B32" w14:textId="77777777" w:rsidR="00930350" w:rsidRPr="003444A2" w:rsidRDefault="00930350" w:rsidP="00930350">
      <w:pPr>
        <w:rPr>
          <w:rFonts w:cstheme="majorHAnsi"/>
        </w:rPr>
      </w:pPr>
      <w:r w:rsidRPr="003444A2">
        <w:rPr>
          <w:rFonts w:cstheme="majorHAnsi"/>
        </w:rPr>
        <w:t>Changes in asset allocation made only a limited contribution to ROA1. The improvement therefore came mainly from better utilization of existing operating assets.</w:t>
      </w:r>
    </w:p>
    <w:p w14:paraId="09049F24" w14:textId="77777777" w:rsidR="00930350" w:rsidRPr="003444A2" w:rsidRDefault="00930350" w:rsidP="00930350">
      <w:pPr>
        <w:rPr>
          <w:rFonts w:cstheme="majorHAnsi"/>
        </w:rPr>
      </w:pPr>
      <w:r w:rsidRPr="003444A2">
        <w:rPr>
          <w:rFonts w:cstheme="majorHAnsi"/>
          <w:b/>
          <w:bCs/>
        </w:rPr>
        <w:t>ROA2 – Financial Decomposition</w:t>
      </w:r>
    </w:p>
    <w:p w14:paraId="73C1432F" w14:textId="2F3DA167" w:rsidR="00930350" w:rsidRPr="003444A2" w:rsidRDefault="00B63451" w:rsidP="00930350">
      <w:pPr>
        <w:rPr>
          <w:rFonts w:cstheme="majorHAnsi"/>
        </w:rPr>
      </w:pPr>
      <w:r w:rsidRPr="003444A2">
        <w:rPr>
          <w:rFonts w:cstheme="majorHAnsi"/>
        </w:rPr>
        <w:object w:dxaOrig="7940" w:dyaOrig="1170" w14:anchorId="33FB7433">
          <v:shape id="_x0000_i1058" type="#_x0000_t75" style="width:407.85pt;height:62pt" o:ole="">
            <v:imagedata r:id="rId106" o:title=""/>
          </v:shape>
          <o:OLEObject Type="Link" ProgID="Excel.Sheet.12" ShapeID="_x0000_i1058" DrawAspect="Content" r:id="rId107" UpdateMode="Always">
            <o:LinkType>EnhancedMetaFile</o:LinkType>
            <o:LockedField>false</o:LockedField>
            <o:FieldCodes>\* MERGEFORMAT</o:FieldCodes>
          </o:OLEObject>
        </w:object>
      </w:r>
    </w:p>
    <w:p w14:paraId="583B68CC" w14:textId="77777777" w:rsidR="00930350" w:rsidRPr="003444A2" w:rsidRDefault="00930350" w:rsidP="00930350">
      <w:pPr>
        <w:rPr>
          <w:rFonts w:cstheme="majorHAnsi"/>
        </w:rPr>
      </w:pPr>
      <w:r w:rsidRPr="003444A2">
        <w:rPr>
          <w:rFonts w:cstheme="majorHAnsi"/>
          <w:b/>
          <w:bCs/>
        </w:rPr>
        <w:t>NI / Financial Income</w:t>
      </w:r>
    </w:p>
    <w:p w14:paraId="7A303B4A" w14:textId="77777777" w:rsidR="00930350" w:rsidRPr="003444A2" w:rsidRDefault="00930350" w:rsidP="00930350">
      <w:pPr>
        <w:rPr>
          <w:rFonts w:cstheme="majorHAnsi"/>
        </w:rPr>
      </w:pPr>
      <w:r w:rsidRPr="003444A2">
        <w:rPr>
          <w:rFonts w:cstheme="majorHAnsi"/>
        </w:rPr>
        <w:t>This was the strongest positive contributor to ROA2, indicating that a larger proportion of financial income was translated into net profit. The result suggests lower financing-related costs together with improved overall profitability, which strengthened the contribution of financial activities to total earnings.</w:t>
      </w:r>
    </w:p>
    <w:p w14:paraId="275F7647" w14:textId="77777777" w:rsidR="00930350" w:rsidRPr="003444A2" w:rsidRDefault="00930350" w:rsidP="00930350">
      <w:pPr>
        <w:rPr>
          <w:rFonts w:cstheme="majorHAnsi"/>
        </w:rPr>
      </w:pPr>
      <w:r w:rsidRPr="003444A2">
        <w:rPr>
          <w:rFonts w:cstheme="majorHAnsi"/>
          <w:b/>
          <w:bCs/>
        </w:rPr>
        <w:t>Financial Income / Average Financial Assets</w:t>
      </w:r>
    </w:p>
    <w:p w14:paraId="144946F4" w14:textId="77777777" w:rsidR="00930350" w:rsidRPr="003444A2" w:rsidRDefault="00930350" w:rsidP="00930350">
      <w:pPr>
        <w:rPr>
          <w:rFonts w:cstheme="majorHAnsi"/>
        </w:rPr>
      </w:pPr>
      <w:r w:rsidRPr="003444A2">
        <w:rPr>
          <w:rFonts w:cstheme="majorHAnsi"/>
        </w:rPr>
        <w:t>This was the largest negative contributor to ROA2, indicating that returns generated from financial assets weakened during the period. Although overall profitability improved, financial assets were utilized less efficiently than operating assets. This suggests that financial investments remained one of the main weaknesses in HSG’s investment performance and limited the overall improvement in ROA.</w:t>
      </w:r>
    </w:p>
    <w:p w14:paraId="5A33CB37" w14:textId="77777777" w:rsidR="00930350" w:rsidRPr="003444A2" w:rsidRDefault="00930350" w:rsidP="00930350">
      <w:pPr>
        <w:rPr>
          <w:rFonts w:cstheme="majorHAnsi"/>
        </w:rPr>
      </w:pPr>
      <w:r w:rsidRPr="003444A2">
        <w:rPr>
          <w:rFonts w:cstheme="majorHAnsi"/>
          <w:b/>
          <w:bCs/>
        </w:rPr>
        <w:t>Average Financial Assets / Average Total Assets</w:t>
      </w:r>
    </w:p>
    <w:p w14:paraId="1007EF40" w14:textId="77777777" w:rsidR="00930350" w:rsidRPr="003444A2" w:rsidRDefault="00930350" w:rsidP="00930350">
      <w:pPr>
        <w:rPr>
          <w:rFonts w:cstheme="majorHAnsi"/>
        </w:rPr>
      </w:pPr>
      <w:r w:rsidRPr="003444A2">
        <w:rPr>
          <w:rFonts w:cstheme="majorHAnsi"/>
        </w:rPr>
        <w:t>The declining contribution indicates that a smaller proportion of total assets was allocated to financial investments. This is consistent with the company’s greater reliance on its core operating activities rather than financial assets to generate returns. However, the negative contribution also implies that the existing financial asset portfolio did not provide sufficient returns to justify further allocation of capital.</w:t>
      </w:r>
    </w:p>
    <w:p w14:paraId="1B721DCE" w14:textId="77777777" w:rsidR="00930350" w:rsidRPr="003444A2" w:rsidRDefault="00930350" w:rsidP="00930350">
      <w:pPr>
        <w:rPr>
          <w:rFonts w:cstheme="majorHAnsi"/>
          <w:b/>
          <w:bCs/>
        </w:rPr>
      </w:pPr>
      <w:r w:rsidRPr="003444A2">
        <w:rPr>
          <w:rFonts w:cstheme="majorHAnsi"/>
          <w:b/>
          <w:bCs/>
        </w:rPr>
        <w:t>ROA Conclusion</w:t>
      </w:r>
    </w:p>
    <w:p w14:paraId="03EE1A1E" w14:textId="77777777" w:rsidR="00930350" w:rsidRPr="003444A2" w:rsidRDefault="00930350" w:rsidP="00930350">
      <w:pPr>
        <w:rPr>
          <w:rFonts w:cstheme="majorHAnsi"/>
        </w:rPr>
      </w:pPr>
      <w:r w:rsidRPr="003444A2">
        <w:rPr>
          <w:rFonts w:cstheme="majorHAnsi"/>
        </w:rPr>
        <w:t>Overall, ROA improvement was driven mainly by stronger operating performance rather than financial investments. Operating assets generated higher returns through improved profitability and more efficient utilization, while financial investments continued to play a supporting role. This outcome is consistent with HSG's strategy of strengthening its production and distribution ecosystem instead of pursuing aggressive investment expansion.</w:t>
      </w:r>
    </w:p>
    <w:p w14:paraId="606C9FCD" w14:textId="77777777" w:rsidR="00930350" w:rsidRPr="003444A2" w:rsidRDefault="00930350" w:rsidP="00930350">
      <w:pPr>
        <w:rPr>
          <w:rFonts w:cstheme="majorHAnsi"/>
          <w:b/>
          <w:bCs/>
        </w:rPr>
      </w:pPr>
      <w:r w:rsidRPr="003444A2">
        <w:rPr>
          <w:rFonts w:cstheme="majorHAnsi"/>
          <w:b/>
          <w:bCs/>
        </w:rPr>
        <w:t>Qualitative Analysis</w:t>
      </w:r>
    </w:p>
    <w:p w14:paraId="423B7070" w14:textId="77777777" w:rsidR="00930350" w:rsidRPr="003444A2" w:rsidRDefault="00930350" w:rsidP="00930350">
      <w:pPr>
        <w:rPr>
          <w:rFonts w:cstheme="majorHAnsi"/>
        </w:rPr>
      </w:pPr>
      <w:r w:rsidRPr="003444A2">
        <w:rPr>
          <w:rFonts w:cstheme="majorHAnsi"/>
        </w:rPr>
        <w:t>The decomposition results are consistent with HSG’s business context during 2022–2024. Following the downturn of Vietnam’s steel industry, management prioritized restoring profitability and operational efficiency instead of aggressively expanding production capacity. As market demand gradually recovered, the Group focused on maximizing returns from its existing production facilities and distribution network while maintaining prudent investment decisions.</w:t>
      </w:r>
    </w:p>
    <w:p w14:paraId="7D5540EA" w14:textId="77777777" w:rsidR="00930350" w:rsidRPr="003444A2" w:rsidRDefault="00930350" w:rsidP="00930350">
      <w:pPr>
        <w:rPr>
          <w:rFonts w:cstheme="majorHAnsi"/>
        </w:rPr>
      </w:pPr>
      <w:r w:rsidRPr="003444A2">
        <w:rPr>
          <w:rFonts w:cstheme="majorHAnsi"/>
        </w:rPr>
        <w:t>This approach is also aligned with the industry’s business life cycle. During the recovery stage, steel manufacturers generally emphasize improving asset productivity, inventory management, and cost efficiency before undertaking large-scale capital expansion. Consequently, profitability and operating asset utilization became the dominant drivers of ROA improvement, whereas changes in asset allocation contributed only marginally.</w:t>
      </w:r>
    </w:p>
    <w:p w14:paraId="4AA8551B" w14:textId="77777777" w:rsidR="00930350" w:rsidRPr="003444A2" w:rsidRDefault="00930350" w:rsidP="00930350">
      <w:pPr>
        <w:rPr>
          <w:rFonts w:cstheme="majorHAnsi"/>
        </w:rPr>
      </w:pPr>
      <w:r w:rsidRPr="003444A2">
        <w:rPr>
          <w:rFonts w:cstheme="majorHAnsi"/>
        </w:rPr>
        <w:t>From a strategic perspective, HSG continued implementing its long-term transformation toward an integrated production, distribution, and retail ecosystem through the expansion of the Hoa Sen Home network. Rather than allocating more resources to financial investments, the Group concentrated on strengthening its core business operations and improving the productivity of existing assets. Therefore, the improvement in ROA reflects not only stronger financial performance but also the successful execution of HSG’s investment strategy discussed in Section 4.</w:t>
      </w:r>
    </w:p>
    <w:p w14:paraId="36D5CFA4" w14:textId="53B053CE" w:rsidR="00930350" w:rsidRPr="003444A2" w:rsidRDefault="00930350" w:rsidP="00930350">
      <w:pPr>
        <w:rPr>
          <w:rFonts w:cstheme="majorHAnsi"/>
          <w:b/>
          <w:bCs/>
        </w:rPr>
      </w:pPr>
      <w:r w:rsidRPr="003444A2">
        <w:rPr>
          <w:rFonts w:cstheme="majorHAnsi"/>
          <w:b/>
          <w:bCs/>
        </w:rPr>
        <w:lastRenderedPageBreak/>
        <w:t>2. Return on Capital Employed (ROCE)</w:t>
      </w:r>
    </w:p>
    <w:p w14:paraId="438B9075" w14:textId="77777777" w:rsidR="00930350" w:rsidRPr="003444A2" w:rsidRDefault="00930350" w:rsidP="00930350">
      <w:pPr>
        <w:rPr>
          <w:rFonts w:cstheme="majorHAnsi"/>
        </w:rPr>
      </w:pPr>
      <w:r w:rsidRPr="003444A2">
        <w:rPr>
          <w:rFonts w:cstheme="majorHAnsi"/>
        </w:rPr>
        <w:t>ROCE evaluates whether HSG used its long-term capital effectively to generate operating returns. This indicator is important because it connects operating performance with financing decisions and shows whether the company’s capital base was used efficiently.</w:t>
      </w:r>
    </w:p>
    <w:p w14:paraId="5C31B617" w14:textId="77777777" w:rsidR="00930350" w:rsidRPr="003444A2" w:rsidRDefault="00930350" w:rsidP="00930350">
      <w:pPr>
        <w:rPr>
          <w:rFonts w:cstheme="majorHAnsi"/>
          <w:b/>
          <w:bCs/>
        </w:rPr>
      </w:pPr>
      <w:r w:rsidRPr="003444A2">
        <w:rPr>
          <w:rFonts w:cstheme="majorHAnsi"/>
          <w:b/>
          <w:bCs/>
        </w:rPr>
        <w:t>ROCE Decomposition</w:t>
      </w:r>
    </w:p>
    <w:p w14:paraId="4AAF3B4F" w14:textId="19BF6602" w:rsidR="00930350" w:rsidRPr="003444A2" w:rsidRDefault="00B63451" w:rsidP="00930350">
      <w:pPr>
        <w:rPr>
          <w:rFonts w:cstheme="majorHAnsi"/>
        </w:rPr>
      </w:pPr>
      <w:r w:rsidRPr="003444A2">
        <w:rPr>
          <w:rFonts w:cstheme="majorHAnsi"/>
        </w:rPr>
        <w:object w:dxaOrig="7940" w:dyaOrig="1650" w14:anchorId="100D07AB">
          <v:shape id="_x0000_i1059" type="#_x0000_t75" style="width:407.85pt;height:87pt" o:ole="">
            <v:imagedata r:id="rId108" o:title=""/>
          </v:shape>
          <o:OLEObject Type="Link" ProgID="Excel.Sheet.12" ShapeID="_x0000_i1059" DrawAspect="Content" r:id="rId109" UpdateMode="Always">
            <o:LinkType>EnhancedMetaFile</o:LinkType>
            <o:LockedField>false</o:LockedField>
            <o:FieldCodes>\* MERGEFORMAT</o:FieldCodes>
          </o:OLEObject>
        </w:object>
      </w:r>
    </w:p>
    <w:p w14:paraId="3F831679" w14:textId="77777777" w:rsidR="00930350" w:rsidRPr="003444A2" w:rsidRDefault="00930350" w:rsidP="00930350">
      <w:pPr>
        <w:rPr>
          <w:rFonts w:cstheme="majorHAnsi"/>
        </w:rPr>
      </w:pPr>
      <w:r w:rsidRPr="003444A2">
        <w:rPr>
          <w:rFonts w:cstheme="majorHAnsi"/>
          <w:b/>
          <w:bCs/>
        </w:rPr>
        <w:t>NI / Sales</w:t>
      </w:r>
    </w:p>
    <w:p w14:paraId="2301F275" w14:textId="77777777" w:rsidR="00930350" w:rsidRPr="003444A2" w:rsidRDefault="00930350" w:rsidP="00930350">
      <w:pPr>
        <w:rPr>
          <w:rFonts w:cstheme="majorHAnsi"/>
        </w:rPr>
      </w:pPr>
      <w:r w:rsidRPr="003444A2">
        <w:rPr>
          <w:rFonts w:cstheme="majorHAnsi"/>
        </w:rPr>
        <w:t>Profitability was the strongest driver of ROCE improvement. This shows that HSG’s recovery was mainly supported by better profit generation from its core business activities.</w:t>
      </w:r>
    </w:p>
    <w:p w14:paraId="1CBF2575" w14:textId="77777777" w:rsidR="00930350" w:rsidRPr="003444A2" w:rsidRDefault="00930350" w:rsidP="00930350">
      <w:pPr>
        <w:rPr>
          <w:rFonts w:cstheme="majorHAnsi"/>
        </w:rPr>
      </w:pPr>
      <w:r w:rsidRPr="003444A2">
        <w:rPr>
          <w:rFonts w:cstheme="majorHAnsi"/>
          <w:b/>
          <w:bCs/>
        </w:rPr>
        <w:t>Sales / Average Long-term Assets</w:t>
      </w:r>
    </w:p>
    <w:p w14:paraId="6C0CC0C2" w14:textId="77777777" w:rsidR="00930350" w:rsidRPr="003444A2" w:rsidRDefault="00930350" w:rsidP="00930350">
      <w:pPr>
        <w:rPr>
          <w:rFonts w:cstheme="majorHAnsi"/>
        </w:rPr>
      </w:pPr>
      <w:r w:rsidRPr="003444A2">
        <w:rPr>
          <w:rFonts w:cstheme="majorHAnsi"/>
        </w:rPr>
        <w:t>Higher long-term asset turnover indicates that HSG used its existing long-term assets more efficiently to support revenue. This suggests that the company improved performance without relying mainly on large-scale new investment.</w:t>
      </w:r>
    </w:p>
    <w:p w14:paraId="404BC8B7" w14:textId="77777777" w:rsidR="00930350" w:rsidRPr="003444A2" w:rsidRDefault="00930350" w:rsidP="00930350">
      <w:pPr>
        <w:rPr>
          <w:rFonts w:cstheme="majorHAnsi"/>
        </w:rPr>
      </w:pPr>
      <w:r w:rsidRPr="003444A2">
        <w:rPr>
          <w:rFonts w:cstheme="majorHAnsi"/>
          <w:b/>
          <w:bCs/>
        </w:rPr>
        <w:t>Average Long-term Assets / Average Long-term Capital Employed</w:t>
      </w:r>
    </w:p>
    <w:p w14:paraId="365FE03C" w14:textId="77777777" w:rsidR="00930350" w:rsidRPr="003444A2" w:rsidRDefault="00930350" w:rsidP="00930350">
      <w:pPr>
        <w:rPr>
          <w:rFonts w:cstheme="majorHAnsi"/>
        </w:rPr>
      </w:pPr>
      <w:r w:rsidRPr="003444A2">
        <w:rPr>
          <w:rFonts w:cstheme="majorHAnsi"/>
        </w:rPr>
        <w:t>This factor had a negative effect, suggesting that the matching between long-term assets and long-term capital was not fully optimized. Although the impact was limited, it indicates that capital structure efficiency remains an area for improvement.</w:t>
      </w:r>
    </w:p>
    <w:p w14:paraId="172A29C7" w14:textId="77777777" w:rsidR="00930350" w:rsidRPr="003444A2" w:rsidRDefault="00930350" w:rsidP="00930350">
      <w:pPr>
        <w:rPr>
          <w:rFonts w:cstheme="majorHAnsi"/>
          <w:b/>
          <w:bCs/>
        </w:rPr>
      </w:pPr>
      <w:r w:rsidRPr="003444A2">
        <w:rPr>
          <w:rFonts w:cstheme="majorHAnsi"/>
          <w:b/>
          <w:bCs/>
        </w:rPr>
        <w:t>ROCE Conclusion</w:t>
      </w:r>
    </w:p>
    <w:p w14:paraId="479171D0" w14:textId="77777777" w:rsidR="00930350" w:rsidRPr="003444A2" w:rsidRDefault="00930350" w:rsidP="00930350">
      <w:pPr>
        <w:rPr>
          <w:rFonts w:cstheme="majorHAnsi"/>
        </w:rPr>
      </w:pPr>
      <w:r w:rsidRPr="003444A2">
        <w:rPr>
          <w:rFonts w:cstheme="majorHAnsi"/>
        </w:rPr>
        <w:t>Overall, ROCE improved because HSG achieved stronger profitability and better utilization of long-term assets. This indicates that the company’s recovery was supported by both operating efficiency and more effective use of existing resources. However, despite this improvement, ROCE remained below WACC throughout the 2022-2024 period. This suggests that the returns generated from capital employed were still insufficient to fully compensate providers of capital, indicating that HSG had not yet created positive economic value. Although financing efficiency improved, further enhancement in capital allocation and profitability is required for the company to generate returns exceeding its overall cost of capital.</w:t>
      </w:r>
    </w:p>
    <w:p w14:paraId="31C80D15" w14:textId="77777777" w:rsidR="00930350" w:rsidRPr="003444A2" w:rsidRDefault="00930350" w:rsidP="00930350">
      <w:pPr>
        <w:rPr>
          <w:rFonts w:cstheme="majorHAnsi"/>
          <w:b/>
          <w:bCs/>
        </w:rPr>
      </w:pPr>
      <w:r w:rsidRPr="003444A2">
        <w:rPr>
          <w:rFonts w:cstheme="majorHAnsi"/>
          <w:b/>
          <w:bCs/>
        </w:rPr>
        <w:t>Qualitative Analysis</w:t>
      </w:r>
    </w:p>
    <w:p w14:paraId="62AAB445" w14:textId="77777777" w:rsidR="00930350" w:rsidRPr="003444A2" w:rsidRDefault="00930350" w:rsidP="00930350">
      <w:pPr>
        <w:rPr>
          <w:rFonts w:cstheme="majorHAnsi"/>
        </w:rPr>
      </w:pPr>
      <w:r w:rsidRPr="003444A2">
        <w:rPr>
          <w:rFonts w:cstheme="majorHAnsi"/>
        </w:rPr>
        <w:t>Overall, ROCE improved because HSG achieved stronger profitability and better utilization of long-term assets. This indicates that the company’s recovery was supported by both operating efficiency and more effective use of existing resources. However, despite this improvement, ROCE remained below WACC throughout the 2022-2024 period. This suggests that the returns generated from capital employed were still insufficient to fully compensate providers of capital, indicating that HSG had not yet created positive economic value. Although financing efficiency improved, further enhancement in capital allocation and profitability is required for the company to generate returns exceeding its overall cost of capital.</w:t>
      </w:r>
    </w:p>
    <w:p w14:paraId="49D2AC82" w14:textId="19BD9324" w:rsidR="00930350" w:rsidRPr="003444A2" w:rsidRDefault="00930350" w:rsidP="00930350">
      <w:pPr>
        <w:rPr>
          <w:rFonts w:cstheme="majorHAnsi"/>
          <w:b/>
          <w:bCs/>
        </w:rPr>
      </w:pPr>
      <w:r w:rsidRPr="003444A2">
        <w:rPr>
          <w:rFonts w:cstheme="majorHAnsi"/>
          <w:b/>
          <w:bCs/>
        </w:rPr>
        <w:t>3. Management-Level Assessment</w:t>
      </w:r>
    </w:p>
    <w:p w14:paraId="3230D137" w14:textId="77777777" w:rsidR="00930350" w:rsidRPr="003444A2" w:rsidRDefault="00930350" w:rsidP="00930350">
      <w:pPr>
        <w:rPr>
          <w:rFonts w:cstheme="majorHAnsi"/>
        </w:rPr>
      </w:pPr>
      <w:r w:rsidRPr="003444A2">
        <w:rPr>
          <w:rFonts w:cstheme="majorHAnsi"/>
        </w:rPr>
        <w:lastRenderedPageBreak/>
        <w:t>From a management perspective, the decomposition results indicate that HSG’s recovery strategy has been largely effective. Improvements in ROA demonstrate that management successfully enhanced operating efficiency and generated higher returns from existing assets, while ROCE confirms that financing decisions supported this operational recovery without relying on aggressive capital expansion. These findings are consistent with HSG’s strategic direction of strengthening its distribution ecosystem and maintaining a disciplined investment approach during a period of industry uncertainty.</w:t>
      </w:r>
    </w:p>
    <w:p w14:paraId="15D70A98" w14:textId="77777777" w:rsidR="00930350" w:rsidRPr="003444A2" w:rsidRDefault="00930350" w:rsidP="00930350">
      <w:pPr>
        <w:rPr>
          <w:rFonts w:cstheme="majorHAnsi"/>
        </w:rPr>
      </w:pPr>
      <w:r w:rsidRPr="003444A2">
        <w:rPr>
          <w:rFonts w:cstheme="majorHAnsi"/>
        </w:rPr>
        <w:t>Nevertheless, the analysis also highlights several remaining challenges. Financial investments generated relatively weaker returns than operating assets, while the efficiency of long-term capital allocation has not yet fully matched the improvement in business performance. This is further supported by the comparison between ROCE and WACC, where ROCE remained below the company’s overall cost of capital throughout the study period. Although management successfully improved operational performance, future efforts should focus on strengthening capital allocation and financing efficiency to achieve sustainable value creation.</w:t>
      </w:r>
    </w:p>
    <w:p w14:paraId="75BE1400" w14:textId="7BF2168B" w:rsidR="00930350" w:rsidRPr="003444A2" w:rsidRDefault="00930350" w:rsidP="00930350">
      <w:pPr>
        <w:rPr>
          <w:rFonts w:cstheme="majorHAnsi"/>
          <w:b/>
          <w:bCs/>
        </w:rPr>
      </w:pPr>
      <w:r w:rsidRPr="003444A2">
        <w:rPr>
          <w:rFonts w:cstheme="majorHAnsi"/>
          <w:b/>
          <w:bCs/>
        </w:rPr>
        <w:t>4. Quantitative Analysis</w:t>
      </w:r>
    </w:p>
    <w:p w14:paraId="18123957" w14:textId="77777777" w:rsidR="00930350" w:rsidRPr="003444A2" w:rsidRDefault="00930350" w:rsidP="00930350">
      <w:pPr>
        <w:rPr>
          <w:rFonts w:cstheme="majorHAnsi"/>
          <w:b/>
          <w:bCs/>
        </w:rPr>
      </w:pPr>
      <w:r w:rsidRPr="003444A2">
        <w:rPr>
          <w:rFonts w:cstheme="majorHAnsi"/>
          <w:b/>
          <w:bCs/>
        </w:rPr>
        <w:t>Competitor Benchmark</w:t>
      </w:r>
    </w:p>
    <w:p w14:paraId="0E2E8378" w14:textId="77777777" w:rsidR="00930350" w:rsidRPr="003444A2" w:rsidRDefault="00930350" w:rsidP="00930350">
      <w:pPr>
        <w:rPr>
          <w:rFonts w:cstheme="majorHAnsi"/>
        </w:rPr>
      </w:pPr>
      <w:r w:rsidRPr="003444A2">
        <w:rPr>
          <w:rFonts w:cstheme="majorHAnsi"/>
        </w:rPr>
        <w:t>Although HSG demonstrated a clear recovery in financial performance, both ROA and ROCE remained below those of Nam Kim. This suggests that HSG has not yet achieved the same level of efficiency in utilizing assets and capital to generate returns. While HSG continued investing in the expansion of its distribution ecosystem, NKG achieved stronger financial performance through higher profitability and more efficient capital utilization. Consequently, HSG still has room to improve asset productivity and capital allocation efficiency to narrow the performance gap with its direct competitor.</w:t>
      </w:r>
    </w:p>
    <w:p w14:paraId="2976434D" w14:textId="77777777" w:rsidR="00930350" w:rsidRPr="003444A2" w:rsidRDefault="00930350" w:rsidP="00930350">
      <w:pPr>
        <w:rPr>
          <w:rFonts w:cstheme="majorHAnsi"/>
          <w:b/>
          <w:bCs/>
        </w:rPr>
      </w:pPr>
      <w:r w:rsidRPr="003444A2">
        <w:rPr>
          <w:rFonts w:cstheme="majorHAnsi"/>
          <w:b/>
          <w:bCs/>
        </w:rPr>
        <w:t>Industry Benchmark</w:t>
      </w:r>
    </w:p>
    <w:p w14:paraId="390096FF" w14:textId="77777777" w:rsidR="00930350" w:rsidRPr="003444A2" w:rsidRDefault="00930350" w:rsidP="00930350">
      <w:pPr>
        <w:rPr>
          <w:rFonts w:cstheme="majorHAnsi"/>
        </w:rPr>
      </w:pPr>
      <w:r w:rsidRPr="003444A2">
        <w:rPr>
          <w:rFonts w:cstheme="majorHAnsi"/>
        </w:rPr>
        <w:t>Compared with the Vietnamese steel industry average, HSG’s ROA and ROCE remained relatively modest despite their improving trend. This indicates that the company has recovered from the industry downturn but has not yet fully restored its competitiveness in terms of asset and capital efficiency. The decomposition analysis suggests that operational recovery has progressed more rapidly than improvements in capital allocation, implying that HSG’s transformation strategy is moving in the right direction but has not yet been fully reflected in its financial performance relative to industry leaders.</w:t>
      </w:r>
    </w:p>
    <w:p w14:paraId="66AD8D0D" w14:textId="11B64FDC" w:rsidR="00930350" w:rsidRPr="003444A2" w:rsidRDefault="00930350" w:rsidP="00930350">
      <w:pPr>
        <w:rPr>
          <w:rFonts w:cstheme="majorHAnsi"/>
          <w:b/>
          <w:bCs/>
        </w:rPr>
      </w:pPr>
      <w:r w:rsidRPr="003444A2">
        <w:rPr>
          <w:rFonts w:cstheme="majorHAnsi"/>
          <w:b/>
          <w:bCs/>
        </w:rPr>
        <w:t>5. Conclusion</w:t>
      </w:r>
    </w:p>
    <w:p w14:paraId="2B091273" w14:textId="77777777" w:rsidR="00930350" w:rsidRPr="003444A2" w:rsidRDefault="00930350" w:rsidP="00930350">
      <w:pPr>
        <w:rPr>
          <w:rFonts w:cstheme="majorHAnsi"/>
        </w:rPr>
      </w:pPr>
      <w:r w:rsidRPr="003444A2">
        <w:rPr>
          <w:rFonts w:cstheme="majorHAnsi"/>
        </w:rPr>
        <w:t>Overall, HSG’s management decisions contributed positively to the company’s financial recovery during the study period. The improvements in profitability and asset utilization indicate that management successfully strengthened operational efficiency without relying on aggressive investment expansion. However, relatively weaker financial investment performance and capital allocation efficiency suggest that further optimization of financing and investment decisions is required to achieve financial performance comparable with leading companies in the Vietnamese steel industry.</w:t>
      </w:r>
    </w:p>
    <w:p w14:paraId="1615A0BE" w14:textId="647FD9FD" w:rsidR="00930350" w:rsidRPr="003444A2" w:rsidRDefault="00930350" w:rsidP="00930350">
      <w:pPr>
        <w:pStyle w:val="Heading2"/>
        <w:rPr>
          <w:rFonts w:cstheme="majorHAnsi"/>
        </w:rPr>
      </w:pPr>
      <w:bookmarkStart w:id="31" w:name="_Toc233984153"/>
      <w:r w:rsidRPr="003444A2">
        <w:rPr>
          <w:rFonts w:cstheme="majorHAnsi"/>
        </w:rPr>
        <w:t>II. Ownership-Level and Potential Investors</w:t>
      </w:r>
      <w:bookmarkEnd w:id="31"/>
    </w:p>
    <w:p w14:paraId="56C46021" w14:textId="2B04AB4A" w:rsidR="00930350" w:rsidRPr="003444A2" w:rsidRDefault="00930350" w:rsidP="00930350">
      <w:pPr>
        <w:rPr>
          <w:rFonts w:cstheme="majorHAnsi"/>
          <w:b/>
          <w:bCs/>
        </w:rPr>
      </w:pPr>
      <w:r w:rsidRPr="003444A2">
        <w:rPr>
          <w:rFonts w:cstheme="majorHAnsi"/>
          <w:b/>
          <w:bCs/>
        </w:rPr>
        <w:t>1. Return on Equity (ROE)</w:t>
      </w:r>
    </w:p>
    <w:p w14:paraId="46A8BA4A" w14:textId="77777777" w:rsidR="00930350" w:rsidRPr="003444A2" w:rsidRDefault="00930350" w:rsidP="00930350">
      <w:pPr>
        <w:rPr>
          <w:rFonts w:cstheme="majorHAnsi"/>
        </w:rPr>
      </w:pPr>
      <w:r w:rsidRPr="003444A2">
        <w:rPr>
          <w:rFonts w:cstheme="majorHAnsi"/>
        </w:rPr>
        <w:t>ROE evaluates whether HSG's operating performance, financing decisions, and profit distribution policy translated into greater value for shareholders. The decomposition identifies the relative contribution of profitability, asset efficiency, and financial leverage to shareholder returns.</w:t>
      </w:r>
    </w:p>
    <w:p w14:paraId="51FF7CBA" w14:textId="77777777" w:rsidR="00930350" w:rsidRPr="003444A2" w:rsidRDefault="00930350" w:rsidP="00930350">
      <w:pPr>
        <w:rPr>
          <w:rFonts w:cstheme="majorHAnsi"/>
          <w:b/>
          <w:bCs/>
        </w:rPr>
      </w:pPr>
      <w:r w:rsidRPr="003444A2">
        <w:rPr>
          <w:rFonts w:cstheme="majorHAnsi"/>
          <w:b/>
          <w:bCs/>
        </w:rPr>
        <w:lastRenderedPageBreak/>
        <w:t>ROE Decomposition</w:t>
      </w:r>
    </w:p>
    <w:p w14:paraId="2ED71D09" w14:textId="1870B139" w:rsidR="00930350" w:rsidRPr="004C5575" w:rsidRDefault="00B63451" w:rsidP="00930350">
      <w:pPr>
        <w:rPr>
          <w:rFonts w:cstheme="majorHAnsi"/>
          <w:b/>
          <w:bCs/>
        </w:rPr>
      </w:pPr>
      <w:r w:rsidRPr="003444A2">
        <w:rPr>
          <w:rFonts w:cstheme="majorHAnsi"/>
          <w:b/>
          <w:bCs/>
        </w:rPr>
        <w:object w:dxaOrig="7940" w:dyaOrig="1170" w14:anchorId="556B9141">
          <v:shape id="_x0000_i1060" type="#_x0000_t75" style="width:407.85pt;height:62pt" o:ole="">
            <v:imagedata r:id="rId110" o:title=""/>
          </v:shape>
          <o:OLEObject Type="Link" ProgID="Excel.Sheet.12" ShapeID="_x0000_i1060" DrawAspect="Content" r:id="rId111" UpdateMode="Always">
            <o:LinkType>EnhancedMetaFile</o:LinkType>
            <o:LockedField>false</o:LockedField>
            <o:FieldCodes>\* MERGEFORMAT</o:FieldCodes>
          </o:OLEObject>
        </w:object>
      </w:r>
    </w:p>
    <w:p w14:paraId="0D81C0AF" w14:textId="77777777" w:rsidR="00930350" w:rsidRPr="003444A2" w:rsidRDefault="00930350" w:rsidP="00930350">
      <w:pPr>
        <w:rPr>
          <w:rFonts w:cstheme="majorHAnsi"/>
          <w:b/>
          <w:bCs/>
        </w:rPr>
      </w:pPr>
      <w:r w:rsidRPr="003444A2">
        <w:rPr>
          <w:rFonts w:cstheme="majorHAnsi"/>
          <w:b/>
          <w:bCs/>
        </w:rPr>
        <w:t>NI / Sales</w:t>
      </w:r>
    </w:p>
    <w:p w14:paraId="45C9A7F4" w14:textId="77777777" w:rsidR="00930350" w:rsidRPr="003444A2" w:rsidRDefault="00930350" w:rsidP="00930350">
      <w:pPr>
        <w:rPr>
          <w:rFonts w:cstheme="majorHAnsi"/>
        </w:rPr>
      </w:pPr>
      <w:r w:rsidRPr="003444A2">
        <w:rPr>
          <w:rFonts w:cstheme="majorHAnsi"/>
        </w:rPr>
        <w:t>Profitability was the primary driver of ROE improvement, indicating that HSG generated stronger earnings from its core business activities. This suggests that higher shareholder returns mainly resulted from improved operating performance.</w:t>
      </w:r>
    </w:p>
    <w:p w14:paraId="643D2630" w14:textId="77777777" w:rsidR="00930350" w:rsidRPr="003444A2" w:rsidRDefault="00930350" w:rsidP="00930350">
      <w:pPr>
        <w:rPr>
          <w:rFonts w:cstheme="majorHAnsi"/>
          <w:b/>
          <w:bCs/>
        </w:rPr>
      </w:pPr>
      <w:r w:rsidRPr="003444A2">
        <w:rPr>
          <w:rFonts w:cstheme="majorHAnsi"/>
          <w:b/>
          <w:bCs/>
        </w:rPr>
        <w:t>Sales / Average Total Assets</w:t>
      </w:r>
    </w:p>
    <w:p w14:paraId="18EEE485" w14:textId="77777777" w:rsidR="00930350" w:rsidRPr="003444A2" w:rsidRDefault="00930350" w:rsidP="00930350">
      <w:pPr>
        <w:rPr>
          <w:rFonts w:cstheme="majorHAnsi"/>
        </w:rPr>
      </w:pPr>
      <w:r w:rsidRPr="003444A2">
        <w:rPr>
          <w:rFonts w:cstheme="majorHAnsi"/>
        </w:rPr>
        <w:t>Higher total asset turnover indicates that HSG utilized its assets more efficiently to generate revenue. This reflects stronger operational efficiency and better utilization of existing resources.</w:t>
      </w:r>
    </w:p>
    <w:p w14:paraId="1FC17711" w14:textId="77777777" w:rsidR="00930350" w:rsidRPr="003444A2" w:rsidRDefault="00930350" w:rsidP="00930350">
      <w:pPr>
        <w:rPr>
          <w:rFonts w:cstheme="majorHAnsi"/>
          <w:b/>
          <w:bCs/>
        </w:rPr>
      </w:pPr>
      <w:r w:rsidRPr="003444A2">
        <w:rPr>
          <w:rFonts w:cstheme="majorHAnsi"/>
          <w:b/>
          <w:bCs/>
        </w:rPr>
        <w:t>Average Total Capital / Average Equity</w:t>
      </w:r>
    </w:p>
    <w:p w14:paraId="5C019C38" w14:textId="77777777" w:rsidR="00930350" w:rsidRPr="003444A2" w:rsidRDefault="00930350" w:rsidP="00930350">
      <w:pPr>
        <w:rPr>
          <w:rFonts w:cstheme="majorHAnsi"/>
        </w:rPr>
      </w:pPr>
      <w:r w:rsidRPr="003444A2">
        <w:rPr>
          <w:rFonts w:cstheme="majorHAnsi"/>
        </w:rPr>
        <w:t>Financial leverage contributed positively to ROE, indicating that HSG's financing structure supported shareholder returns. However, its relatively smaller contribution suggests that the improvement in ROE did not rely heavily on increasing financial risk.</w:t>
      </w:r>
    </w:p>
    <w:p w14:paraId="44D2F067" w14:textId="77777777" w:rsidR="00930350" w:rsidRPr="003444A2" w:rsidRDefault="00930350" w:rsidP="00930350">
      <w:pPr>
        <w:rPr>
          <w:rFonts w:cstheme="majorHAnsi"/>
          <w:b/>
          <w:bCs/>
        </w:rPr>
      </w:pPr>
      <w:r w:rsidRPr="003444A2">
        <w:rPr>
          <w:rFonts w:cstheme="majorHAnsi"/>
          <w:b/>
          <w:bCs/>
        </w:rPr>
        <w:t>ROE Conclusion</w:t>
      </w:r>
    </w:p>
    <w:p w14:paraId="6B5D7402" w14:textId="77777777" w:rsidR="00930350" w:rsidRPr="003444A2" w:rsidRDefault="00930350" w:rsidP="00930350">
      <w:pPr>
        <w:rPr>
          <w:rFonts w:cstheme="majorHAnsi"/>
        </w:rPr>
      </w:pPr>
      <w:r w:rsidRPr="003444A2">
        <w:rPr>
          <w:rFonts w:cstheme="majorHAnsi"/>
        </w:rPr>
        <w:t>Overall, ROE improvement was primarily driven by stronger profitability and more efficient asset utilization, while financial leverage played only a supporting role. This indicates that HSG created greater value for shareholders mainly through improved business performance rather than increased borrowing. The result is consistent with the company's financing and profit distribution decisions, where retained earnings continued to support business growth while dividend payments maintained shareholder returns. Overall, the quality of ROE improvement reflects sustainable operational recovery rather than financial leverage-driven growth.</w:t>
      </w:r>
    </w:p>
    <w:p w14:paraId="7B3873B3" w14:textId="1EDDAB0A" w:rsidR="00930350" w:rsidRPr="003444A2" w:rsidRDefault="00930350" w:rsidP="00930350">
      <w:pPr>
        <w:rPr>
          <w:rFonts w:cstheme="majorHAnsi"/>
          <w:b/>
          <w:bCs/>
        </w:rPr>
      </w:pPr>
      <w:r w:rsidRPr="003444A2">
        <w:rPr>
          <w:rFonts w:cstheme="majorHAnsi"/>
          <w:b/>
          <w:bCs/>
        </w:rPr>
        <w:t>2. Ownership-Level and Potential Investor Assessment</w:t>
      </w:r>
    </w:p>
    <w:p w14:paraId="3FBB8759" w14:textId="77777777" w:rsidR="00930350" w:rsidRPr="003444A2" w:rsidRDefault="00930350" w:rsidP="00930350">
      <w:pPr>
        <w:rPr>
          <w:rFonts w:cstheme="majorHAnsi"/>
        </w:rPr>
      </w:pPr>
      <w:r w:rsidRPr="003444A2">
        <w:rPr>
          <w:rFonts w:cstheme="majorHAnsi"/>
        </w:rPr>
        <w:t>From the ownership perspective, the improvement in ROE indicates that HSG utilized shareholders’ equity more effectively during the recovery period. The company’s balanced approach to reinvesting retained earnings while maintaining dividend payments supports long-term shareholder value creation without relying excessively on external equity financing.</w:t>
      </w:r>
    </w:p>
    <w:p w14:paraId="18443BC6" w14:textId="77777777" w:rsidR="00930350" w:rsidRPr="003444A2" w:rsidRDefault="00930350" w:rsidP="00930350">
      <w:pPr>
        <w:rPr>
          <w:rFonts w:cstheme="majorHAnsi"/>
        </w:rPr>
      </w:pPr>
      <w:r w:rsidRPr="003444A2">
        <w:rPr>
          <w:rFonts w:cstheme="majorHAnsi"/>
        </w:rPr>
        <w:t>For prospective investors, the recovery in profitability and operational efficiency demonstrates that HSG has strengthened its ability to generate returns following the industry’s downturn. However, future shareholder value will continue to depend on the company’s ability to improve capital allocation efficiency, sustain profitability growth, and successfully execute the Hoa Sen Home expansion strategy. Consequently, HSG presents a relatively stable investment profile, although further improvements in capital utilization remain essential for strengthening its long-term investment attractiveness.</w:t>
      </w:r>
    </w:p>
    <w:p w14:paraId="0CB5D7A0" w14:textId="32EFBD72" w:rsidR="00930350" w:rsidRPr="003444A2" w:rsidRDefault="00930350" w:rsidP="00930350">
      <w:pPr>
        <w:rPr>
          <w:rFonts w:cstheme="majorHAnsi"/>
          <w:b/>
          <w:bCs/>
        </w:rPr>
      </w:pPr>
      <w:r w:rsidRPr="003444A2">
        <w:rPr>
          <w:rFonts w:cstheme="majorHAnsi"/>
          <w:b/>
          <w:bCs/>
        </w:rPr>
        <w:t>3. Qualitative Analysis</w:t>
      </w:r>
    </w:p>
    <w:p w14:paraId="371DCD8C" w14:textId="77777777" w:rsidR="00930350" w:rsidRPr="003444A2" w:rsidRDefault="00930350" w:rsidP="00930350">
      <w:pPr>
        <w:rPr>
          <w:rFonts w:cstheme="majorHAnsi"/>
        </w:rPr>
      </w:pPr>
      <w:r w:rsidRPr="003444A2">
        <w:rPr>
          <w:rFonts w:cstheme="majorHAnsi"/>
        </w:rPr>
        <w:t>The ROE decomposition is consistent with HSG’s business environment during the industry’s recovery period. As steel demand gradually improved and business operations stabilized, management focused on restoring profitability while maintaining prudent financing and capital management. Instead of pursuing rapid expansion through additional leverage, HSG emphasized strengthening operational performance to improve shareholder returns.</w:t>
      </w:r>
    </w:p>
    <w:p w14:paraId="0D634516" w14:textId="77777777" w:rsidR="00930350" w:rsidRPr="003444A2" w:rsidRDefault="00930350" w:rsidP="00930350">
      <w:pPr>
        <w:rPr>
          <w:rFonts w:cstheme="majorHAnsi"/>
        </w:rPr>
      </w:pPr>
      <w:r w:rsidRPr="003444A2">
        <w:rPr>
          <w:rFonts w:cstheme="majorHAnsi"/>
        </w:rPr>
        <w:lastRenderedPageBreak/>
        <w:t>This approach also reflects the characteristics of the steel industry’s recovery stage. During this phase, companies generally prioritize rebuilding profitability, preserving financial flexibility, and improving capital efficiency before entering another investment cycle. Consequently, profitability became the dominant source of ROE improvement, while financial leverage contributed only a limited proportion of shareholder returns.</w:t>
      </w:r>
    </w:p>
    <w:p w14:paraId="345E0C93" w14:textId="77777777" w:rsidR="00930350" w:rsidRPr="003444A2" w:rsidRDefault="00930350" w:rsidP="00930350">
      <w:pPr>
        <w:rPr>
          <w:rFonts w:cstheme="majorHAnsi"/>
        </w:rPr>
      </w:pPr>
      <w:r w:rsidRPr="003444A2">
        <w:rPr>
          <w:rFonts w:cstheme="majorHAnsi"/>
        </w:rPr>
        <w:t>From a strategic perspective, these results are consistent with HSG’s long-term objective of developing the Hoa Sen Home ecosystem while maintaining sustainable financial performance. The Group adopted a balanced profit distribution policy by continuing dividend payments while retaining part of its earnings to support future business expansion. This indicates that shareholder value was created primarily through stronger operating performance rather than higher financial risk, which is consistent with the financing and profit distribution decisions discussed in Sections 3 and 5.</w:t>
      </w:r>
    </w:p>
    <w:p w14:paraId="171523FE" w14:textId="7E0F33B0" w:rsidR="00930350" w:rsidRPr="003444A2" w:rsidRDefault="00930350" w:rsidP="00930350">
      <w:pPr>
        <w:rPr>
          <w:rFonts w:cstheme="majorHAnsi"/>
          <w:b/>
          <w:bCs/>
        </w:rPr>
      </w:pPr>
      <w:r w:rsidRPr="003444A2">
        <w:rPr>
          <w:rFonts w:cstheme="majorHAnsi"/>
          <w:b/>
          <w:bCs/>
        </w:rPr>
        <w:t>4. Quantitative</w:t>
      </w:r>
    </w:p>
    <w:p w14:paraId="211290C8" w14:textId="77777777" w:rsidR="00930350" w:rsidRPr="003444A2" w:rsidRDefault="00930350" w:rsidP="00930350">
      <w:pPr>
        <w:rPr>
          <w:rFonts w:cstheme="majorHAnsi"/>
          <w:b/>
          <w:bCs/>
        </w:rPr>
      </w:pPr>
      <w:r w:rsidRPr="003444A2">
        <w:rPr>
          <w:rFonts w:cstheme="majorHAnsi"/>
          <w:b/>
          <w:bCs/>
        </w:rPr>
        <w:t>Competitor Benchmark</w:t>
      </w:r>
    </w:p>
    <w:p w14:paraId="60490366" w14:textId="77777777" w:rsidR="00930350" w:rsidRPr="003444A2" w:rsidRDefault="00930350" w:rsidP="00930350">
      <w:pPr>
        <w:rPr>
          <w:rFonts w:cstheme="majorHAnsi"/>
        </w:rPr>
      </w:pPr>
      <w:r w:rsidRPr="003444A2">
        <w:rPr>
          <w:rFonts w:cstheme="majorHAnsi"/>
        </w:rPr>
        <w:t>Compared with Nam Kim, HSG generated lower returns on shareholders’ equity, indicating that its equity capital was utilized less efficiently. While HSG adopted a more balanced approach between dividend distribution and business reinvestment, NKG achieved stronger shareholder returns through higher profitability and more efficient capital utilization. This suggests that HSG still has room to improve the effectiveness of its equity management to enhance shareholder value.</w:t>
      </w:r>
    </w:p>
    <w:p w14:paraId="6C14497A" w14:textId="77777777" w:rsidR="00930350" w:rsidRPr="003444A2" w:rsidRDefault="00930350" w:rsidP="00930350">
      <w:pPr>
        <w:rPr>
          <w:rFonts w:cstheme="majorHAnsi"/>
          <w:b/>
          <w:bCs/>
        </w:rPr>
      </w:pPr>
      <w:r w:rsidRPr="003444A2">
        <w:rPr>
          <w:rFonts w:cstheme="majorHAnsi"/>
          <w:b/>
          <w:bCs/>
        </w:rPr>
        <w:t>Industry Benchmark</w:t>
      </w:r>
    </w:p>
    <w:p w14:paraId="6153BCF6" w14:textId="77777777" w:rsidR="00930350" w:rsidRPr="003444A2" w:rsidRDefault="00930350" w:rsidP="00930350">
      <w:pPr>
        <w:rPr>
          <w:rFonts w:cstheme="majorHAnsi"/>
        </w:rPr>
      </w:pPr>
      <w:r w:rsidRPr="003444A2">
        <w:rPr>
          <w:rFonts w:cstheme="majorHAnsi"/>
        </w:rPr>
        <w:t>Compared with the Vietnamese steel industry average, HSG’s ROE remained relatively modest despite its improving trend. This indicates that although the company’s recovery strategy has strengthened shareholder returns, its ability to generate value from equity has not yet reached the level of leading companies in the industry. Continued improvements in profitability, capital allocation, and operational efficiency will therefore be essential to narrow this performance gap.</w:t>
      </w:r>
    </w:p>
    <w:p w14:paraId="64851C15" w14:textId="2E0D4174" w:rsidR="00930350" w:rsidRPr="003444A2" w:rsidRDefault="00930350" w:rsidP="00930350">
      <w:pPr>
        <w:rPr>
          <w:rFonts w:cstheme="majorHAnsi"/>
          <w:b/>
          <w:bCs/>
        </w:rPr>
      </w:pPr>
      <w:r w:rsidRPr="003444A2">
        <w:rPr>
          <w:rFonts w:cstheme="majorHAnsi"/>
          <w:b/>
          <w:bCs/>
        </w:rPr>
        <w:t>5. Conclusion</w:t>
      </w:r>
    </w:p>
    <w:p w14:paraId="61932EFD" w14:textId="77777777" w:rsidR="00930350" w:rsidRPr="003444A2" w:rsidRDefault="00930350" w:rsidP="00930350">
      <w:pPr>
        <w:rPr>
          <w:rFonts w:cstheme="majorHAnsi"/>
        </w:rPr>
      </w:pPr>
      <w:r w:rsidRPr="003444A2">
        <w:rPr>
          <w:rFonts w:cstheme="majorHAnsi"/>
        </w:rPr>
        <w:t>Overall, HSG’s financing and profit distribution decisions contributed positively to shareholder value during the recovery period. The improvement in ROE reflects stronger operational performance rather than increased financial leverage, indicating that the quality of earnings has improved. Nevertheless, further enhancements in capital allocation efficiency and long-term investment returns will be necessary to strengthen shareholder value and improve HSG’s competitiveness relative to both its direct competitors and the broader steel industry.</w:t>
      </w:r>
    </w:p>
    <w:p w14:paraId="667E862F" w14:textId="2F748C81" w:rsidR="00930350" w:rsidRPr="003444A2" w:rsidRDefault="00930350" w:rsidP="00930350">
      <w:pPr>
        <w:pStyle w:val="Heading2"/>
        <w:rPr>
          <w:rFonts w:cstheme="majorHAnsi"/>
        </w:rPr>
      </w:pPr>
      <w:bookmarkStart w:id="32" w:name="_Toc233984154"/>
      <w:r w:rsidRPr="003444A2">
        <w:rPr>
          <w:rFonts w:cstheme="majorHAnsi"/>
        </w:rPr>
        <w:t>III. Employees’ Viewpoint</w:t>
      </w:r>
      <w:bookmarkEnd w:id="32"/>
    </w:p>
    <w:p w14:paraId="0E849368" w14:textId="41A20823" w:rsidR="00B63451" w:rsidRDefault="003E2673" w:rsidP="00930350">
      <w:pPr>
        <w:rPr>
          <w:rFonts w:cstheme="majorHAnsi"/>
          <w:b/>
          <w:bCs/>
        </w:rPr>
      </w:pPr>
      <w:r>
        <w:rPr>
          <w:rFonts w:cstheme="majorHAnsi"/>
          <w:b/>
          <w:bCs/>
        </w:rPr>
        <w:object w:dxaOrig="6543" w:dyaOrig="1225" w14:anchorId="58999EDF">
          <v:shape id="_x0000_i1061" type="#_x0000_t75" style="width:327.1pt;height:61.2pt" o:ole="">
            <v:imagedata r:id="rId112" o:title=""/>
          </v:shape>
          <o:OLEObject Type="Link" ProgID="Excel.Sheet.12" ShapeID="_x0000_i1061" DrawAspect="Content" r:id="rId113" UpdateMode="Always">
            <o:LinkType>EnhancedMetaFile</o:LinkType>
            <o:LockedField>false</o:LockedField>
          </o:OLEObject>
        </w:object>
      </w:r>
    </w:p>
    <w:p w14:paraId="3049727F" w14:textId="633F4D47" w:rsidR="00930350" w:rsidRPr="003444A2" w:rsidRDefault="00930350" w:rsidP="00930350">
      <w:pPr>
        <w:rPr>
          <w:rFonts w:cstheme="majorHAnsi"/>
          <w:b/>
          <w:bCs/>
        </w:rPr>
      </w:pPr>
      <w:r w:rsidRPr="003444A2">
        <w:rPr>
          <w:rFonts w:cstheme="majorHAnsi"/>
          <w:b/>
          <w:bCs/>
        </w:rPr>
        <w:t>1</w:t>
      </w:r>
      <w:r w:rsidR="003444A2" w:rsidRPr="003444A2">
        <w:rPr>
          <w:rFonts w:cstheme="majorHAnsi"/>
          <w:b/>
          <w:bCs/>
        </w:rPr>
        <w:t>.</w:t>
      </w:r>
      <w:r w:rsidRPr="003444A2">
        <w:rPr>
          <w:rFonts w:cstheme="majorHAnsi"/>
          <w:b/>
          <w:bCs/>
        </w:rPr>
        <w:t xml:space="preserve"> Quantitative (Historical): Efficiency and Cost Control</w:t>
      </w:r>
    </w:p>
    <w:p w14:paraId="0CBA2E28" w14:textId="77777777" w:rsidR="00930350" w:rsidRPr="003444A2" w:rsidRDefault="00930350" w:rsidP="00930350">
      <w:pPr>
        <w:rPr>
          <w:rFonts w:cstheme="majorHAnsi"/>
        </w:rPr>
      </w:pPr>
      <w:r w:rsidRPr="003444A2">
        <w:rPr>
          <w:rFonts w:cstheme="majorHAnsi"/>
        </w:rPr>
        <w:t>The historical results indicate that HSG maintained a relatively stable workforce throughout the industry downturn instead of implementing significant workforce reductions. Although employee costs represented only a small proportion of total revenue, the employee cost ratio increased slightly during the recovery period, indicating that labour expenses grew faster than revenue.</w:t>
      </w:r>
    </w:p>
    <w:p w14:paraId="5D897AF6" w14:textId="77777777" w:rsidR="00930350" w:rsidRPr="003444A2" w:rsidRDefault="00930350" w:rsidP="00930350">
      <w:pPr>
        <w:rPr>
          <w:rFonts w:cstheme="majorHAnsi"/>
        </w:rPr>
      </w:pPr>
      <w:r w:rsidRPr="003444A2">
        <w:rPr>
          <w:rFonts w:cstheme="majorHAnsi"/>
        </w:rPr>
        <w:lastRenderedPageBreak/>
        <w:t>At the same time, revenue generated per employee recovered but had not yet returned to its earlier level. This suggests that workforce productivity improved as business conditions recovered but had not fully regained its previous efficiency.</w:t>
      </w:r>
    </w:p>
    <w:p w14:paraId="7E3F25AD" w14:textId="77777777" w:rsidR="00930350" w:rsidRPr="003444A2" w:rsidRDefault="00930350" w:rsidP="00930350">
      <w:pPr>
        <w:rPr>
          <w:rFonts w:cstheme="majorHAnsi"/>
        </w:rPr>
      </w:pPr>
      <w:r w:rsidRPr="003444A2">
        <w:rPr>
          <w:rFonts w:cstheme="majorHAnsi"/>
        </w:rPr>
        <w:t>These findings are consistent with the business environment faced by the Vietnamese steel industry. During the recovery stage, companies generally need to balance cost control with maintaining sufficient operational capacity to respond to future demand. The results therefore suggest that HSG emphasized workforce stability while gradually improving productivity rather than maximizing short-term labour cost efficiency.</w:t>
      </w:r>
    </w:p>
    <w:p w14:paraId="579556C8" w14:textId="77777777" w:rsidR="00930350" w:rsidRPr="003444A2" w:rsidRDefault="00930350" w:rsidP="00930350">
      <w:pPr>
        <w:rPr>
          <w:rFonts w:cstheme="majorHAnsi"/>
        </w:rPr>
      </w:pPr>
      <w:r w:rsidRPr="003444A2">
        <w:rPr>
          <w:rFonts w:cstheme="majorHAnsi"/>
        </w:rPr>
        <w:t>Overall, labour expenses do not appear to be a major source of financial pressure, as they account for only a small proportion of revenue. Nevertheless, further improvements in employee productivity will be important to ensure that labour investment generates stronger operational returns over the long term.</w:t>
      </w:r>
    </w:p>
    <w:p w14:paraId="172F1717" w14:textId="216C6DE5" w:rsidR="00930350" w:rsidRPr="003444A2" w:rsidRDefault="00930350" w:rsidP="00930350">
      <w:pPr>
        <w:rPr>
          <w:rFonts w:cstheme="majorHAnsi"/>
          <w:b/>
          <w:bCs/>
        </w:rPr>
      </w:pPr>
      <w:r w:rsidRPr="003444A2">
        <w:rPr>
          <w:rFonts w:cstheme="majorHAnsi"/>
          <w:b/>
          <w:bCs/>
        </w:rPr>
        <w:t>2</w:t>
      </w:r>
      <w:r w:rsidR="003444A2" w:rsidRPr="003444A2">
        <w:rPr>
          <w:rFonts w:cstheme="majorHAnsi"/>
          <w:b/>
          <w:bCs/>
        </w:rPr>
        <w:t>.</w:t>
      </w:r>
      <w:r w:rsidRPr="003444A2">
        <w:rPr>
          <w:rFonts w:cstheme="majorHAnsi"/>
          <w:b/>
          <w:bCs/>
        </w:rPr>
        <w:t xml:space="preserve"> Qualitative Analysis</w:t>
      </w:r>
    </w:p>
    <w:p w14:paraId="04959E6F" w14:textId="77777777" w:rsidR="00930350" w:rsidRPr="003444A2" w:rsidRDefault="00930350" w:rsidP="00930350">
      <w:pPr>
        <w:rPr>
          <w:rFonts w:cstheme="majorHAnsi"/>
        </w:rPr>
      </w:pPr>
      <w:r w:rsidRPr="003444A2">
        <w:rPr>
          <w:rFonts w:cstheme="majorHAnsi"/>
        </w:rPr>
        <w:t>The workforce performance is closely associated with HSG’s business context during the recovery of the Vietnamese steel industry. While many steel companies focused primarily on cost reduction, HSG continued investing in its workforce to support the expansion of the Hoa Sen Home retail network. Consequently, labour costs did not decline proportionally with revenue during the industry downturn, reflecting management’s emphasis on preserving operational capability rather than maximizing short-term cost savings.</w:t>
      </w:r>
    </w:p>
    <w:p w14:paraId="7AEBA9F7" w14:textId="77777777" w:rsidR="00930350" w:rsidRPr="003444A2" w:rsidRDefault="00930350" w:rsidP="00930350">
      <w:pPr>
        <w:rPr>
          <w:rFonts w:cstheme="majorHAnsi"/>
        </w:rPr>
      </w:pPr>
      <w:r w:rsidRPr="003444A2">
        <w:rPr>
          <w:rFonts w:cstheme="majorHAnsi"/>
        </w:rPr>
        <w:t>From an industry perspective, the recovery stage requires companies to improve productivity while maintaining sufficient operational capacity to capture future demand. Therefore, retaining experienced employees and strengthening sales and service capabilities became essential for supporting HSG’s integrated production and distribution model.</w:t>
      </w:r>
    </w:p>
    <w:p w14:paraId="3DE457ED" w14:textId="77777777" w:rsidR="00930350" w:rsidRPr="003444A2" w:rsidRDefault="00930350" w:rsidP="00930350">
      <w:pPr>
        <w:rPr>
          <w:rFonts w:cstheme="majorHAnsi"/>
        </w:rPr>
      </w:pPr>
      <w:r w:rsidRPr="003444A2">
        <w:rPr>
          <w:rFonts w:cstheme="majorHAnsi"/>
        </w:rPr>
        <w:t>These findings are also consistent with HSG’s long-term strategy. The transformation from a traditional steel manufacturer to an integrated building materials distributor requires a broader workforce across retail operations, logistics, customer service, and distribution management. As a result, the increase in employee-related costs should be interpreted as part of the company’s strategic investment in future growth rather than a deterioration in cost efficiency.</w:t>
      </w:r>
    </w:p>
    <w:p w14:paraId="7C0DE7DA" w14:textId="75AC2EC6" w:rsidR="00930350" w:rsidRPr="003444A2" w:rsidRDefault="00930350" w:rsidP="00930350">
      <w:pPr>
        <w:rPr>
          <w:rFonts w:cstheme="majorHAnsi"/>
          <w:b/>
          <w:bCs/>
        </w:rPr>
      </w:pPr>
      <w:r w:rsidRPr="003444A2">
        <w:rPr>
          <w:rFonts w:cstheme="majorHAnsi"/>
          <w:b/>
          <w:bCs/>
        </w:rPr>
        <w:t>3</w:t>
      </w:r>
      <w:r w:rsidR="003444A2" w:rsidRPr="003444A2">
        <w:rPr>
          <w:rFonts w:cstheme="majorHAnsi"/>
          <w:b/>
          <w:bCs/>
        </w:rPr>
        <w:t>.</w:t>
      </w:r>
      <w:r w:rsidRPr="003444A2">
        <w:rPr>
          <w:rFonts w:cstheme="majorHAnsi"/>
          <w:b/>
          <w:bCs/>
        </w:rPr>
        <w:t xml:space="preserve"> Quantitative</w:t>
      </w:r>
    </w:p>
    <w:p w14:paraId="3C847E59" w14:textId="77777777" w:rsidR="00930350" w:rsidRPr="003444A2" w:rsidRDefault="00930350" w:rsidP="00930350">
      <w:pPr>
        <w:rPr>
          <w:rFonts w:cstheme="majorHAnsi"/>
          <w:b/>
          <w:bCs/>
        </w:rPr>
      </w:pPr>
      <w:r w:rsidRPr="003444A2">
        <w:rPr>
          <w:rFonts w:cstheme="majorHAnsi"/>
          <w:b/>
          <w:bCs/>
        </w:rPr>
        <w:t>Competitor Benchmark</w:t>
      </w:r>
    </w:p>
    <w:p w14:paraId="41EFE264" w14:textId="77777777" w:rsidR="00930350" w:rsidRPr="003444A2" w:rsidRDefault="00930350" w:rsidP="00930350">
      <w:pPr>
        <w:rPr>
          <w:rFonts w:cstheme="majorHAnsi"/>
        </w:rPr>
      </w:pPr>
      <w:r w:rsidRPr="003444A2">
        <w:rPr>
          <w:rFonts w:cstheme="majorHAnsi"/>
        </w:rPr>
        <w:t>Compared with Nam Kim Steel, HSG demonstrated lower labour efficiency during the recovery period. NKG generated higher revenue per employee and maintained a leaner operating structure, indicating stronger workforce productivity. In contrast, HSG’s ongoing expansion of the Hoa Sen Home retail system required additional personnel, increasing labour costs during the transformation process.</w:t>
      </w:r>
    </w:p>
    <w:p w14:paraId="2ACCE9CD" w14:textId="77777777" w:rsidR="00930350" w:rsidRPr="003444A2" w:rsidRDefault="00930350" w:rsidP="00930350">
      <w:pPr>
        <w:rPr>
          <w:rFonts w:cstheme="majorHAnsi"/>
        </w:rPr>
      </w:pPr>
      <w:r w:rsidRPr="003444A2">
        <w:rPr>
          <w:rFonts w:cstheme="majorHAnsi"/>
        </w:rPr>
        <w:t>Although HSG’s labour productivity has improved compared with the previous year, the comparison suggests that further improvements in workforce efficiency will be necessary as the retail network continues to expand.</w:t>
      </w:r>
    </w:p>
    <w:p w14:paraId="12321E4A" w14:textId="77777777" w:rsidR="00930350" w:rsidRPr="003444A2" w:rsidRDefault="00930350" w:rsidP="00930350">
      <w:pPr>
        <w:rPr>
          <w:rFonts w:cstheme="majorHAnsi"/>
          <w:b/>
          <w:bCs/>
        </w:rPr>
      </w:pPr>
      <w:r w:rsidRPr="003444A2">
        <w:rPr>
          <w:rFonts w:cstheme="majorHAnsi"/>
          <w:b/>
          <w:bCs/>
        </w:rPr>
        <w:t>Industry Benchmark</w:t>
      </w:r>
    </w:p>
    <w:p w14:paraId="27C0B4EE" w14:textId="77777777" w:rsidR="00930350" w:rsidRPr="003444A2" w:rsidRDefault="00930350" w:rsidP="00930350">
      <w:pPr>
        <w:rPr>
          <w:rFonts w:cstheme="majorHAnsi"/>
        </w:rPr>
      </w:pPr>
      <w:r w:rsidRPr="003444A2">
        <w:rPr>
          <w:rFonts w:cstheme="majorHAnsi"/>
        </w:rPr>
        <w:t>Compared with leading companies in the Vietnamese steel industry, HSG’s labour productivity remained relatively moderate. The company’s transformation from a manufacturing-focused business toward an integrated production and retail model has increased demand for sales and service personnel, resulting in relatively higher labour intensity than purely manufacturing competitors.</w:t>
      </w:r>
    </w:p>
    <w:p w14:paraId="26E9E335" w14:textId="77777777" w:rsidR="00930350" w:rsidRPr="003444A2" w:rsidRDefault="00930350" w:rsidP="00930350">
      <w:pPr>
        <w:rPr>
          <w:rFonts w:cstheme="majorHAnsi"/>
        </w:rPr>
      </w:pPr>
      <w:r w:rsidRPr="003444A2">
        <w:rPr>
          <w:rFonts w:cstheme="majorHAnsi"/>
        </w:rPr>
        <w:lastRenderedPageBreak/>
        <w:t>Consequently, HSG’s labour efficiency should be interpreted within the context of its evolving business model rather than viewed solely as an operational weakness. Continued improvements in employee productivity and operational efficiency will be essential for supporting sustainable growth as the transformation strategy matures.</w:t>
      </w:r>
    </w:p>
    <w:p w14:paraId="75BE2C70" w14:textId="3D79FB39" w:rsidR="00930350" w:rsidRPr="003444A2" w:rsidRDefault="003444A2" w:rsidP="00930350">
      <w:pPr>
        <w:rPr>
          <w:rFonts w:cstheme="majorHAnsi"/>
          <w:b/>
          <w:bCs/>
        </w:rPr>
      </w:pPr>
      <w:r w:rsidRPr="003444A2">
        <w:rPr>
          <w:rFonts w:cstheme="majorHAnsi"/>
          <w:b/>
          <w:bCs/>
        </w:rPr>
        <w:t>4.</w:t>
      </w:r>
      <w:r w:rsidR="00930350" w:rsidRPr="003444A2">
        <w:rPr>
          <w:rFonts w:cstheme="majorHAnsi"/>
          <w:b/>
          <w:bCs/>
        </w:rPr>
        <w:t xml:space="preserve"> Conclusion</w:t>
      </w:r>
    </w:p>
    <w:p w14:paraId="1BBBA9C5" w14:textId="77777777" w:rsidR="00930350" w:rsidRPr="003444A2" w:rsidRDefault="00930350" w:rsidP="00930350">
      <w:pPr>
        <w:rPr>
          <w:rFonts w:cstheme="majorHAnsi"/>
        </w:rPr>
      </w:pPr>
      <w:r w:rsidRPr="003444A2">
        <w:rPr>
          <w:rFonts w:cstheme="majorHAnsi"/>
        </w:rPr>
        <w:t>From the employees’ perspective, HSG’s recovery demonstrates a commitment to maintaining workforce stability while supporting long-term business transformation. Although labour efficiency remains below that of several competitors, the company has continued investing in human resources to strengthen its expanding distribution network. Going forward, improving employee productivity while maintaining effective cost control will be essential to ensure that workforce development contributes to sustainable operational performance and long-term corporate growth.</w:t>
      </w:r>
    </w:p>
    <w:p w14:paraId="096C9F65" w14:textId="69F18CE4" w:rsidR="00930350" w:rsidRPr="003444A2" w:rsidRDefault="003444A2" w:rsidP="003444A2">
      <w:pPr>
        <w:pStyle w:val="Heading2"/>
      </w:pPr>
      <w:bookmarkStart w:id="33" w:name="_Toc233984155"/>
      <w:r w:rsidRPr="003444A2">
        <w:t>IV.</w:t>
      </w:r>
      <w:r w:rsidR="00930350" w:rsidRPr="003444A2">
        <w:t xml:space="preserve"> Conclusions</w:t>
      </w:r>
      <w:bookmarkEnd w:id="33"/>
    </w:p>
    <w:p w14:paraId="272B9B58" w14:textId="166547AA" w:rsidR="00930350" w:rsidRPr="003444A2" w:rsidRDefault="00930350" w:rsidP="00930350">
      <w:pPr>
        <w:rPr>
          <w:rFonts w:cstheme="majorHAnsi"/>
          <w:b/>
          <w:bCs/>
        </w:rPr>
      </w:pPr>
      <w:r w:rsidRPr="003444A2">
        <w:rPr>
          <w:rFonts w:cstheme="majorHAnsi"/>
          <w:b/>
          <w:bCs/>
        </w:rPr>
        <w:t>1</w:t>
      </w:r>
      <w:r w:rsidR="003444A2" w:rsidRPr="003444A2">
        <w:rPr>
          <w:rFonts w:cstheme="majorHAnsi"/>
          <w:b/>
          <w:bCs/>
        </w:rPr>
        <w:t>.</w:t>
      </w:r>
      <w:r w:rsidRPr="003444A2">
        <w:rPr>
          <w:rFonts w:cstheme="majorHAnsi"/>
          <w:b/>
          <w:bCs/>
        </w:rPr>
        <w:t xml:space="preserve"> Key Findings</w:t>
      </w:r>
    </w:p>
    <w:p w14:paraId="4EF3348B" w14:textId="77777777" w:rsidR="00930350" w:rsidRPr="003444A2" w:rsidRDefault="00930350" w:rsidP="00930350">
      <w:pPr>
        <w:rPr>
          <w:rFonts w:cstheme="majorHAnsi"/>
        </w:rPr>
      </w:pPr>
      <w:r w:rsidRPr="003444A2">
        <w:rPr>
          <w:rFonts w:cstheme="majorHAnsi"/>
        </w:rPr>
        <w:t>The decomposition results show that HSG’s financial recovery was primarily driven by improved profitability and operational efficiency. While ROA, ROCE, and ROE all improved during the period, the analyses consistently indicate that operational performance recovered faster than investment and financing efficiency. Financial asset returns and capital allocation remain the main constraints to further financial improvement.</w:t>
      </w:r>
    </w:p>
    <w:p w14:paraId="63338D77" w14:textId="0FF4F8CD" w:rsidR="00930350" w:rsidRPr="003444A2" w:rsidRDefault="00930350" w:rsidP="00930350">
      <w:pPr>
        <w:rPr>
          <w:rFonts w:cstheme="majorHAnsi"/>
          <w:b/>
          <w:bCs/>
        </w:rPr>
      </w:pPr>
      <w:r w:rsidRPr="003444A2">
        <w:rPr>
          <w:rFonts w:cstheme="majorHAnsi"/>
          <w:b/>
          <w:bCs/>
        </w:rPr>
        <w:t>2</w:t>
      </w:r>
      <w:r w:rsidR="003444A2" w:rsidRPr="003444A2">
        <w:rPr>
          <w:rFonts w:cstheme="majorHAnsi"/>
          <w:b/>
          <w:bCs/>
        </w:rPr>
        <w:t>.</w:t>
      </w:r>
      <w:r w:rsidRPr="003444A2">
        <w:rPr>
          <w:rFonts w:cstheme="majorHAnsi"/>
          <w:b/>
          <w:bCs/>
        </w:rPr>
        <w:t xml:space="preserve"> Stakeholder Perspectives</w:t>
      </w:r>
    </w:p>
    <w:p w14:paraId="4BC6E752" w14:textId="77777777" w:rsidR="00930350" w:rsidRPr="003444A2" w:rsidRDefault="00930350" w:rsidP="00930350">
      <w:pPr>
        <w:rPr>
          <w:rFonts w:cstheme="majorHAnsi"/>
        </w:rPr>
      </w:pPr>
      <w:r w:rsidRPr="003444A2">
        <w:rPr>
          <w:rFonts w:cstheme="majorHAnsi"/>
        </w:rPr>
        <w:t>From the management perspective, HSG successfully improved operational efficiency and strengthened profitability through disciplined investment and financing decisions. From the ownership perspective, shareholder value improved as ROE recovered, although further improvements in capital utilization are still required. From the employees’ perspective, workforce stability supported the company’s transformation strategy, but labour productivity remains below leading competitors.</w:t>
      </w:r>
    </w:p>
    <w:p w14:paraId="28A50D82" w14:textId="203C5FA8" w:rsidR="00930350" w:rsidRPr="003444A2" w:rsidRDefault="00930350" w:rsidP="00930350">
      <w:pPr>
        <w:rPr>
          <w:rFonts w:cstheme="majorHAnsi"/>
          <w:b/>
          <w:bCs/>
        </w:rPr>
      </w:pPr>
      <w:r w:rsidRPr="003444A2">
        <w:rPr>
          <w:rFonts w:cstheme="majorHAnsi"/>
          <w:b/>
          <w:bCs/>
        </w:rPr>
        <w:t>3</w:t>
      </w:r>
      <w:r w:rsidR="003444A2" w:rsidRPr="003444A2">
        <w:rPr>
          <w:rFonts w:cstheme="majorHAnsi"/>
          <w:b/>
          <w:bCs/>
        </w:rPr>
        <w:t>.</w:t>
      </w:r>
      <w:r w:rsidRPr="003444A2">
        <w:rPr>
          <w:rFonts w:cstheme="majorHAnsi"/>
          <w:b/>
          <w:bCs/>
        </w:rPr>
        <w:t xml:space="preserve"> Overall Assessment</w:t>
      </w:r>
    </w:p>
    <w:p w14:paraId="5F03EA19" w14:textId="77777777" w:rsidR="00930350" w:rsidRPr="003444A2" w:rsidRDefault="00930350" w:rsidP="00930350">
      <w:pPr>
        <w:rPr>
          <w:rFonts w:cstheme="majorHAnsi"/>
        </w:rPr>
      </w:pPr>
      <w:r w:rsidRPr="003444A2">
        <w:rPr>
          <w:rFonts w:cstheme="majorHAnsi"/>
        </w:rPr>
        <w:t xml:space="preserve">Overall, HSG demonstrated a clear financial recovery during the study period, supported by stronger profitability and more efficient utilization of existing assets. However, the analyses consistently indicate that </w:t>
      </w:r>
      <w:r w:rsidRPr="003444A2">
        <w:rPr>
          <w:rFonts w:cstheme="majorHAnsi"/>
          <w:b/>
          <w:bCs/>
        </w:rPr>
        <w:t>capital allocation efficiency remains the company’s weakest link</w:t>
      </w:r>
      <w:r w:rsidRPr="003444A2">
        <w:rPr>
          <w:rFonts w:cstheme="majorHAnsi"/>
        </w:rPr>
        <w:t>. Although ROA, ROCE, and ROE all improved, ROCE remained below WACC throughout the period, implying that the returns generated from capital employed were still insufficient to cover the company’s overall cost of capital. This suggests that HSG has successfully restored its operational performance but has not yet achieved sustainable economic value creation. Going forward, improving capital allocation efficiency and generating returns above WACC will be essential for strengthening the company’s long-term competitiveness and financial sustainability.</w:t>
      </w:r>
    </w:p>
    <w:p w14:paraId="51C9300F" w14:textId="77777777" w:rsidR="00930350" w:rsidRPr="003444A2" w:rsidRDefault="00930350" w:rsidP="00D20F81">
      <w:pPr>
        <w:rPr>
          <w:rFonts w:cstheme="majorHAnsi"/>
        </w:rPr>
      </w:pPr>
    </w:p>
    <w:p w14:paraId="50074910" w14:textId="77777777" w:rsidR="00930350" w:rsidRPr="003444A2" w:rsidRDefault="00930350" w:rsidP="00D20F81">
      <w:pPr>
        <w:rPr>
          <w:rFonts w:cstheme="majorHAnsi"/>
        </w:rPr>
      </w:pPr>
    </w:p>
    <w:p w14:paraId="53B46687" w14:textId="77777777" w:rsidR="00D20F81" w:rsidRPr="003444A2" w:rsidRDefault="00D20F81" w:rsidP="00D20F81">
      <w:pPr>
        <w:rPr>
          <w:rFonts w:cstheme="majorHAnsi"/>
        </w:rPr>
      </w:pPr>
    </w:p>
    <w:p w14:paraId="77F7E1C8" w14:textId="77777777" w:rsidR="00823944" w:rsidRPr="003444A2" w:rsidRDefault="00823944" w:rsidP="005650B8">
      <w:pPr>
        <w:rPr>
          <w:rFonts w:cstheme="majorHAnsi"/>
        </w:rPr>
      </w:pPr>
    </w:p>
    <w:p w14:paraId="48E8EC37" w14:textId="77777777" w:rsidR="005650B8" w:rsidRPr="003444A2" w:rsidRDefault="005650B8" w:rsidP="005650B8">
      <w:pPr>
        <w:rPr>
          <w:rFonts w:cstheme="majorHAnsi"/>
        </w:rPr>
      </w:pPr>
    </w:p>
    <w:p w14:paraId="3A20E62D" w14:textId="77777777" w:rsidR="005650B8" w:rsidRPr="003444A2" w:rsidRDefault="005650B8" w:rsidP="005650B8">
      <w:pPr>
        <w:rPr>
          <w:rFonts w:cstheme="majorHAnsi"/>
        </w:rPr>
      </w:pPr>
    </w:p>
    <w:p w14:paraId="7A8B6F78" w14:textId="77777777" w:rsidR="008A6767" w:rsidRPr="003444A2" w:rsidRDefault="008A6767" w:rsidP="008A6767">
      <w:pPr>
        <w:rPr>
          <w:rFonts w:cstheme="majorHAnsi"/>
        </w:rPr>
      </w:pPr>
    </w:p>
    <w:sectPr w:rsidR="008A6767" w:rsidRPr="003444A2" w:rsidSect="00C24B66">
      <w:type w:val="continuous"/>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CF068" w14:textId="77777777" w:rsidR="00B71D78" w:rsidRPr="003F1B0A" w:rsidRDefault="00B71D78" w:rsidP="001979C3">
      <w:pPr>
        <w:spacing w:after="0" w:line="240" w:lineRule="auto"/>
      </w:pPr>
      <w:r w:rsidRPr="003F1B0A">
        <w:separator/>
      </w:r>
    </w:p>
  </w:endnote>
  <w:endnote w:type="continuationSeparator" w:id="0">
    <w:p w14:paraId="50E78567" w14:textId="77777777" w:rsidR="00B71D78" w:rsidRPr="003F1B0A" w:rsidRDefault="00B71D78" w:rsidP="001979C3">
      <w:pPr>
        <w:spacing w:after="0" w:line="240" w:lineRule="auto"/>
      </w:pPr>
      <w:r w:rsidRPr="003F1B0A">
        <w:continuationSeparator/>
      </w:r>
    </w:p>
  </w:endnote>
  <w:endnote w:type="continuationNotice" w:id="1">
    <w:p w14:paraId="55766449" w14:textId="77777777" w:rsidR="00B71D78" w:rsidRPr="003F1B0A" w:rsidRDefault="00B71D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4783C" w14:textId="4C306F3D" w:rsidR="00C72473" w:rsidRPr="003F1B0A" w:rsidRDefault="00C72473" w:rsidP="00C72473">
    <w:pPr>
      <w:pStyle w:val="Header"/>
      <w:rPr>
        <w:rFonts w:cstheme="majorHAnsi"/>
        <w:sz w:val="24"/>
        <w:szCs w:val="24"/>
      </w:rPr>
    </w:pPr>
    <w:r w:rsidRPr="003F1B0A">
      <w:rPr>
        <w:rFonts w:cstheme="majorHAnsi"/>
        <w:i/>
        <w:sz w:val="24"/>
        <w:szCs w:val="24"/>
      </w:rPr>
      <w:t>Đồ án môn học</w:t>
    </w:r>
    <w:r w:rsidRPr="003F1B0A">
      <w:rPr>
        <w:rFonts w:cstheme="majorHAnsi"/>
        <w:i/>
        <w:sz w:val="24"/>
        <w:szCs w:val="24"/>
      </w:rPr>
      <w:tab/>
    </w:r>
    <w:r w:rsidRPr="003F1B0A">
      <w:rPr>
        <w:rFonts w:cstheme="majorHAnsi"/>
        <w:i/>
        <w:sz w:val="24"/>
        <w:szCs w:val="24"/>
      </w:rPr>
      <w:tab/>
    </w:r>
    <w:sdt>
      <w:sdtPr>
        <w:rPr>
          <w:rFonts w:cstheme="majorHAnsi"/>
          <w:sz w:val="24"/>
          <w:szCs w:val="24"/>
        </w:rPr>
        <w:id w:val="555905937"/>
        <w:docPartObj>
          <w:docPartGallery w:val="Page Numbers (Top of Page)"/>
          <w:docPartUnique/>
        </w:docPartObj>
      </w:sdtPr>
      <w:sdtContent>
        <w:r w:rsidRPr="003F1B0A">
          <w:rPr>
            <w:rFonts w:cstheme="majorHAnsi"/>
            <w:sz w:val="24"/>
            <w:szCs w:val="24"/>
          </w:rPr>
          <w:fldChar w:fldCharType="begin"/>
        </w:r>
        <w:r w:rsidRPr="003F1B0A">
          <w:rPr>
            <w:rFonts w:cstheme="majorHAnsi"/>
            <w:sz w:val="24"/>
            <w:szCs w:val="24"/>
          </w:rPr>
          <w:instrText xml:space="preserve"> PAGE   \* MERGEFORMAT </w:instrText>
        </w:r>
        <w:r w:rsidRPr="003F1B0A">
          <w:rPr>
            <w:rFonts w:cstheme="majorHAnsi"/>
            <w:sz w:val="24"/>
            <w:szCs w:val="24"/>
          </w:rPr>
          <w:fldChar w:fldCharType="separate"/>
        </w:r>
        <w:r w:rsidRPr="003F1B0A">
          <w:rPr>
            <w:rFonts w:cstheme="majorHAnsi"/>
            <w:sz w:val="24"/>
            <w:szCs w:val="24"/>
          </w:rPr>
          <w:t>2</w:t>
        </w:r>
        <w:r w:rsidRPr="003F1B0A">
          <w:rPr>
            <w:rFonts w:cstheme="majorHAnsi"/>
            <w:sz w:val="24"/>
            <w:szCs w:val="24"/>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6CAA" w14:textId="0E419743" w:rsidR="007057DD" w:rsidRPr="003F1B0A" w:rsidRDefault="00984D43" w:rsidP="00984D43">
    <w:pPr>
      <w:pStyle w:val="Header"/>
      <w:rPr>
        <w:rFonts w:cstheme="majorHAnsi"/>
        <w:sz w:val="24"/>
        <w:szCs w:val="24"/>
      </w:rPr>
    </w:pPr>
    <w:r w:rsidRPr="003F1B0A">
      <w:rPr>
        <w:rFonts w:cstheme="majorHAnsi"/>
        <w:i/>
        <w:sz w:val="24"/>
        <w:szCs w:val="24"/>
      </w:rPr>
      <w:tab/>
    </w:r>
    <w:r w:rsidRPr="003F1B0A">
      <w:rPr>
        <w:rFonts w:cstheme="majorHAnsi"/>
        <w:i/>
        <w:sz w:val="24"/>
        <w:szCs w:val="24"/>
      </w:rPr>
      <w:tab/>
    </w:r>
    <w:sdt>
      <w:sdtPr>
        <w:rPr>
          <w:rFonts w:cstheme="majorHAnsi"/>
          <w:sz w:val="24"/>
          <w:szCs w:val="24"/>
        </w:rPr>
        <w:id w:val="1973090635"/>
        <w:docPartObj>
          <w:docPartGallery w:val="Page Numbers (Top of Page)"/>
          <w:docPartUnique/>
        </w:docPartObj>
      </w:sdtPr>
      <w:sdtContent>
        <w:r w:rsidRPr="003F1B0A">
          <w:rPr>
            <w:rFonts w:cstheme="majorHAnsi"/>
            <w:sz w:val="24"/>
            <w:szCs w:val="24"/>
          </w:rPr>
          <w:fldChar w:fldCharType="begin"/>
        </w:r>
        <w:r w:rsidRPr="003F1B0A">
          <w:rPr>
            <w:rFonts w:cstheme="majorHAnsi"/>
            <w:sz w:val="24"/>
            <w:szCs w:val="24"/>
          </w:rPr>
          <w:instrText xml:space="preserve"> PAGE   \* MERGEFORMAT </w:instrText>
        </w:r>
        <w:r w:rsidRPr="003F1B0A">
          <w:rPr>
            <w:rFonts w:cstheme="majorHAnsi"/>
            <w:sz w:val="24"/>
            <w:szCs w:val="24"/>
          </w:rPr>
          <w:fldChar w:fldCharType="separate"/>
        </w:r>
        <w:r w:rsidRPr="003F1B0A">
          <w:rPr>
            <w:rFonts w:cstheme="majorHAnsi"/>
            <w:sz w:val="24"/>
            <w:szCs w:val="24"/>
          </w:rPr>
          <w:t>2</w:t>
        </w:r>
        <w:r w:rsidRPr="003F1B0A">
          <w:rPr>
            <w:rFonts w:cstheme="majorHAnsi"/>
            <w:sz w:val="24"/>
            <w:szCs w:val="24"/>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414AC" w14:textId="77777777" w:rsidR="00984D43" w:rsidRPr="003F1B0A" w:rsidRDefault="00000000">
    <w:pPr>
      <w:pStyle w:val="Footer"/>
    </w:pPr>
    <w:sdt>
      <w:sdtPr>
        <w:rPr>
          <w:rFonts w:cstheme="majorHAnsi"/>
          <w:sz w:val="24"/>
          <w:szCs w:val="24"/>
        </w:rPr>
        <w:id w:val="-1709017973"/>
        <w:docPartObj>
          <w:docPartGallery w:val="Page Numbers (Top of Page)"/>
          <w:docPartUnique/>
        </w:docPartObj>
      </w:sdtPr>
      <w:sdtContent>
        <w:r w:rsidR="00984D43" w:rsidRPr="003F1B0A">
          <w:rPr>
            <w:rFonts w:cstheme="majorHAnsi"/>
            <w:sz w:val="24"/>
            <w:szCs w:val="24"/>
          </w:rPr>
          <w:fldChar w:fldCharType="begin"/>
        </w:r>
        <w:r w:rsidR="00984D43" w:rsidRPr="003F1B0A">
          <w:rPr>
            <w:rFonts w:cstheme="majorHAnsi"/>
            <w:sz w:val="24"/>
            <w:szCs w:val="24"/>
          </w:rPr>
          <w:instrText xml:space="preserve"> PAGE   \* MERGEFORMAT </w:instrText>
        </w:r>
        <w:r w:rsidR="00984D43" w:rsidRPr="003F1B0A">
          <w:rPr>
            <w:rFonts w:cstheme="majorHAnsi"/>
            <w:sz w:val="24"/>
            <w:szCs w:val="24"/>
          </w:rPr>
          <w:fldChar w:fldCharType="separate"/>
        </w:r>
        <w:r w:rsidR="00984D43" w:rsidRPr="003F1B0A">
          <w:rPr>
            <w:rFonts w:cstheme="majorHAnsi"/>
            <w:sz w:val="24"/>
            <w:szCs w:val="24"/>
          </w:rPr>
          <w:t>2</w:t>
        </w:r>
        <w:r w:rsidR="00984D43" w:rsidRPr="003F1B0A">
          <w:rPr>
            <w:rFonts w:cstheme="majorHAnsi"/>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A2A5F" w14:textId="77777777" w:rsidR="00B71D78" w:rsidRPr="003F1B0A" w:rsidRDefault="00B71D78" w:rsidP="001979C3">
      <w:pPr>
        <w:spacing w:after="0" w:line="240" w:lineRule="auto"/>
      </w:pPr>
      <w:r w:rsidRPr="003F1B0A">
        <w:separator/>
      </w:r>
    </w:p>
  </w:footnote>
  <w:footnote w:type="continuationSeparator" w:id="0">
    <w:p w14:paraId="41BDD56B" w14:textId="77777777" w:rsidR="00B71D78" w:rsidRPr="003F1B0A" w:rsidRDefault="00B71D78" w:rsidP="001979C3">
      <w:pPr>
        <w:spacing w:after="0" w:line="240" w:lineRule="auto"/>
      </w:pPr>
      <w:r w:rsidRPr="003F1B0A">
        <w:continuationSeparator/>
      </w:r>
    </w:p>
  </w:footnote>
  <w:footnote w:type="continuationNotice" w:id="1">
    <w:p w14:paraId="6AF5CC04" w14:textId="77777777" w:rsidR="00B71D78" w:rsidRPr="003F1B0A" w:rsidRDefault="00B71D7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48170" w14:textId="4F3F1AE9" w:rsidR="007057DD" w:rsidRPr="003F1B0A" w:rsidRDefault="007057DD">
    <w:pPr>
      <w:pStyle w:val="Header"/>
      <w:rPr>
        <w:rFonts w:cstheme="majorHAnsi"/>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4A5E" w14:textId="79257EBE" w:rsidR="009503D9" w:rsidRPr="003F1B0A" w:rsidRDefault="009503D9">
    <w:pPr>
      <w:pStyle w:val="Header"/>
      <w:rPr>
        <w:rFonts w:cstheme="majorHAnsi"/>
        <w:i/>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E191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82529D6"/>
    <w:multiLevelType w:val="multilevel"/>
    <w:tmpl w:val="4D94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D6A9B"/>
    <w:multiLevelType w:val="multilevel"/>
    <w:tmpl w:val="25A223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5C451C"/>
    <w:multiLevelType w:val="hybridMultilevel"/>
    <w:tmpl w:val="0A0E0CD8"/>
    <w:lvl w:ilvl="0" w:tplc="CA662F3A">
      <w:start w:val="3"/>
      <w:numFmt w:val="bullet"/>
      <w:lvlText w:val="-"/>
      <w:lvlJc w:val="left"/>
      <w:pPr>
        <w:ind w:left="1440" w:hanging="360"/>
      </w:pPr>
      <w:rPr>
        <w:rFonts w:ascii="Times New Roman" w:eastAsiaTheme="minorHAnsi" w:hAnsi="Times New Roman" w:cs="Times New Roman"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245651"/>
    <w:multiLevelType w:val="multilevel"/>
    <w:tmpl w:val="52DA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24829"/>
    <w:multiLevelType w:val="multilevel"/>
    <w:tmpl w:val="4196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E07E2"/>
    <w:multiLevelType w:val="hybridMultilevel"/>
    <w:tmpl w:val="97C007C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5727DAD"/>
    <w:multiLevelType w:val="hybridMultilevel"/>
    <w:tmpl w:val="45BE1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76002C"/>
    <w:multiLevelType w:val="hybridMultilevel"/>
    <w:tmpl w:val="76DA12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DF317DA"/>
    <w:multiLevelType w:val="multilevel"/>
    <w:tmpl w:val="51A0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B74D4"/>
    <w:multiLevelType w:val="hybridMultilevel"/>
    <w:tmpl w:val="98E2B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FC455C3"/>
    <w:multiLevelType w:val="hybridMultilevel"/>
    <w:tmpl w:val="CF7089B8"/>
    <w:lvl w:ilvl="0" w:tplc="CA662F3A">
      <w:start w:val="3"/>
      <w:numFmt w:val="bullet"/>
      <w:lvlText w:val="-"/>
      <w:lvlJc w:val="left"/>
      <w:pPr>
        <w:ind w:left="1440" w:hanging="360"/>
      </w:pPr>
      <w:rPr>
        <w:rFonts w:ascii="Times New Roman" w:eastAsiaTheme="minorHAnsi" w:hAnsi="Times New Roman" w:cs="Times New Roman"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0F87BDE"/>
    <w:multiLevelType w:val="hybridMultilevel"/>
    <w:tmpl w:val="AB207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606CC2"/>
    <w:multiLevelType w:val="hybridMultilevel"/>
    <w:tmpl w:val="4E22F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180DAA"/>
    <w:multiLevelType w:val="multilevel"/>
    <w:tmpl w:val="DCA2F5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5E13D8"/>
    <w:multiLevelType w:val="multilevel"/>
    <w:tmpl w:val="09242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5B32D8"/>
    <w:multiLevelType w:val="multilevel"/>
    <w:tmpl w:val="9D0EAB4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1E4182"/>
    <w:multiLevelType w:val="hybridMultilevel"/>
    <w:tmpl w:val="B4C69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746857"/>
    <w:multiLevelType w:val="multilevel"/>
    <w:tmpl w:val="504C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271C9"/>
    <w:multiLevelType w:val="multilevel"/>
    <w:tmpl w:val="DF2E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037F66"/>
    <w:multiLevelType w:val="hybridMultilevel"/>
    <w:tmpl w:val="908AA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200989"/>
    <w:multiLevelType w:val="multilevel"/>
    <w:tmpl w:val="F1D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F72CB2"/>
    <w:multiLevelType w:val="hybridMultilevel"/>
    <w:tmpl w:val="D9DA1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DD1512"/>
    <w:multiLevelType w:val="multilevel"/>
    <w:tmpl w:val="F530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F027A1"/>
    <w:multiLevelType w:val="multilevel"/>
    <w:tmpl w:val="A8BA53F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3FCC2DF8"/>
    <w:multiLevelType w:val="multilevel"/>
    <w:tmpl w:val="70B4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3024E2"/>
    <w:multiLevelType w:val="multilevel"/>
    <w:tmpl w:val="5428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1C38F2"/>
    <w:multiLevelType w:val="hybridMultilevel"/>
    <w:tmpl w:val="A5ECB9CE"/>
    <w:lvl w:ilvl="0" w:tplc="CA662F3A">
      <w:start w:val="3"/>
      <w:numFmt w:val="bullet"/>
      <w:lvlText w:val="-"/>
      <w:lvlJc w:val="left"/>
      <w:pPr>
        <w:ind w:left="1440" w:hanging="360"/>
      </w:pPr>
      <w:rPr>
        <w:rFonts w:ascii="Times New Roman" w:eastAsiaTheme="minorHAnsi" w:hAnsi="Times New Roman" w:cs="Times New Roman"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B3746F8"/>
    <w:multiLevelType w:val="multilevel"/>
    <w:tmpl w:val="9F6E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6B690F"/>
    <w:multiLevelType w:val="hybridMultilevel"/>
    <w:tmpl w:val="409CF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1813D3"/>
    <w:multiLevelType w:val="multilevel"/>
    <w:tmpl w:val="8C7C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C23E52"/>
    <w:multiLevelType w:val="hybridMultilevel"/>
    <w:tmpl w:val="2CBEC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CC4474"/>
    <w:multiLevelType w:val="hybridMultilevel"/>
    <w:tmpl w:val="BD061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7E795C"/>
    <w:multiLevelType w:val="multilevel"/>
    <w:tmpl w:val="12CC5D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4F2555"/>
    <w:multiLevelType w:val="multilevel"/>
    <w:tmpl w:val="B4F250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4475B6"/>
    <w:multiLevelType w:val="multilevel"/>
    <w:tmpl w:val="31A0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CC3888"/>
    <w:multiLevelType w:val="multilevel"/>
    <w:tmpl w:val="F53E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FA037C"/>
    <w:multiLevelType w:val="multilevel"/>
    <w:tmpl w:val="D7580BB4"/>
    <w:lvl w:ilvl="0">
      <w:start w:val="1"/>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D162F80"/>
    <w:multiLevelType w:val="hybridMultilevel"/>
    <w:tmpl w:val="FF004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6D3582"/>
    <w:multiLevelType w:val="multilevel"/>
    <w:tmpl w:val="1BB09D22"/>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D9A03D7"/>
    <w:multiLevelType w:val="multilevel"/>
    <w:tmpl w:val="E802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2E7421"/>
    <w:multiLevelType w:val="multilevel"/>
    <w:tmpl w:val="E72E65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D26B15"/>
    <w:multiLevelType w:val="multilevel"/>
    <w:tmpl w:val="277E56E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FB2946"/>
    <w:multiLevelType w:val="hybridMultilevel"/>
    <w:tmpl w:val="1AE084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C620D5A"/>
    <w:multiLevelType w:val="hybridMultilevel"/>
    <w:tmpl w:val="B70AA5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D5D2B31"/>
    <w:multiLevelType w:val="multilevel"/>
    <w:tmpl w:val="5240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9963C5"/>
    <w:multiLevelType w:val="multilevel"/>
    <w:tmpl w:val="8E4A2B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3574962">
    <w:abstractNumId w:val="37"/>
  </w:num>
  <w:num w:numId="2" w16cid:durableId="573200970">
    <w:abstractNumId w:val="8"/>
  </w:num>
  <w:num w:numId="3" w16cid:durableId="1771659844">
    <w:abstractNumId w:val="10"/>
  </w:num>
  <w:num w:numId="4" w16cid:durableId="1485388266">
    <w:abstractNumId w:val="43"/>
  </w:num>
  <w:num w:numId="5" w16cid:durableId="567763510">
    <w:abstractNumId w:val="0"/>
  </w:num>
  <w:num w:numId="6" w16cid:durableId="1935505004">
    <w:abstractNumId w:val="24"/>
  </w:num>
  <w:num w:numId="7" w16cid:durableId="2028405266">
    <w:abstractNumId w:val="11"/>
  </w:num>
  <w:num w:numId="8" w16cid:durableId="553543294">
    <w:abstractNumId w:val="27"/>
  </w:num>
  <w:num w:numId="9" w16cid:durableId="1363750431">
    <w:abstractNumId w:val="3"/>
  </w:num>
  <w:num w:numId="10" w16cid:durableId="77673791">
    <w:abstractNumId w:val="38"/>
  </w:num>
  <w:num w:numId="11" w16cid:durableId="1172525456">
    <w:abstractNumId w:val="22"/>
  </w:num>
  <w:num w:numId="12" w16cid:durableId="1727728487">
    <w:abstractNumId w:val="13"/>
  </w:num>
  <w:num w:numId="13" w16cid:durableId="2069262593">
    <w:abstractNumId w:val="39"/>
  </w:num>
  <w:num w:numId="14" w16cid:durableId="1979341002">
    <w:abstractNumId w:val="7"/>
  </w:num>
  <w:num w:numId="15" w16cid:durableId="418331592">
    <w:abstractNumId w:val="20"/>
  </w:num>
  <w:num w:numId="16" w16cid:durableId="2064788231">
    <w:abstractNumId w:val="29"/>
  </w:num>
  <w:num w:numId="17" w16cid:durableId="749739310">
    <w:abstractNumId w:val="12"/>
  </w:num>
  <w:num w:numId="18" w16cid:durableId="2002392302">
    <w:abstractNumId w:val="17"/>
  </w:num>
  <w:num w:numId="19" w16cid:durableId="2086952414">
    <w:abstractNumId w:val="32"/>
  </w:num>
  <w:num w:numId="20" w16cid:durableId="473105292">
    <w:abstractNumId w:val="6"/>
  </w:num>
  <w:num w:numId="21" w16cid:durableId="1235428794">
    <w:abstractNumId w:val="44"/>
  </w:num>
  <w:num w:numId="22" w16cid:durableId="1334142481">
    <w:abstractNumId w:val="31"/>
  </w:num>
  <w:num w:numId="23" w16cid:durableId="170150391">
    <w:abstractNumId w:val="19"/>
  </w:num>
  <w:num w:numId="24" w16cid:durableId="317929614">
    <w:abstractNumId w:val="25"/>
  </w:num>
  <w:num w:numId="25" w16cid:durableId="1039357444">
    <w:abstractNumId w:val="36"/>
  </w:num>
  <w:num w:numId="26" w16cid:durableId="1754665250">
    <w:abstractNumId w:val="18"/>
  </w:num>
  <w:num w:numId="27" w16cid:durableId="1724332283">
    <w:abstractNumId w:val="42"/>
  </w:num>
  <w:num w:numId="28" w16cid:durableId="113641910">
    <w:abstractNumId w:val="23"/>
  </w:num>
  <w:num w:numId="29" w16cid:durableId="828525464">
    <w:abstractNumId w:val="15"/>
  </w:num>
  <w:num w:numId="30" w16cid:durableId="898980242">
    <w:abstractNumId w:val="33"/>
    <w:lvlOverride w:ilvl="0">
      <w:lvl w:ilvl="0">
        <w:numFmt w:val="decimal"/>
        <w:lvlText w:val="%1."/>
        <w:lvlJc w:val="left"/>
      </w:lvl>
    </w:lvlOverride>
  </w:num>
  <w:num w:numId="31" w16cid:durableId="1636256421">
    <w:abstractNumId w:val="14"/>
    <w:lvlOverride w:ilvl="0">
      <w:lvl w:ilvl="0">
        <w:numFmt w:val="decimal"/>
        <w:lvlText w:val="%1."/>
        <w:lvlJc w:val="left"/>
      </w:lvl>
    </w:lvlOverride>
  </w:num>
  <w:num w:numId="32" w16cid:durableId="1801220536">
    <w:abstractNumId w:val="21"/>
  </w:num>
  <w:num w:numId="33" w16cid:durableId="1289775466">
    <w:abstractNumId w:val="41"/>
    <w:lvlOverride w:ilvl="0">
      <w:lvl w:ilvl="0">
        <w:numFmt w:val="decimal"/>
        <w:lvlText w:val="%1."/>
        <w:lvlJc w:val="left"/>
      </w:lvl>
    </w:lvlOverride>
  </w:num>
  <w:num w:numId="34" w16cid:durableId="1483497649">
    <w:abstractNumId w:val="46"/>
    <w:lvlOverride w:ilvl="0">
      <w:lvl w:ilvl="0">
        <w:numFmt w:val="decimal"/>
        <w:lvlText w:val="%1."/>
        <w:lvlJc w:val="left"/>
      </w:lvl>
    </w:lvlOverride>
  </w:num>
  <w:num w:numId="35" w16cid:durableId="516043273">
    <w:abstractNumId w:val="2"/>
    <w:lvlOverride w:ilvl="0">
      <w:lvl w:ilvl="0">
        <w:numFmt w:val="decimal"/>
        <w:lvlText w:val="%1."/>
        <w:lvlJc w:val="left"/>
      </w:lvl>
    </w:lvlOverride>
  </w:num>
  <w:num w:numId="36" w16cid:durableId="1799301288">
    <w:abstractNumId w:val="34"/>
    <w:lvlOverride w:ilvl="0">
      <w:lvl w:ilvl="0">
        <w:numFmt w:val="decimal"/>
        <w:lvlText w:val="%1."/>
        <w:lvlJc w:val="left"/>
      </w:lvl>
    </w:lvlOverride>
  </w:num>
  <w:num w:numId="37" w16cid:durableId="921767102">
    <w:abstractNumId w:val="16"/>
    <w:lvlOverride w:ilvl="0">
      <w:lvl w:ilvl="0">
        <w:numFmt w:val="decimal"/>
        <w:lvlText w:val="%1."/>
        <w:lvlJc w:val="left"/>
      </w:lvl>
    </w:lvlOverride>
  </w:num>
  <w:num w:numId="38" w16cid:durableId="997685726">
    <w:abstractNumId w:val="26"/>
  </w:num>
  <w:num w:numId="39" w16cid:durableId="973406536">
    <w:abstractNumId w:val="40"/>
  </w:num>
  <w:num w:numId="40" w16cid:durableId="1326397854">
    <w:abstractNumId w:val="9"/>
  </w:num>
  <w:num w:numId="41" w16cid:durableId="114645602">
    <w:abstractNumId w:val="5"/>
  </w:num>
  <w:num w:numId="42" w16cid:durableId="1737240259">
    <w:abstractNumId w:val="1"/>
  </w:num>
  <w:num w:numId="43" w16cid:durableId="681011852">
    <w:abstractNumId w:val="4"/>
  </w:num>
  <w:num w:numId="44" w16cid:durableId="1123033629">
    <w:abstractNumId w:val="35"/>
  </w:num>
  <w:num w:numId="45" w16cid:durableId="1051418931">
    <w:abstractNumId w:val="30"/>
  </w:num>
  <w:num w:numId="46" w16cid:durableId="274795366">
    <w:abstractNumId w:val="28"/>
  </w:num>
  <w:num w:numId="47" w16cid:durableId="957102371">
    <w:abstractNumId w:val="4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304"/>
    <w:rsid w:val="0000059A"/>
    <w:rsid w:val="00001B5B"/>
    <w:rsid w:val="000032EA"/>
    <w:rsid w:val="000056AC"/>
    <w:rsid w:val="00010049"/>
    <w:rsid w:val="0001043D"/>
    <w:rsid w:val="00010690"/>
    <w:rsid w:val="0001086E"/>
    <w:rsid w:val="00011489"/>
    <w:rsid w:val="00012D7F"/>
    <w:rsid w:val="000144A3"/>
    <w:rsid w:val="000150AE"/>
    <w:rsid w:val="0001513C"/>
    <w:rsid w:val="00015932"/>
    <w:rsid w:val="00016BF3"/>
    <w:rsid w:val="00017483"/>
    <w:rsid w:val="00020CBA"/>
    <w:rsid w:val="00021FED"/>
    <w:rsid w:val="000236C8"/>
    <w:rsid w:val="000249A9"/>
    <w:rsid w:val="00024E10"/>
    <w:rsid w:val="00025F04"/>
    <w:rsid w:val="00026182"/>
    <w:rsid w:val="000313C2"/>
    <w:rsid w:val="00031447"/>
    <w:rsid w:val="00031E0E"/>
    <w:rsid w:val="000323D6"/>
    <w:rsid w:val="00032A97"/>
    <w:rsid w:val="00034DC7"/>
    <w:rsid w:val="00035879"/>
    <w:rsid w:val="0004077D"/>
    <w:rsid w:val="000409DF"/>
    <w:rsid w:val="00042567"/>
    <w:rsid w:val="00042AB5"/>
    <w:rsid w:val="00042EFE"/>
    <w:rsid w:val="0004334E"/>
    <w:rsid w:val="000440D8"/>
    <w:rsid w:val="0004504F"/>
    <w:rsid w:val="00045677"/>
    <w:rsid w:val="00046EBD"/>
    <w:rsid w:val="00050C07"/>
    <w:rsid w:val="00051BDC"/>
    <w:rsid w:val="00051FB5"/>
    <w:rsid w:val="00053018"/>
    <w:rsid w:val="00057341"/>
    <w:rsid w:val="00060235"/>
    <w:rsid w:val="000611BE"/>
    <w:rsid w:val="0006350A"/>
    <w:rsid w:val="00064BE1"/>
    <w:rsid w:val="00065E6B"/>
    <w:rsid w:val="00066A7F"/>
    <w:rsid w:val="00067D01"/>
    <w:rsid w:val="000706EF"/>
    <w:rsid w:val="00071ED3"/>
    <w:rsid w:val="000721BB"/>
    <w:rsid w:val="00073647"/>
    <w:rsid w:val="000753F5"/>
    <w:rsid w:val="000754C0"/>
    <w:rsid w:val="00077252"/>
    <w:rsid w:val="00081334"/>
    <w:rsid w:val="000814D0"/>
    <w:rsid w:val="00082339"/>
    <w:rsid w:val="0008270C"/>
    <w:rsid w:val="0008304D"/>
    <w:rsid w:val="0008368E"/>
    <w:rsid w:val="00083C28"/>
    <w:rsid w:val="00085030"/>
    <w:rsid w:val="00085466"/>
    <w:rsid w:val="00086352"/>
    <w:rsid w:val="000874BF"/>
    <w:rsid w:val="0009177D"/>
    <w:rsid w:val="00094396"/>
    <w:rsid w:val="00094479"/>
    <w:rsid w:val="00094E86"/>
    <w:rsid w:val="00095261"/>
    <w:rsid w:val="000978D1"/>
    <w:rsid w:val="000A21EA"/>
    <w:rsid w:val="000A2414"/>
    <w:rsid w:val="000A28EB"/>
    <w:rsid w:val="000A2F66"/>
    <w:rsid w:val="000A49D4"/>
    <w:rsid w:val="000A4C6F"/>
    <w:rsid w:val="000A5D92"/>
    <w:rsid w:val="000A6DC7"/>
    <w:rsid w:val="000A736D"/>
    <w:rsid w:val="000A79AB"/>
    <w:rsid w:val="000A7B7D"/>
    <w:rsid w:val="000B0122"/>
    <w:rsid w:val="000B1EF0"/>
    <w:rsid w:val="000B34EB"/>
    <w:rsid w:val="000B4FF6"/>
    <w:rsid w:val="000B5070"/>
    <w:rsid w:val="000B5A6E"/>
    <w:rsid w:val="000B75E2"/>
    <w:rsid w:val="000B7821"/>
    <w:rsid w:val="000C01F0"/>
    <w:rsid w:val="000C0459"/>
    <w:rsid w:val="000C1619"/>
    <w:rsid w:val="000C1B44"/>
    <w:rsid w:val="000C2E26"/>
    <w:rsid w:val="000C4D41"/>
    <w:rsid w:val="000C5973"/>
    <w:rsid w:val="000C73AA"/>
    <w:rsid w:val="000C74AB"/>
    <w:rsid w:val="000C7C46"/>
    <w:rsid w:val="000D1D38"/>
    <w:rsid w:val="000D3ABF"/>
    <w:rsid w:val="000D3CCB"/>
    <w:rsid w:val="000D40D8"/>
    <w:rsid w:val="000D4B87"/>
    <w:rsid w:val="000E43A0"/>
    <w:rsid w:val="000E4561"/>
    <w:rsid w:val="000E73A7"/>
    <w:rsid w:val="000E7CA5"/>
    <w:rsid w:val="000F2B63"/>
    <w:rsid w:val="000F3695"/>
    <w:rsid w:val="000F3DCA"/>
    <w:rsid w:val="000F4758"/>
    <w:rsid w:val="000F5244"/>
    <w:rsid w:val="000F62CE"/>
    <w:rsid w:val="000F70FF"/>
    <w:rsid w:val="000F73AD"/>
    <w:rsid w:val="000F7ACF"/>
    <w:rsid w:val="001000CB"/>
    <w:rsid w:val="00102719"/>
    <w:rsid w:val="001027DF"/>
    <w:rsid w:val="00104E7E"/>
    <w:rsid w:val="00105909"/>
    <w:rsid w:val="001059EE"/>
    <w:rsid w:val="001076DC"/>
    <w:rsid w:val="00111813"/>
    <w:rsid w:val="001149AB"/>
    <w:rsid w:val="001150CC"/>
    <w:rsid w:val="00115C94"/>
    <w:rsid w:val="001167B3"/>
    <w:rsid w:val="00116A62"/>
    <w:rsid w:val="0011767B"/>
    <w:rsid w:val="00120624"/>
    <w:rsid w:val="0012172C"/>
    <w:rsid w:val="00124A85"/>
    <w:rsid w:val="001260DF"/>
    <w:rsid w:val="00130CC1"/>
    <w:rsid w:val="001319FA"/>
    <w:rsid w:val="00131A44"/>
    <w:rsid w:val="00132521"/>
    <w:rsid w:val="00133E51"/>
    <w:rsid w:val="0013427D"/>
    <w:rsid w:val="00134433"/>
    <w:rsid w:val="00134B4E"/>
    <w:rsid w:val="00135065"/>
    <w:rsid w:val="001351E3"/>
    <w:rsid w:val="0013644B"/>
    <w:rsid w:val="001366D0"/>
    <w:rsid w:val="00136B25"/>
    <w:rsid w:val="0013718A"/>
    <w:rsid w:val="00137898"/>
    <w:rsid w:val="00142A26"/>
    <w:rsid w:val="001433DB"/>
    <w:rsid w:val="001453FA"/>
    <w:rsid w:val="0014635E"/>
    <w:rsid w:val="00146EF0"/>
    <w:rsid w:val="00146F82"/>
    <w:rsid w:val="001522F3"/>
    <w:rsid w:val="001523F8"/>
    <w:rsid w:val="00152781"/>
    <w:rsid w:val="001546F8"/>
    <w:rsid w:val="0015522F"/>
    <w:rsid w:val="00156526"/>
    <w:rsid w:val="00156F8F"/>
    <w:rsid w:val="00157F40"/>
    <w:rsid w:val="00163F14"/>
    <w:rsid w:val="0016577A"/>
    <w:rsid w:val="00165DBC"/>
    <w:rsid w:val="00165E0F"/>
    <w:rsid w:val="00166028"/>
    <w:rsid w:val="0016674B"/>
    <w:rsid w:val="00167B9C"/>
    <w:rsid w:val="00167E93"/>
    <w:rsid w:val="00171064"/>
    <w:rsid w:val="001724AF"/>
    <w:rsid w:val="00172CE2"/>
    <w:rsid w:val="00175050"/>
    <w:rsid w:val="0017535A"/>
    <w:rsid w:val="00176FA9"/>
    <w:rsid w:val="00180443"/>
    <w:rsid w:val="001806B1"/>
    <w:rsid w:val="00181130"/>
    <w:rsid w:val="00182F7F"/>
    <w:rsid w:val="001843FC"/>
    <w:rsid w:val="00184B26"/>
    <w:rsid w:val="00190A9B"/>
    <w:rsid w:val="00190ADF"/>
    <w:rsid w:val="00191522"/>
    <w:rsid w:val="0019490F"/>
    <w:rsid w:val="00196080"/>
    <w:rsid w:val="0019620D"/>
    <w:rsid w:val="001979C3"/>
    <w:rsid w:val="001A28DE"/>
    <w:rsid w:val="001A29EB"/>
    <w:rsid w:val="001A35F2"/>
    <w:rsid w:val="001A3C0F"/>
    <w:rsid w:val="001A4B3A"/>
    <w:rsid w:val="001A4CA8"/>
    <w:rsid w:val="001A4F1E"/>
    <w:rsid w:val="001B0CFA"/>
    <w:rsid w:val="001B1566"/>
    <w:rsid w:val="001B229A"/>
    <w:rsid w:val="001B2880"/>
    <w:rsid w:val="001B49C3"/>
    <w:rsid w:val="001B4D34"/>
    <w:rsid w:val="001B51A2"/>
    <w:rsid w:val="001B6250"/>
    <w:rsid w:val="001B6B84"/>
    <w:rsid w:val="001B6E5F"/>
    <w:rsid w:val="001C166E"/>
    <w:rsid w:val="001C21E4"/>
    <w:rsid w:val="001C263E"/>
    <w:rsid w:val="001C2DCC"/>
    <w:rsid w:val="001C3B82"/>
    <w:rsid w:val="001C5A4A"/>
    <w:rsid w:val="001C6DF6"/>
    <w:rsid w:val="001C7229"/>
    <w:rsid w:val="001D1ED7"/>
    <w:rsid w:val="001D1FFE"/>
    <w:rsid w:val="001D21C0"/>
    <w:rsid w:val="001D2C08"/>
    <w:rsid w:val="001D534B"/>
    <w:rsid w:val="001D56BC"/>
    <w:rsid w:val="001D6C2E"/>
    <w:rsid w:val="001D7B0E"/>
    <w:rsid w:val="001E0CAC"/>
    <w:rsid w:val="001E0FB9"/>
    <w:rsid w:val="001E31BD"/>
    <w:rsid w:val="001E5B97"/>
    <w:rsid w:val="001E680E"/>
    <w:rsid w:val="001E6FD6"/>
    <w:rsid w:val="001E7580"/>
    <w:rsid w:val="001E7D00"/>
    <w:rsid w:val="001E7F35"/>
    <w:rsid w:val="001F025F"/>
    <w:rsid w:val="001F1047"/>
    <w:rsid w:val="001F21ED"/>
    <w:rsid w:val="001F3AC5"/>
    <w:rsid w:val="001F59DA"/>
    <w:rsid w:val="001F78E9"/>
    <w:rsid w:val="00202792"/>
    <w:rsid w:val="002034C6"/>
    <w:rsid w:val="00204B23"/>
    <w:rsid w:val="00206237"/>
    <w:rsid w:val="00206491"/>
    <w:rsid w:val="00206C9A"/>
    <w:rsid w:val="00207722"/>
    <w:rsid w:val="00207782"/>
    <w:rsid w:val="002105F7"/>
    <w:rsid w:val="002134BA"/>
    <w:rsid w:val="00213725"/>
    <w:rsid w:val="0021666B"/>
    <w:rsid w:val="00217E3E"/>
    <w:rsid w:val="002215AC"/>
    <w:rsid w:val="00221892"/>
    <w:rsid w:val="0022239B"/>
    <w:rsid w:val="00222AA0"/>
    <w:rsid w:val="00223F60"/>
    <w:rsid w:val="002274AF"/>
    <w:rsid w:val="00231BE2"/>
    <w:rsid w:val="002322BC"/>
    <w:rsid w:val="00232995"/>
    <w:rsid w:val="00233BCC"/>
    <w:rsid w:val="00235600"/>
    <w:rsid w:val="002373B4"/>
    <w:rsid w:val="002377BC"/>
    <w:rsid w:val="002401E9"/>
    <w:rsid w:val="002404EB"/>
    <w:rsid w:val="00240F58"/>
    <w:rsid w:val="00242931"/>
    <w:rsid w:val="00245D03"/>
    <w:rsid w:val="00246717"/>
    <w:rsid w:val="00247395"/>
    <w:rsid w:val="002522E0"/>
    <w:rsid w:val="00252480"/>
    <w:rsid w:val="00252C2F"/>
    <w:rsid w:val="00254AE5"/>
    <w:rsid w:val="00255259"/>
    <w:rsid w:val="002606F5"/>
    <w:rsid w:val="00260AC1"/>
    <w:rsid w:val="00262EC0"/>
    <w:rsid w:val="00263C81"/>
    <w:rsid w:val="00264CB1"/>
    <w:rsid w:val="00267AFB"/>
    <w:rsid w:val="00267CF6"/>
    <w:rsid w:val="00270AEA"/>
    <w:rsid w:val="00271482"/>
    <w:rsid w:val="0027360D"/>
    <w:rsid w:val="0027456F"/>
    <w:rsid w:val="00274EB1"/>
    <w:rsid w:val="0028116E"/>
    <w:rsid w:val="00281A37"/>
    <w:rsid w:val="00287342"/>
    <w:rsid w:val="00287ECD"/>
    <w:rsid w:val="00292622"/>
    <w:rsid w:val="002928B7"/>
    <w:rsid w:val="002928EA"/>
    <w:rsid w:val="002929B6"/>
    <w:rsid w:val="00292C69"/>
    <w:rsid w:val="00293B2C"/>
    <w:rsid w:val="002944EF"/>
    <w:rsid w:val="00294895"/>
    <w:rsid w:val="00295897"/>
    <w:rsid w:val="00295ACB"/>
    <w:rsid w:val="0029730B"/>
    <w:rsid w:val="002973E3"/>
    <w:rsid w:val="002974ED"/>
    <w:rsid w:val="002A1431"/>
    <w:rsid w:val="002A1878"/>
    <w:rsid w:val="002A34EE"/>
    <w:rsid w:val="002A4366"/>
    <w:rsid w:val="002A4A56"/>
    <w:rsid w:val="002A4FA5"/>
    <w:rsid w:val="002A7044"/>
    <w:rsid w:val="002A7B60"/>
    <w:rsid w:val="002B0070"/>
    <w:rsid w:val="002B19EF"/>
    <w:rsid w:val="002B3DFD"/>
    <w:rsid w:val="002B4AF0"/>
    <w:rsid w:val="002B4ED6"/>
    <w:rsid w:val="002B5631"/>
    <w:rsid w:val="002B6A0C"/>
    <w:rsid w:val="002B7059"/>
    <w:rsid w:val="002C08C8"/>
    <w:rsid w:val="002C132B"/>
    <w:rsid w:val="002C29D9"/>
    <w:rsid w:val="002C33F1"/>
    <w:rsid w:val="002C3649"/>
    <w:rsid w:val="002C3A75"/>
    <w:rsid w:val="002C506D"/>
    <w:rsid w:val="002C56D7"/>
    <w:rsid w:val="002C71A6"/>
    <w:rsid w:val="002C7360"/>
    <w:rsid w:val="002C7D7F"/>
    <w:rsid w:val="002D048C"/>
    <w:rsid w:val="002D122D"/>
    <w:rsid w:val="002D4240"/>
    <w:rsid w:val="002D547E"/>
    <w:rsid w:val="002D54FD"/>
    <w:rsid w:val="002D67B1"/>
    <w:rsid w:val="002D6EB6"/>
    <w:rsid w:val="002D754A"/>
    <w:rsid w:val="002D7794"/>
    <w:rsid w:val="002D7890"/>
    <w:rsid w:val="002E07C9"/>
    <w:rsid w:val="002E0E9C"/>
    <w:rsid w:val="002E4304"/>
    <w:rsid w:val="002E6992"/>
    <w:rsid w:val="002F0966"/>
    <w:rsid w:val="002F1C45"/>
    <w:rsid w:val="002F1D8D"/>
    <w:rsid w:val="002F2034"/>
    <w:rsid w:val="002F254B"/>
    <w:rsid w:val="002F2FF6"/>
    <w:rsid w:val="002F3274"/>
    <w:rsid w:val="002F3888"/>
    <w:rsid w:val="002F5195"/>
    <w:rsid w:val="002F6646"/>
    <w:rsid w:val="00303ECD"/>
    <w:rsid w:val="00303FEF"/>
    <w:rsid w:val="00304882"/>
    <w:rsid w:val="00304BC0"/>
    <w:rsid w:val="00304E38"/>
    <w:rsid w:val="00315191"/>
    <w:rsid w:val="00316387"/>
    <w:rsid w:val="00316E49"/>
    <w:rsid w:val="00317DFB"/>
    <w:rsid w:val="003201B9"/>
    <w:rsid w:val="00320400"/>
    <w:rsid w:val="003223F2"/>
    <w:rsid w:val="0032506A"/>
    <w:rsid w:val="00326326"/>
    <w:rsid w:val="00326B9E"/>
    <w:rsid w:val="00327931"/>
    <w:rsid w:val="00331464"/>
    <w:rsid w:val="00331F0D"/>
    <w:rsid w:val="003330C2"/>
    <w:rsid w:val="00334EAA"/>
    <w:rsid w:val="00337184"/>
    <w:rsid w:val="003409AC"/>
    <w:rsid w:val="003409FC"/>
    <w:rsid w:val="003419AA"/>
    <w:rsid w:val="00342CE0"/>
    <w:rsid w:val="0034331A"/>
    <w:rsid w:val="00343532"/>
    <w:rsid w:val="0034397E"/>
    <w:rsid w:val="003444A2"/>
    <w:rsid w:val="00345802"/>
    <w:rsid w:val="00345917"/>
    <w:rsid w:val="003478D5"/>
    <w:rsid w:val="00350D89"/>
    <w:rsid w:val="003541D6"/>
    <w:rsid w:val="00354ADC"/>
    <w:rsid w:val="0035589F"/>
    <w:rsid w:val="00356A0A"/>
    <w:rsid w:val="00357278"/>
    <w:rsid w:val="00360153"/>
    <w:rsid w:val="003602B7"/>
    <w:rsid w:val="003617CA"/>
    <w:rsid w:val="003634A2"/>
    <w:rsid w:val="00364AB5"/>
    <w:rsid w:val="00364ED1"/>
    <w:rsid w:val="003652A0"/>
    <w:rsid w:val="00365E2A"/>
    <w:rsid w:val="0036761E"/>
    <w:rsid w:val="00367D13"/>
    <w:rsid w:val="00370094"/>
    <w:rsid w:val="00370685"/>
    <w:rsid w:val="00370BFE"/>
    <w:rsid w:val="003729BF"/>
    <w:rsid w:val="00373C4D"/>
    <w:rsid w:val="00374AAA"/>
    <w:rsid w:val="003764E6"/>
    <w:rsid w:val="00377D08"/>
    <w:rsid w:val="00381C4D"/>
    <w:rsid w:val="0038334A"/>
    <w:rsid w:val="0038497E"/>
    <w:rsid w:val="00387BCE"/>
    <w:rsid w:val="00392412"/>
    <w:rsid w:val="0039592D"/>
    <w:rsid w:val="00395C2A"/>
    <w:rsid w:val="00397421"/>
    <w:rsid w:val="00397BE4"/>
    <w:rsid w:val="003A09BD"/>
    <w:rsid w:val="003A0A5F"/>
    <w:rsid w:val="003A0E42"/>
    <w:rsid w:val="003A1B98"/>
    <w:rsid w:val="003A3C27"/>
    <w:rsid w:val="003A517D"/>
    <w:rsid w:val="003A5570"/>
    <w:rsid w:val="003A6312"/>
    <w:rsid w:val="003A6470"/>
    <w:rsid w:val="003B3393"/>
    <w:rsid w:val="003B34DF"/>
    <w:rsid w:val="003B3B18"/>
    <w:rsid w:val="003B4277"/>
    <w:rsid w:val="003B4A4D"/>
    <w:rsid w:val="003B50A2"/>
    <w:rsid w:val="003B5899"/>
    <w:rsid w:val="003B743A"/>
    <w:rsid w:val="003C4498"/>
    <w:rsid w:val="003C50C2"/>
    <w:rsid w:val="003C5611"/>
    <w:rsid w:val="003C728C"/>
    <w:rsid w:val="003D187F"/>
    <w:rsid w:val="003D1BA9"/>
    <w:rsid w:val="003D23A4"/>
    <w:rsid w:val="003D43D9"/>
    <w:rsid w:val="003D4CF6"/>
    <w:rsid w:val="003D5D5E"/>
    <w:rsid w:val="003D6050"/>
    <w:rsid w:val="003D6F35"/>
    <w:rsid w:val="003E04CC"/>
    <w:rsid w:val="003E052A"/>
    <w:rsid w:val="003E0A95"/>
    <w:rsid w:val="003E0FB2"/>
    <w:rsid w:val="003E2673"/>
    <w:rsid w:val="003E7648"/>
    <w:rsid w:val="003F0F63"/>
    <w:rsid w:val="003F1B0A"/>
    <w:rsid w:val="003F37D4"/>
    <w:rsid w:val="003F4688"/>
    <w:rsid w:val="003F48C4"/>
    <w:rsid w:val="003F4CCF"/>
    <w:rsid w:val="003F5ABF"/>
    <w:rsid w:val="003F6550"/>
    <w:rsid w:val="00400704"/>
    <w:rsid w:val="0040301D"/>
    <w:rsid w:val="00403BD3"/>
    <w:rsid w:val="004056EE"/>
    <w:rsid w:val="0040623E"/>
    <w:rsid w:val="004079F1"/>
    <w:rsid w:val="0041190B"/>
    <w:rsid w:val="00411B5A"/>
    <w:rsid w:val="004121DB"/>
    <w:rsid w:val="00412445"/>
    <w:rsid w:val="00413A33"/>
    <w:rsid w:val="00414EF7"/>
    <w:rsid w:val="00420E98"/>
    <w:rsid w:val="004215D5"/>
    <w:rsid w:val="004218CF"/>
    <w:rsid w:val="0042280B"/>
    <w:rsid w:val="0042288C"/>
    <w:rsid w:val="004232A9"/>
    <w:rsid w:val="0042332A"/>
    <w:rsid w:val="00424645"/>
    <w:rsid w:val="00425189"/>
    <w:rsid w:val="0042781B"/>
    <w:rsid w:val="00430369"/>
    <w:rsid w:val="00430486"/>
    <w:rsid w:val="0043160F"/>
    <w:rsid w:val="00431795"/>
    <w:rsid w:val="00431892"/>
    <w:rsid w:val="00432052"/>
    <w:rsid w:val="0043483D"/>
    <w:rsid w:val="00435A56"/>
    <w:rsid w:val="00437453"/>
    <w:rsid w:val="00440300"/>
    <w:rsid w:val="00440E69"/>
    <w:rsid w:val="004463AD"/>
    <w:rsid w:val="00446777"/>
    <w:rsid w:val="00447526"/>
    <w:rsid w:val="00447C13"/>
    <w:rsid w:val="0045452F"/>
    <w:rsid w:val="00454DF4"/>
    <w:rsid w:val="00454F6A"/>
    <w:rsid w:val="0045504F"/>
    <w:rsid w:val="00455B8E"/>
    <w:rsid w:val="00457CE6"/>
    <w:rsid w:val="00457D80"/>
    <w:rsid w:val="00457ED3"/>
    <w:rsid w:val="00460363"/>
    <w:rsid w:val="004626CA"/>
    <w:rsid w:val="004645D3"/>
    <w:rsid w:val="00467D40"/>
    <w:rsid w:val="00473332"/>
    <w:rsid w:val="004742A4"/>
    <w:rsid w:val="00474966"/>
    <w:rsid w:val="00476733"/>
    <w:rsid w:val="00476867"/>
    <w:rsid w:val="00477E41"/>
    <w:rsid w:val="004804BC"/>
    <w:rsid w:val="004815C2"/>
    <w:rsid w:val="004836A2"/>
    <w:rsid w:val="00484940"/>
    <w:rsid w:val="00484FA6"/>
    <w:rsid w:val="004864A3"/>
    <w:rsid w:val="00487AB7"/>
    <w:rsid w:val="00487DDE"/>
    <w:rsid w:val="004902D0"/>
    <w:rsid w:val="00490371"/>
    <w:rsid w:val="0049051E"/>
    <w:rsid w:val="00491DB7"/>
    <w:rsid w:val="00492C50"/>
    <w:rsid w:val="00496031"/>
    <w:rsid w:val="00496551"/>
    <w:rsid w:val="004969D2"/>
    <w:rsid w:val="00496A2F"/>
    <w:rsid w:val="004972D9"/>
    <w:rsid w:val="004A470F"/>
    <w:rsid w:val="004A6C31"/>
    <w:rsid w:val="004B3F66"/>
    <w:rsid w:val="004B4301"/>
    <w:rsid w:val="004B4BD6"/>
    <w:rsid w:val="004B51EE"/>
    <w:rsid w:val="004B6B2F"/>
    <w:rsid w:val="004B7409"/>
    <w:rsid w:val="004C0B74"/>
    <w:rsid w:val="004C3DFD"/>
    <w:rsid w:val="004C5575"/>
    <w:rsid w:val="004C5884"/>
    <w:rsid w:val="004C63BE"/>
    <w:rsid w:val="004C744F"/>
    <w:rsid w:val="004D1003"/>
    <w:rsid w:val="004D1296"/>
    <w:rsid w:val="004D4AE8"/>
    <w:rsid w:val="004D502D"/>
    <w:rsid w:val="004D791E"/>
    <w:rsid w:val="004E138C"/>
    <w:rsid w:val="004E161C"/>
    <w:rsid w:val="004E308D"/>
    <w:rsid w:val="004E77F6"/>
    <w:rsid w:val="004F010E"/>
    <w:rsid w:val="004F133E"/>
    <w:rsid w:val="004F3545"/>
    <w:rsid w:val="004F3EBB"/>
    <w:rsid w:val="004F525C"/>
    <w:rsid w:val="004F53A3"/>
    <w:rsid w:val="004F587E"/>
    <w:rsid w:val="004F6D70"/>
    <w:rsid w:val="004F757A"/>
    <w:rsid w:val="0050071A"/>
    <w:rsid w:val="00500D4E"/>
    <w:rsid w:val="005020FF"/>
    <w:rsid w:val="00502F2B"/>
    <w:rsid w:val="0050367F"/>
    <w:rsid w:val="0050559E"/>
    <w:rsid w:val="00505741"/>
    <w:rsid w:val="005070A7"/>
    <w:rsid w:val="00507BE1"/>
    <w:rsid w:val="00510A4E"/>
    <w:rsid w:val="00512A46"/>
    <w:rsid w:val="00515ED8"/>
    <w:rsid w:val="00520013"/>
    <w:rsid w:val="00520CD1"/>
    <w:rsid w:val="005224A6"/>
    <w:rsid w:val="00523E4B"/>
    <w:rsid w:val="005267B7"/>
    <w:rsid w:val="00530735"/>
    <w:rsid w:val="0053280A"/>
    <w:rsid w:val="00532D44"/>
    <w:rsid w:val="0053564B"/>
    <w:rsid w:val="00535F96"/>
    <w:rsid w:val="005367EE"/>
    <w:rsid w:val="00540088"/>
    <w:rsid w:val="005401E0"/>
    <w:rsid w:val="005408A8"/>
    <w:rsid w:val="0054438E"/>
    <w:rsid w:val="0054629A"/>
    <w:rsid w:val="005510E3"/>
    <w:rsid w:val="00551C14"/>
    <w:rsid w:val="00552C65"/>
    <w:rsid w:val="00552E4F"/>
    <w:rsid w:val="00553CE5"/>
    <w:rsid w:val="00554923"/>
    <w:rsid w:val="0055520F"/>
    <w:rsid w:val="005555DD"/>
    <w:rsid w:val="00556528"/>
    <w:rsid w:val="0056335F"/>
    <w:rsid w:val="005634D4"/>
    <w:rsid w:val="00563E0C"/>
    <w:rsid w:val="005650B8"/>
    <w:rsid w:val="0057487D"/>
    <w:rsid w:val="00575A9E"/>
    <w:rsid w:val="00576589"/>
    <w:rsid w:val="00577282"/>
    <w:rsid w:val="0057765E"/>
    <w:rsid w:val="005779DD"/>
    <w:rsid w:val="0058253A"/>
    <w:rsid w:val="0058284B"/>
    <w:rsid w:val="00583A12"/>
    <w:rsid w:val="0058478E"/>
    <w:rsid w:val="0058565D"/>
    <w:rsid w:val="00586768"/>
    <w:rsid w:val="005915FE"/>
    <w:rsid w:val="0059278F"/>
    <w:rsid w:val="00592CA7"/>
    <w:rsid w:val="00594691"/>
    <w:rsid w:val="00595AAB"/>
    <w:rsid w:val="005972ED"/>
    <w:rsid w:val="00597997"/>
    <w:rsid w:val="005A1DB6"/>
    <w:rsid w:val="005A2233"/>
    <w:rsid w:val="005A23AB"/>
    <w:rsid w:val="005A346B"/>
    <w:rsid w:val="005A36A1"/>
    <w:rsid w:val="005A40B6"/>
    <w:rsid w:val="005A5778"/>
    <w:rsid w:val="005A6D68"/>
    <w:rsid w:val="005B0EBE"/>
    <w:rsid w:val="005B5841"/>
    <w:rsid w:val="005B5F82"/>
    <w:rsid w:val="005C2A84"/>
    <w:rsid w:val="005C60CB"/>
    <w:rsid w:val="005C6422"/>
    <w:rsid w:val="005D1CED"/>
    <w:rsid w:val="005D2582"/>
    <w:rsid w:val="005D295D"/>
    <w:rsid w:val="005D3A5A"/>
    <w:rsid w:val="005D4397"/>
    <w:rsid w:val="005D518F"/>
    <w:rsid w:val="005D5212"/>
    <w:rsid w:val="005E0AC7"/>
    <w:rsid w:val="005E1030"/>
    <w:rsid w:val="005E1038"/>
    <w:rsid w:val="005E14B3"/>
    <w:rsid w:val="005E6035"/>
    <w:rsid w:val="005E60EE"/>
    <w:rsid w:val="005E778A"/>
    <w:rsid w:val="005E7958"/>
    <w:rsid w:val="005F022A"/>
    <w:rsid w:val="005F1D7A"/>
    <w:rsid w:val="005F2608"/>
    <w:rsid w:val="005F4062"/>
    <w:rsid w:val="005F52F6"/>
    <w:rsid w:val="005F6663"/>
    <w:rsid w:val="005F763E"/>
    <w:rsid w:val="005F7ADE"/>
    <w:rsid w:val="005F7CC6"/>
    <w:rsid w:val="00600551"/>
    <w:rsid w:val="00600D13"/>
    <w:rsid w:val="00601F1C"/>
    <w:rsid w:val="00602DE1"/>
    <w:rsid w:val="006037B2"/>
    <w:rsid w:val="00603EA1"/>
    <w:rsid w:val="00607D97"/>
    <w:rsid w:val="00611956"/>
    <w:rsid w:val="0061225E"/>
    <w:rsid w:val="00612A8F"/>
    <w:rsid w:val="00612D97"/>
    <w:rsid w:val="00613ABB"/>
    <w:rsid w:val="00613E5F"/>
    <w:rsid w:val="00615095"/>
    <w:rsid w:val="00615CF2"/>
    <w:rsid w:val="006171E1"/>
    <w:rsid w:val="00617539"/>
    <w:rsid w:val="00620470"/>
    <w:rsid w:val="0062345E"/>
    <w:rsid w:val="00627144"/>
    <w:rsid w:val="006272D6"/>
    <w:rsid w:val="0063001A"/>
    <w:rsid w:val="00632E36"/>
    <w:rsid w:val="00633133"/>
    <w:rsid w:val="006339A7"/>
    <w:rsid w:val="006356FC"/>
    <w:rsid w:val="00635B9C"/>
    <w:rsid w:val="006362EF"/>
    <w:rsid w:val="00640438"/>
    <w:rsid w:val="00644A8F"/>
    <w:rsid w:val="00645B76"/>
    <w:rsid w:val="00646087"/>
    <w:rsid w:val="00646F0E"/>
    <w:rsid w:val="0064799C"/>
    <w:rsid w:val="00647BFF"/>
    <w:rsid w:val="006529A6"/>
    <w:rsid w:val="00653FF9"/>
    <w:rsid w:val="0065446B"/>
    <w:rsid w:val="00654492"/>
    <w:rsid w:val="00654735"/>
    <w:rsid w:val="00655D04"/>
    <w:rsid w:val="00661A3C"/>
    <w:rsid w:val="00663526"/>
    <w:rsid w:val="006642CE"/>
    <w:rsid w:val="0066517D"/>
    <w:rsid w:val="006677DE"/>
    <w:rsid w:val="006702FD"/>
    <w:rsid w:val="00670B49"/>
    <w:rsid w:val="00673BDE"/>
    <w:rsid w:val="00674877"/>
    <w:rsid w:val="0067488E"/>
    <w:rsid w:val="00674D58"/>
    <w:rsid w:val="00680744"/>
    <w:rsid w:val="00680E33"/>
    <w:rsid w:val="0068190F"/>
    <w:rsid w:val="00681AC4"/>
    <w:rsid w:val="0068233B"/>
    <w:rsid w:val="00682DA5"/>
    <w:rsid w:val="00682DFB"/>
    <w:rsid w:val="00683AE2"/>
    <w:rsid w:val="00683C2A"/>
    <w:rsid w:val="006858E7"/>
    <w:rsid w:val="006868DE"/>
    <w:rsid w:val="00686ACA"/>
    <w:rsid w:val="00687C0A"/>
    <w:rsid w:val="00687C1A"/>
    <w:rsid w:val="0069028F"/>
    <w:rsid w:val="006908E7"/>
    <w:rsid w:val="006913DC"/>
    <w:rsid w:val="006916B9"/>
    <w:rsid w:val="00691DA2"/>
    <w:rsid w:val="006920EA"/>
    <w:rsid w:val="00692B7F"/>
    <w:rsid w:val="006957DC"/>
    <w:rsid w:val="0069790E"/>
    <w:rsid w:val="006A0029"/>
    <w:rsid w:val="006A05C2"/>
    <w:rsid w:val="006A28B5"/>
    <w:rsid w:val="006A2DD9"/>
    <w:rsid w:val="006A69AE"/>
    <w:rsid w:val="006B0418"/>
    <w:rsid w:val="006B0534"/>
    <w:rsid w:val="006B1FB6"/>
    <w:rsid w:val="006B5290"/>
    <w:rsid w:val="006B6D3A"/>
    <w:rsid w:val="006B7EB2"/>
    <w:rsid w:val="006C07F0"/>
    <w:rsid w:val="006C21A6"/>
    <w:rsid w:val="006C21A7"/>
    <w:rsid w:val="006C2829"/>
    <w:rsid w:val="006C30A5"/>
    <w:rsid w:val="006C35BA"/>
    <w:rsid w:val="006C3C86"/>
    <w:rsid w:val="006C3C9D"/>
    <w:rsid w:val="006C3D07"/>
    <w:rsid w:val="006C5531"/>
    <w:rsid w:val="006C59FC"/>
    <w:rsid w:val="006C641D"/>
    <w:rsid w:val="006C79E2"/>
    <w:rsid w:val="006D204A"/>
    <w:rsid w:val="006D25A4"/>
    <w:rsid w:val="006D2F3B"/>
    <w:rsid w:val="006D3693"/>
    <w:rsid w:val="006D3DBE"/>
    <w:rsid w:val="006D4361"/>
    <w:rsid w:val="006D5126"/>
    <w:rsid w:val="006D6849"/>
    <w:rsid w:val="006D7262"/>
    <w:rsid w:val="006E1888"/>
    <w:rsid w:val="006E2EDB"/>
    <w:rsid w:val="006E3545"/>
    <w:rsid w:val="006E36FA"/>
    <w:rsid w:val="006E62CC"/>
    <w:rsid w:val="006E6CB1"/>
    <w:rsid w:val="006E7399"/>
    <w:rsid w:val="006E7BB4"/>
    <w:rsid w:val="006E7F6C"/>
    <w:rsid w:val="006F079A"/>
    <w:rsid w:val="006F1B62"/>
    <w:rsid w:val="006F2769"/>
    <w:rsid w:val="006F2C86"/>
    <w:rsid w:val="006F49C7"/>
    <w:rsid w:val="006F5B5B"/>
    <w:rsid w:val="006F623F"/>
    <w:rsid w:val="006F7402"/>
    <w:rsid w:val="007003E5"/>
    <w:rsid w:val="0070171B"/>
    <w:rsid w:val="00701B87"/>
    <w:rsid w:val="00702878"/>
    <w:rsid w:val="007057DD"/>
    <w:rsid w:val="00705AC5"/>
    <w:rsid w:val="00705E08"/>
    <w:rsid w:val="007101A4"/>
    <w:rsid w:val="00711B4E"/>
    <w:rsid w:val="007125FC"/>
    <w:rsid w:val="00712FF8"/>
    <w:rsid w:val="00713278"/>
    <w:rsid w:val="00713A9A"/>
    <w:rsid w:val="00713B50"/>
    <w:rsid w:val="00713BD1"/>
    <w:rsid w:val="00713F19"/>
    <w:rsid w:val="0071654B"/>
    <w:rsid w:val="007172DA"/>
    <w:rsid w:val="00717799"/>
    <w:rsid w:val="00717E18"/>
    <w:rsid w:val="0072105A"/>
    <w:rsid w:val="00722051"/>
    <w:rsid w:val="00722D16"/>
    <w:rsid w:val="00722FAC"/>
    <w:rsid w:val="00723900"/>
    <w:rsid w:val="00723DD8"/>
    <w:rsid w:val="00724051"/>
    <w:rsid w:val="00724C82"/>
    <w:rsid w:val="00726A3F"/>
    <w:rsid w:val="007270CF"/>
    <w:rsid w:val="0073039C"/>
    <w:rsid w:val="00731497"/>
    <w:rsid w:val="00731853"/>
    <w:rsid w:val="007322E6"/>
    <w:rsid w:val="00732877"/>
    <w:rsid w:val="00733A8B"/>
    <w:rsid w:val="00733CED"/>
    <w:rsid w:val="0073776E"/>
    <w:rsid w:val="00742A08"/>
    <w:rsid w:val="00743708"/>
    <w:rsid w:val="00744034"/>
    <w:rsid w:val="007444A3"/>
    <w:rsid w:val="00744DB7"/>
    <w:rsid w:val="007455BA"/>
    <w:rsid w:val="00750B03"/>
    <w:rsid w:val="00750BA0"/>
    <w:rsid w:val="00751B89"/>
    <w:rsid w:val="00753ECA"/>
    <w:rsid w:val="00755137"/>
    <w:rsid w:val="0075543E"/>
    <w:rsid w:val="007558B3"/>
    <w:rsid w:val="007567C3"/>
    <w:rsid w:val="00756D94"/>
    <w:rsid w:val="00757566"/>
    <w:rsid w:val="00757CAB"/>
    <w:rsid w:val="0076228A"/>
    <w:rsid w:val="0076285C"/>
    <w:rsid w:val="00762E7C"/>
    <w:rsid w:val="00764852"/>
    <w:rsid w:val="00765AEE"/>
    <w:rsid w:val="0076614D"/>
    <w:rsid w:val="007667AD"/>
    <w:rsid w:val="00766A41"/>
    <w:rsid w:val="00767302"/>
    <w:rsid w:val="00770A3C"/>
    <w:rsid w:val="007713DF"/>
    <w:rsid w:val="00771C82"/>
    <w:rsid w:val="00773047"/>
    <w:rsid w:val="00774F73"/>
    <w:rsid w:val="007759CF"/>
    <w:rsid w:val="007760EF"/>
    <w:rsid w:val="007769CA"/>
    <w:rsid w:val="007771E5"/>
    <w:rsid w:val="0077779B"/>
    <w:rsid w:val="00781629"/>
    <w:rsid w:val="007837D5"/>
    <w:rsid w:val="00784D87"/>
    <w:rsid w:val="00785C0A"/>
    <w:rsid w:val="00786B38"/>
    <w:rsid w:val="0078766E"/>
    <w:rsid w:val="007876EA"/>
    <w:rsid w:val="007906EC"/>
    <w:rsid w:val="00792589"/>
    <w:rsid w:val="00792D1A"/>
    <w:rsid w:val="00793ECC"/>
    <w:rsid w:val="00795155"/>
    <w:rsid w:val="007955B7"/>
    <w:rsid w:val="007959A6"/>
    <w:rsid w:val="00796F94"/>
    <w:rsid w:val="007A0AC3"/>
    <w:rsid w:val="007A0BA7"/>
    <w:rsid w:val="007A2136"/>
    <w:rsid w:val="007A25CC"/>
    <w:rsid w:val="007A3388"/>
    <w:rsid w:val="007A3696"/>
    <w:rsid w:val="007A3CDA"/>
    <w:rsid w:val="007A48F4"/>
    <w:rsid w:val="007A4900"/>
    <w:rsid w:val="007A4C54"/>
    <w:rsid w:val="007A589D"/>
    <w:rsid w:val="007A6353"/>
    <w:rsid w:val="007A6545"/>
    <w:rsid w:val="007A6A1A"/>
    <w:rsid w:val="007B14D5"/>
    <w:rsid w:val="007B156B"/>
    <w:rsid w:val="007B2C33"/>
    <w:rsid w:val="007B3B26"/>
    <w:rsid w:val="007B3C19"/>
    <w:rsid w:val="007B49BB"/>
    <w:rsid w:val="007B500A"/>
    <w:rsid w:val="007B5F9A"/>
    <w:rsid w:val="007C0A00"/>
    <w:rsid w:val="007C13E1"/>
    <w:rsid w:val="007C3BD2"/>
    <w:rsid w:val="007C52FC"/>
    <w:rsid w:val="007C5FF5"/>
    <w:rsid w:val="007C6AA0"/>
    <w:rsid w:val="007D0259"/>
    <w:rsid w:val="007D1FEB"/>
    <w:rsid w:val="007D36EB"/>
    <w:rsid w:val="007D3825"/>
    <w:rsid w:val="007D4C37"/>
    <w:rsid w:val="007D6ED9"/>
    <w:rsid w:val="007D72B6"/>
    <w:rsid w:val="007D738F"/>
    <w:rsid w:val="007E060E"/>
    <w:rsid w:val="007E14D7"/>
    <w:rsid w:val="007E1ABA"/>
    <w:rsid w:val="007E36F6"/>
    <w:rsid w:val="007E5055"/>
    <w:rsid w:val="007E5514"/>
    <w:rsid w:val="007E56A9"/>
    <w:rsid w:val="007F1D8A"/>
    <w:rsid w:val="007F1E28"/>
    <w:rsid w:val="007F2479"/>
    <w:rsid w:val="007F3DB5"/>
    <w:rsid w:val="007F4615"/>
    <w:rsid w:val="007F5322"/>
    <w:rsid w:val="007F64E7"/>
    <w:rsid w:val="007F784D"/>
    <w:rsid w:val="008006A7"/>
    <w:rsid w:val="00801CB8"/>
    <w:rsid w:val="00801D49"/>
    <w:rsid w:val="00804351"/>
    <w:rsid w:val="00804626"/>
    <w:rsid w:val="00804C28"/>
    <w:rsid w:val="00810327"/>
    <w:rsid w:val="00811DA8"/>
    <w:rsid w:val="00813A32"/>
    <w:rsid w:val="00814CAF"/>
    <w:rsid w:val="008165D0"/>
    <w:rsid w:val="008166BA"/>
    <w:rsid w:val="008179CF"/>
    <w:rsid w:val="00820165"/>
    <w:rsid w:val="008201D2"/>
    <w:rsid w:val="00820451"/>
    <w:rsid w:val="00821813"/>
    <w:rsid w:val="00821923"/>
    <w:rsid w:val="0082328E"/>
    <w:rsid w:val="00823944"/>
    <w:rsid w:val="00825F44"/>
    <w:rsid w:val="00826D0D"/>
    <w:rsid w:val="0083136A"/>
    <w:rsid w:val="00832E87"/>
    <w:rsid w:val="008335BD"/>
    <w:rsid w:val="00833C58"/>
    <w:rsid w:val="0083438B"/>
    <w:rsid w:val="008349F7"/>
    <w:rsid w:val="00840C32"/>
    <w:rsid w:val="00840D7F"/>
    <w:rsid w:val="00840F35"/>
    <w:rsid w:val="00840FDE"/>
    <w:rsid w:val="00843F5E"/>
    <w:rsid w:val="008518DB"/>
    <w:rsid w:val="008521BE"/>
    <w:rsid w:val="008523A5"/>
    <w:rsid w:val="00863570"/>
    <w:rsid w:val="00865AB0"/>
    <w:rsid w:val="00867DC6"/>
    <w:rsid w:val="0087064C"/>
    <w:rsid w:val="0087083A"/>
    <w:rsid w:val="0087183F"/>
    <w:rsid w:val="00875C6A"/>
    <w:rsid w:val="00881D23"/>
    <w:rsid w:val="0088244B"/>
    <w:rsid w:val="00882C2F"/>
    <w:rsid w:val="0088304F"/>
    <w:rsid w:val="008833ED"/>
    <w:rsid w:val="008847D2"/>
    <w:rsid w:val="008849AC"/>
    <w:rsid w:val="00886B79"/>
    <w:rsid w:val="00887862"/>
    <w:rsid w:val="008878FF"/>
    <w:rsid w:val="0089128C"/>
    <w:rsid w:val="00891419"/>
    <w:rsid w:val="00891DB9"/>
    <w:rsid w:val="00891F1D"/>
    <w:rsid w:val="00893978"/>
    <w:rsid w:val="00894239"/>
    <w:rsid w:val="008945D6"/>
    <w:rsid w:val="00895621"/>
    <w:rsid w:val="00897A23"/>
    <w:rsid w:val="008A02EE"/>
    <w:rsid w:val="008A148E"/>
    <w:rsid w:val="008A351B"/>
    <w:rsid w:val="008A37AB"/>
    <w:rsid w:val="008A3816"/>
    <w:rsid w:val="008A382A"/>
    <w:rsid w:val="008A4BB6"/>
    <w:rsid w:val="008A57D6"/>
    <w:rsid w:val="008A6767"/>
    <w:rsid w:val="008B0F87"/>
    <w:rsid w:val="008B20AE"/>
    <w:rsid w:val="008B2ECF"/>
    <w:rsid w:val="008B379C"/>
    <w:rsid w:val="008B41C9"/>
    <w:rsid w:val="008B4672"/>
    <w:rsid w:val="008B5FD7"/>
    <w:rsid w:val="008B725B"/>
    <w:rsid w:val="008C0DC5"/>
    <w:rsid w:val="008C1C36"/>
    <w:rsid w:val="008C222D"/>
    <w:rsid w:val="008C226C"/>
    <w:rsid w:val="008C4048"/>
    <w:rsid w:val="008C7744"/>
    <w:rsid w:val="008D0FD7"/>
    <w:rsid w:val="008D1E3F"/>
    <w:rsid w:val="008D2425"/>
    <w:rsid w:val="008D71D3"/>
    <w:rsid w:val="008E024A"/>
    <w:rsid w:val="008E0CD6"/>
    <w:rsid w:val="008E2272"/>
    <w:rsid w:val="008F1108"/>
    <w:rsid w:val="008F1645"/>
    <w:rsid w:val="008F17D3"/>
    <w:rsid w:val="008F17F7"/>
    <w:rsid w:val="008F1BBD"/>
    <w:rsid w:val="008F2BA6"/>
    <w:rsid w:val="008F6004"/>
    <w:rsid w:val="00900A17"/>
    <w:rsid w:val="00901044"/>
    <w:rsid w:val="0090164E"/>
    <w:rsid w:val="00903A0D"/>
    <w:rsid w:val="00903F93"/>
    <w:rsid w:val="00904E13"/>
    <w:rsid w:val="00905E1E"/>
    <w:rsid w:val="0090605F"/>
    <w:rsid w:val="00907018"/>
    <w:rsid w:val="00911DA6"/>
    <w:rsid w:val="0091216D"/>
    <w:rsid w:val="0091258E"/>
    <w:rsid w:val="00912D16"/>
    <w:rsid w:val="00913648"/>
    <w:rsid w:val="0091365A"/>
    <w:rsid w:val="00913734"/>
    <w:rsid w:val="00914CEB"/>
    <w:rsid w:val="009207D9"/>
    <w:rsid w:val="009231FC"/>
    <w:rsid w:val="00923786"/>
    <w:rsid w:val="00923EF4"/>
    <w:rsid w:val="009242BF"/>
    <w:rsid w:val="00927BFA"/>
    <w:rsid w:val="00927D13"/>
    <w:rsid w:val="00930350"/>
    <w:rsid w:val="009305B9"/>
    <w:rsid w:val="00932770"/>
    <w:rsid w:val="00932BB1"/>
    <w:rsid w:val="0093305E"/>
    <w:rsid w:val="0093318F"/>
    <w:rsid w:val="00934536"/>
    <w:rsid w:val="00934EB7"/>
    <w:rsid w:val="009356DC"/>
    <w:rsid w:val="00940A09"/>
    <w:rsid w:val="0094142C"/>
    <w:rsid w:val="0094273F"/>
    <w:rsid w:val="00944B51"/>
    <w:rsid w:val="0094649B"/>
    <w:rsid w:val="00946842"/>
    <w:rsid w:val="00946D3D"/>
    <w:rsid w:val="00946FD4"/>
    <w:rsid w:val="00947A7C"/>
    <w:rsid w:val="00947DFC"/>
    <w:rsid w:val="009500FB"/>
    <w:rsid w:val="009503D9"/>
    <w:rsid w:val="00952789"/>
    <w:rsid w:val="00952EFB"/>
    <w:rsid w:val="00953453"/>
    <w:rsid w:val="0095356E"/>
    <w:rsid w:val="00954CAF"/>
    <w:rsid w:val="00954DE2"/>
    <w:rsid w:val="0095722E"/>
    <w:rsid w:val="00957BB5"/>
    <w:rsid w:val="00961400"/>
    <w:rsid w:val="00961D34"/>
    <w:rsid w:val="00961DE0"/>
    <w:rsid w:val="00965512"/>
    <w:rsid w:val="009664F4"/>
    <w:rsid w:val="009704DE"/>
    <w:rsid w:val="00971CF3"/>
    <w:rsid w:val="009726B4"/>
    <w:rsid w:val="00972813"/>
    <w:rsid w:val="00972862"/>
    <w:rsid w:val="00976771"/>
    <w:rsid w:val="009767B0"/>
    <w:rsid w:val="00982259"/>
    <w:rsid w:val="00982371"/>
    <w:rsid w:val="0098357D"/>
    <w:rsid w:val="009848A2"/>
    <w:rsid w:val="009849ED"/>
    <w:rsid w:val="00984D43"/>
    <w:rsid w:val="00984DC1"/>
    <w:rsid w:val="00986720"/>
    <w:rsid w:val="00986E56"/>
    <w:rsid w:val="00987D53"/>
    <w:rsid w:val="00993323"/>
    <w:rsid w:val="00994033"/>
    <w:rsid w:val="00996BAC"/>
    <w:rsid w:val="00996EA5"/>
    <w:rsid w:val="00997428"/>
    <w:rsid w:val="0099786A"/>
    <w:rsid w:val="009A0717"/>
    <w:rsid w:val="009A18D2"/>
    <w:rsid w:val="009A25CD"/>
    <w:rsid w:val="009A339C"/>
    <w:rsid w:val="009A3671"/>
    <w:rsid w:val="009A3879"/>
    <w:rsid w:val="009A3D15"/>
    <w:rsid w:val="009A4E97"/>
    <w:rsid w:val="009A554C"/>
    <w:rsid w:val="009A594C"/>
    <w:rsid w:val="009A62EC"/>
    <w:rsid w:val="009A667E"/>
    <w:rsid w:val="009A6E98"/>
    <w:rsid w:val="009A763A"/>
    <w:rsid w:val="009A7D23"/>
    <w:rsid w:val="009B2F89"/>
    <w:rsid w:val="009B38FF"/>
    <w:rsid w:val="009B3FE5"/>
    <w:rsid w:val="009B481F"/>
    <w:rsid w:val="009C3FA4"/>
    <w:rsid w:val="009C4F62"/>
    <w:rsid w:val="009C524D"/>
    <w:rsid w:val="009C6EC9"/>
    <w:rsid w:val="009C756C"/>
    <w:rsid w:val="009C7FB0"/>
    <w:rsid w:val="009D0ACA"/>
    <w:rsid w:val="009D5595"/>
    <w:rsid w:val="009D6C10"/>
    <w:rsid w:val="009E165C"/>
    <w:rsid w:val="009E1E2F"/>
    <w:rsid w:val="009E304B"/>
    <w:rsid w:val="009E427C"/>
    <w:rsid w:val="009E48D0"/>
    <w:rsid w:val="009E5FA3"/>
    <w:rsid w:val="009E7D26"/>
    <w:rsid w:val="009F288F"/>
    <w:rsid w:val="009F3F17"/>
    <w:rsid w:val="009F5024"/>
    <w:rsid w:val="009F6BB3"/>
    <w:rsid w:val="009F70EE"/>
    <w:rsid w:val="00A000BB"/>
    <w:rsid w:val="00A0025C"/>
    <w:rsid w:val="00A024C0"/>
    <w:rsid w:val="00A0624E"/>
    <w:rsid w:val="00A06B59"/>
    <w:rsid w:val="00A072DD"/>
    <w:rsid w:val="00A10747"/>
    <w:rsid w:val="00A119A6"/>
    <w:rsid w:val="00A11D8D"/>
    <w:rsid w:val="00A11FA0"/>
    <w:rsid w:val="00A14325"/>
    <w:rsid w:val="00A14568"/>
    <w:rsid w:val="00A14B11"/>
    <w:rsid w:val="00A158EA"/>
    <w:rsid w:val="00A16408"/>
    <w:rsid w:val="00A1711B"/>
    <w:rsid w:val="00A20572"/>
    <w:rsid w:val="00A209C2"/>
    <w:rsid w:val="00A21A79"/>
    <w:rsid w:val="00A23B3F"/>
    <w:rsid w:val="00A23E11"/>
    <w:rsid w:val="00A23F4D"/>
    <w:rsid w:val="00A24624"/>
    <w:rsid w:val="00A24A6E"/>
    <w:rsid w:val="00A2569A"/>
    <w:rsid w:val="00A257C6"/>
    <w:rsid w:val="00A262C3"/>
    <w:rsid w:val="00A26FB9"/>
    <w:rsid w:val="00A32A68"/>
    <w:rsid w:val="00A32E7D"/>
    <w:rsid w:val="00A33280"/>
    <w:rsid w:val="00A343C1"/>
    <w:rsid w:val="00A34AF9"/>
    <w:rsid w:val="00A3673A"/>
    <w:rsid w:val="00A408D9"/>
    <w:rsid w:val="00A40F2B"/>
    <w:rsid w:val="00A41CEB"/>
    <w:rsid w:val="00A42A02"/>
    <w:rsid w:val="00A42E53"/>
    <w:rsid w:val="00A43177"/>
    <w:rsid w:val="00A433A0"/>
    <w:rsid w:val="00A43FE6"/>
    <w:rsid w:val="00A44521"/>
    <w:rsid w:val="00A462E4"/>
    <w:rsid w:val="00A46548"/>
    <w:rsid w:val="00A47D80"/>
    <w:rsid w:val="00A47DC6"/>
    <w:rsid w:val="00A5371B"/>
    <w:rsid w:val="00A54146"/>
    <w:rsid w:val="00A566C5"/>
    <w:rsid w:val="00A601ED"/>
    <w:rsid w:val="00A607BA"/>
    <w:rsid w:val="00A61488"/>
    <w:rsid w:val="00A619BD"/>
    <w:rsid w:val="00A62B07"/>
    <w:rsid w:val="00A63875"/>
    <w:rsid w:val="00A659A3"/>
    <w:rsid w:val="00A708DF"/>
    <w:rsid w:val="00A71484"/>
    <w:rsid w:val="00A7190D"/>
    <w:rsid w:val="00A722FA"/>
    <w:rsid w:val="00A72ACD"/>
    <w:rsid w:val="00A739F6"/>
    <w:rsid w:val="00A743B2"/>
    <w:rsid w:val="00A74AB6"/>
    <w:rsid w:val="00A77061"/>
    <w:rsid w:val="00A77E3A"/>
    <w:rsid w:val="00A80365"/>
    <w:rsid w:val="00A8047D"/>
    <w:rsid w:val="00A84130"/>
    <w:rsid w:val="00A85DB2"/>
    <w:rsid w:val="00A902C7"/>
    <w:rsid w:val="00A9329D"/>
    <w:rsid w:val="00A955DC"/>
    <w:rsid w:val="00A9688B"/>
    <w:rsid w:val="00A968F5"/>
    <w:rsid w:val="00A96975"/>
    <w:rsid w:val="00A9707E"/>
    <w:rsid w:val="00A97CA3"/>
    <w:rsid w:val="00AA0827"/>
    <w:rsid w:val="00AA0961"/>
    <w:rsid w:val="00AA1ABC"/>
    <w:rsid w:val="00AA1E17"/>
    <w:rsid w:val="00AA3E27"/>
    <w:rsid w:val="00AA7C36"/>
    <w:rsid w:val="00AA7E36"/>
    <w:rsid w:val="00AB15D0"/>
    <w:rsid w:val="00AB1F57"/>
    <w:rsid w:val="00AB2CF6"/>
    <w:rsid w:val="00AB34A2"/>
    <w:rsid w:val="00AB3B5E"/>
    <w:rsid w:val="00AB58F2"/>
    <w:rsid w:val="00AB622B"/>
    <w:rsid w:val="00AC0385"/>
    <w:rsid w:val="00AC0B80"/>
    <w:rsid w:val="00AC31BA"/>
    <w:rsid w:val="00AC4D1B"/>
    <w:rsid w:val="00AC76F8"/>
    <w:rsid w:val="00AC7B66"/>
    <w:rsid w:val="00AD4DAF"/>
    <w:rsid w:val="00AD594A"/>
    <w:rsid w:val="00AD6914"/>
    <w:rsid w:val="00AD6E95"/>
    <w:rsid w:val="00AE15CF"/>
    <w:rsid w:val="00AE2E3E"/>
    <w:rsid w:val="00AE44D7"/>
    <w:rsid w:val="00AE4FC7"/>
    <w:rsid w:val="00AE7AD2"/>
    <w:rsid w:val="00AF0BC0"/>
    <w:rsid w:val="00AF109B"/>
    <w:rsid w:val="00AF166B"/>
    <w:rsid w:val="00AF2727"/>
    <w:rsid w:val="00AF2E1B"/>
    <w:rsid w:val="00AF3CAF"/>
    <w:rsid w:val="00AF41E3"/>
    <w:rsid w:val="00AF517F"/>
    <w:rsid w:val="00AF5350"/>
    <w:rsid w:val="00AF72D7"/>
    <w:rsid w:val="00B02027"/>
    <w:rsid w:val="00B0202C"/>
    <w:rsid w:val="00B02CF7"/>
    <w:rsid w:val="00B032A5"/>
    <w:rsid w:val="00B04C6A"/>
    <w:rsid w:val="00B064D7"/>
    <w:rsid w:val="00B0662D"/>
    <w:rsid w:val="00B06EE7"/>
    <w:rsid w:val="00B06FB3"/>
    <w:rsid w:val="00B1291B"/>
    <w:rsid w:val="00B12C99"/>
    <w:rsid w:val="00B15473"/>
    <w:rsid w:val="00B15907"/>
    <w:rsid w:val="00B17B34"/>
    <w:rsid w:val="00B17C29"/>
    <w:rsid w:val="00B21F36"/>
    <w:rsid w:val="00B220A2"/>
    <w:rsid w:val="00B223ED"/>
    <w:rsid w:val="00B23D90"/>
    <w:rsid w:val="00B2748F"/>
    <w:rsid w:val="00B328E1"/>
    <w:rsid w:val="00B32EC6"/>
    <w:rsid w:val="00B33374"/>
    <w:rsid w:val="00B35FF9"/>
    <w:rsid w:val="00B3765E"/>
    <w:rsid w:val="00B414B5"/>
    <w:rsid w:val="00B41B72"/>
    <w:rsid w:val="00B4243C"/>
    <w:rsid w:val="00B42A36"/>
    <w:rsid w:val="00B44C83"/>
    <w:rsid w:val="00B44EC1"/>
    <w:rsid w:val="00B45C66"/>
    <w:rsid w:val="00B462ED"/>
    <w:rsid w:val="00B47621"/>
    <w:rsid w:val="00B47C8D"/>
    <w:rsid w:val="00B50356"/>
    <w:rsid w:val="00B50B52"/>
    <w:rsid w:val="00B50E89"/>
    <w:rsid w:val="00B52FDD"/>
    <w:rsid w:val="00B5331A"/>
    <w:rsid w:val="00B53336"/>
    <w:rsid w:val="00B544E9"/>
    <w:rsid w:val="00B549A4"/>
    <w:rsid w:val="00B5585C"/>
    <w:rsid w:val="00B55BF4"/>
    <w:rsid w:val="00B56E0D"/>
    <w:rsid w:val="00B570F4"/>
    <w:rsid w:val="00B602F2"/>
    <w:rsid w:val="00B629EB"/>
    <w:rsid w:val="00B62D0B"/>
    <w:rsid w:val="00B63451"/>
    <w:rsid w:val="00B67DA8"/>
    <w:rsid w:val="00B715B3"/>
    <w:rsid w:val="00B71D78"/>
    <w:rsid w:val="00B7271F"/>
    <w:rsid w:val="00B73BCF"/>
    <w:rsid w:val="00B73D9B"/>
    <w:rsid w:val="00B74730"/>
    <w:rsid w:val="00B76ECB"/>
    <w:rsid w:val="00B8201A"/>
    <w:rsid w:val="00B821E9"/>
    <w:rsid w:val="00B834B6"/>
    <w:rsid w:val="00B8364A"/>
    <w:rsid w:val="00B843E0"/>
    <w:rsid w:val="00B846F7"/>
    <w:rsid w:val="00B857C6"/>
    <w:rsid w:val="00B86976"/>
    <w:rsid w:val="00B90119"/>
    <w:rsid w:val="00B915C4"/>
    <w:rsid w:val="00B9250C"/>
    <w:rsid w:val="00B9314A"/>
    <w:rsid w:val="00BA1930"/>
    <w:rsid w:val="00BA2207"/>
    <w:rsid w:val="00BA2F93"/>
    <w:rsid w:val="00BA3808"/>
    <w:rsid w:val="00BA5239"/>
    <w:rsid w:val="00BA582C"/>
    <w:rsid w:val="00BA7BBE"/>
    <w:rsid w:val="00BB28AB"/>
    <w:rsid w:val="00BB2B28"/>
    <w:rsid w:val="00BB37C7"/>
    <w:rsid w:val="00BB640C"/>
    <w:rsid w:val="00BB76D3"/>
    <w:rsid w:val="00BC00B1"/>
    <w:rsid w:val="00BC00C2"/>
    <w:rsid w:val="00BC0F04"/>
    <w:rsid w:val="00BC10D4"/>
    <w:rsid w:val="00BC29A8"/>
    <w:rsid w:val="00BC36A3"/>
    <w:rsid w:val="00BC59A0"/>
    <w:rsid w:val="00BC5B8A"/>
    <w:rsid w:val="00BC7BA3"/>
    <w:rsid w:val="00BD33A1"/>
    <w:rsid w:val="00BD5189"/>
    <w:rsid w:val="00BD59FE"/>
    <w:rsid w:val="00BD5DA6"/>
    <w:rsid w:val="00BD6DD4"/>
    <w:rsid w:val="00BD6E45"/>
    <w:rsid w:val="00BE02BC"/>
    <w:rsid w:val="00BE0F04"/>
    <w:rsid w:val="00BE1A21"/>
    <w:rsid w:val="00BE2669"/>
    <w:rsid w:val="00BE3807"/>
    <w:rsid w:val="00BE791B"/>
    <w:rsid w:val="00BF0421"/>
    <w:rsid w:val="00BF4874"/>
    <w:rsid w:val="00BF521D"/>
    <w:rsid w:val="00BF7602"/>
    <w:rsid w:val="00C004E3"/>
    <w:rsid w:val="00C00643"/>
    <w:rsid w:val="00C0145B"/>
    <w:rsid w:val="00C016AD"/>
    <w:rsid w:val="00C0186E"/>
    <w:rsid w:val="00C02D12"/>
    <w:rsid w:val="00C0454F"/>
    <w:rsid w:val="00C05B4D"/>
    <w:rsid w:val="00C06850"/>
    <w:rsid w:val="00C07616"/>
    <w:rsid w:val="00C07827"/>
    <w:rsid w:val="00C103D9"/>
    <w:rsid w:val="00C10CE7"/>
    <w:rsid w:val="00C1135C"/>
    <w:rsid w:val="00C12642"/>
    <w:rsid w:val="00C12B1E"/>
    <w:rsid w:val="00C12DC0"/>
    <w:rsid w:val="00C13016"/>
    <w:rsid w:val="00C13159"/>
    <w:rsid w:val="00C13A6C"/>
    <w:rsid w:val="00C141F8"/>
    <w:rsid w:val="00C14896"/>
    <w:rsid w:val="00C15103"/>
    <w:rsid w:val="00C16163"/>
    <w:rsid w:val="00C16362"/>
    <w:rsid w:val="00C20A30"/>
    <w:rsid w:val="00C22933"/>
    <w:rsid w:val="00C22D58"/>
    <w:rsid w:val="00C238EC"/>
    <w:rsid w:val="00C24997"/>
    <w:rsid w:val="00C24B66"/>
    <w:rsid w:val="00C2520D"/>
    <w:rsid w:val="00C2646A"/>
    <w:rsid w:val="00C27B24"/>
    <w:rsid w:val="00C30799"/>
    <w:rsid w:val="00C3092F"/>
    <w:rsid w:val="00C3098A"/>
    <w:rsid w:val="00C30CFA"/>
    <w:rsid w:val="00C32184"/>
    <w:rsid w:val="00C3301B"/>
    <w:rsid w:val="00C3646D"/>
    <w:rsid w:val="00C37232"/>
    <w:rsid w:val="00C37FB1"/>
    <w:rsid w:val="00C40456"/>
    <w:rsid w:val="00C4098E"/>
    <w:rsid w:val="00C41B98"/>
    <w:rsid w:val="00C438B7"/>
    <w:rsid w:val="00C451D0"/>
    <w:rsid w:val="00C45F7A"/>
    <w:rsid w:val="00C502C8"/>
    <w:rsid w:val="00C507FF"/>
    <w:rsid w:val="00C50DF9"/>
    <w:rsid w:val="00C53120"/>
    <w:rsid w:val="00C53D4B"/>
    <w:rsid w:val="00C57429"/>
    <w:rsid w:val="00C60CB5"/>
    <w:rsid w:val="00C60E38"/>
    <w:rsid w:val="00C62C02"/>
    <w:rsid w:val="00C62F9A"/>
    <w:rsid w:val="00C6429C"/>
    <w:rsid w:val="00C65E64"/>
    <w:rsid w:val="00C664CF"/>
    <w:rsid w:val="00C667C6"/>
    <w:rsid w:val="00C66B29"/>
    <w:rsid w:val="00C6739A"/>
    <w:rsid w:val="00C70CE3"/>
    <w:rsid w:val="00C712F7"/>
    <w:rsid w:val="00C713AD"/>
    <w:rsid w:val="00C7193B"/>
    <w:rsid w:val="00C71ACC"/>
    <w:rsid w:val="00C72473"/>
    <w:rsid w:val="00C75BAD"/>
    <w:rsid w:val="00C760BC"/>
    <w:rsid w:val="00C81752"/>
    <w:rsid w:val="00C84FCE"/>
    <w:rsid w:val="00C86F2F"/>
    <w:rsid w:val="00C9201A"/>
    <w:rsid w:val="00C922AD"/>
    <w:rsid w:val="00C92511"/>
    <w:rsid w:val="00C92E8C"/>
    <w:rsid w:val="00C93D92"/>
    <w:rsid w:val="00C94A57"/>
    <w:rsid w:val="00C95665"/>
    <w:rsid w:val="00C97F22"/>
    <w:rsid w:val="00CA0B50"/>
    <w:rsid w:val="00CA0ED6"/>
    <w:rsid w:val="00CA12D5"/>
    <w:rsid w:val="00CA1C5F"/>
    <w:rsid w:val="00CA45A2"/>
    <w:rsid w:val="00CA4FFF"/>
    <w:rsid w:val="00CA6D4E"/>
    <w:rsid w:val="00CA6E11"/>
    <w:rsid w:val="00CA74D7"/>
    <w:rsid w:val="00CA7D32"/>
    <w:rsid w:val="00CB1D07"/>
    <w:rsid w:val="00CB4DDD"/>
    <w:rsid w:val="00CB5DD4"/>
    <w:rsid w:val="00CB6BDD"/>
    <w:rsid w:val="00CC0FCA"/>
    <w:rsid w:val="00CC3072"/>
    <w:rsid w:val="00CC322E"/>
    <w:rsid w:val="00CC38C3"/>
    <w:rsid w:val="00CC51B4"/>
    <w:rsid w:val="00CC6425"/>
    <w:rsid w:val="00CC73AA"/>
    <w:rsid w:val="00CC7A53"/>
    <w:rsid w:val="00CD0FA8"/>
    <w:rsid w:val="00CD2B20"/>
    <w:rsid w:val="00CD2CEB"/>
    <w:rsid w:val="00CD3D1F"/>
    <w:rsid w:val="00CD4167"/>
    <w:rsid w:val="00CD5EA4"/>
    <w:rsid w:val="00CD67FF"/>
    <w:rsid w:val="00CE083E"/>
    <w:rsid w:val="00CE092A"/>
    <w:rsid w:val="00CE105E"/>
    <w:rsid w:val="00CE2088"/>
    <w:rsid w:val="00CE2FAF"/>
    <w:rsid w:val="00CE420E"/>
    <w:rsid w:val="00CE4944"/>
    <w:rsid w:val="00CE5814"/>
    <w:rsid w:val="00CE5972"/>
    <w:rsid w:val="00CE5A9A"/>
    <w:rsid w:val="00CF38B3"/>
    <w:rsid w:val="00CF3941"/>
    <w:rsid w:val="00CF3F05"/>
    <w:rsid w:val="00CF789C"/>
    <w:rsid w:val="00CF7F76"/>
    <w:rsid w:val="00D006D1"/>
    <w:rsid w:val="00D04845"/>
    <w:rsid w:val="00D069B2"/>
    <w:rsid w:val="00D07BC9"/>
    <w:rsid w:val="00D07BF4"/>
    <w:rsid w:val="00D07C57"/>
    <w:rsid w:val="00D119A3"/>
    <w:rsid w:val="00D11C2E"/>
    <w:rsid w:val="00D132EF"/>
    <w:rsid w:val="00D13315"/>
    <w:rsid w:val="00D134C0"/>
    <w:rsid w:val="00D1383E"/>
    <w:rsid w:val="00D1468A"/>
    <w:rsid w:val="00D14C90"/>
    <w:rsid w:val="00D14F5F"/>
    <w:rsid w:val="00D206BA"/>
    <w:rsid w:val="00D20F80"/>
    <w:rsid w:val="00D20F81"/>
    <w:rsid w:val="00D22786"/>
    <w:rsid w:val="00D231E3"/>
    <w:rsid w:val="00D23DBF"/>
    <w:rsid w:val="00D24059"/>
    <w:rsid w:val="00D2432B"/>
    <w:rsid w:val="00D25166"/>
    <w:rsid w:val="00D264A3"/>
    <w:rsid w:val="00D270FD"/>
    <w:rsid w:val="00D3370B"/>
    <w:rsid w:val="00D36543"/>
    <w:rsid w:val="00D405E6"/>
    <w:rsid w:val="00D41049"/>
    <w:rsid w:val="00D4403E"/>
    <w:rsid w:val="00D44A0E"/>
    <w:rsid w:val="00D44CB6"/>
    <w:rsid w:val="00D46023"/>
    <w:rsid w:val="00D46395"/>
    <w:rsid w:val="00D47651"/>
    <w:rsid w:val="00D50675"/>
    <w:rsid w:val="00D50893"/>
    <w:rsid w:val="00D50FB5"/>
    <w:rsid w:val="00D513E3"/>
    <w:rsid w:val="00D51CCB"/>
    <w:rsid w:val="00D52E47"/>
    <w:rsid w:val="00D534BB"/>
    <w:rsid w:val="00D555B8"/>
    <w:rsid w:val="00D5561A"/>
    <w:rsid w:val="00D5656B"/>
    <w:rsid w:val="00D60588"/>
    <w:rsid w:val="00D6083E"/>
    <w:rsid w:val="00D61135"/>
    <w:rsid w:val="00D632AE"/>
    <w:rsid w:val="00D6369B"/>
    <w:rsid w:val="00D63916"/>
    <w:rsid w:val="00D71746"/>
    <w:rsid w:val="00D71A47"/>
    <w:rsid w:val="00D71B51"/>
    <w:rsid w:val="00D72F05"/>
    <w:rsid w:val="00D73B0A"/>
    <w:rsid w:val="00D74046"/>
    <w:rsid w:val="00D742A8"/>
    <w:rsid w:val="00D74352"/>
    <w:rsid w:val="00D769B2"/>
    <w:rsid w:val="00D76EA4"/>
    <w:rsid w:val="00D770F9"/>
    <w:rsid w:val="00D8048D"/>
    <w:rsid w:val="00D817BA"/>
    <w:rsid w:val="00D81AFC"/>
    <w:rsid w:val="00D82C9C"/>
    <w:rsid w:val="00D830EE"/>
    <w:rsid w:val="00D83CC3"/>
    <w:rsid w:val="00D847A0"/>
    <w:rsid w:val="00D908CA"/>
    <w:rsid w:val="00D91693"/>
    <w:rsid w:val="00D95733"/>
    <w:rsid w:val="00D95CCC"/>
    <w:rsid w:val="00D969B3"/>
    <w:rsid w:val="00D969E4"/>
    <w:rsid w:val="00DA0E03"/>
    <w:rsid w:val="00DA192A"/>
    <w:rsid w:val="00DA2D28"/>
    <w:rsid w:val="00DA3809"/>
    <w:rsid w:val="00DA3E88"/>
    <w:rsid w:val="00DA5AB2"/>
    <w:rsid w:val="00DB219E"/>
    <w:rsid w:val="00DB2523"/>
    <w:rsid w:val="00DB2B9D"/>
    <w:rsid w:val="00DB4FA8"/>
    <w:rsid w:val="00DB614B"/>
    <w:rsid w:val="00DB7CA3"/>
    <w:rsid w:val="00DC0682"/>
    <w:rsid w:val="00DC1285"/>
    <w:rsid w:val="00DC2A65"/>
    <w:rsid w:val="00DC4C66"/>
    <w:rsid w:val="00DC63AD"/>
    <w:rsid w:val="00DC6569"/>
    <w:rsid w:val="00DC6E59"/>
    <w:rsid w:val="00DD1A65"/>
    <w:rsid w:val="00DD53BE"/>
    <w:rsid w:val="00DD7C00"/>
    <w:rsid w:val="00DE07E5"/>
    <w:rsid w:val="00DE28AD"/>
    <w:rsid w:val="00DE2BED"/>
    <w:rsid w:val="00DE48DC"/>
    <w:rsid w:val="00DE553C"/>
    <w:rsid w:val="00DE5A5D"/>
    <w:rsid w:val="00DE67A8"/>
    <w:rsid w:val="00DE6AD0"/>
    <w:rsid w:val="00DE7D1F"/>
    <w:rsid w:val="00DF1640"/>
    <w:rsid w:val="00DF4420"/>
    <w:rsid w:val="00DF4DEE"/>
    <w:rsid w:val="00DF5E27"/>
    <w:rsid w:val="00E01085"/>
    <w:rsid w:val="00E0185C"/>
    <w:rsid w:val="00E01F74"/>
    <w:rsid w:val="00E02E64"/>
    <w:rsid w:val="00E030B7"/>
    <w:rsid w:val="00E031F5"/>
    <w:rsid w:val="00E044A3"/>
    <w:rsid w:val="00E04FC9"/>
    <w:rsid w:val="00E10A0C"/>
    <w:rsid w:val="00E1203E"/>
    <w:rsid w:val="00E12A93"/>
    <w:rsid w:val="00E15489"/>
    <w:rsid w:val="00E2404B"/>
    <w:rsid w:val="00E25247"/>
    <w:rsid w:val="00E25C3D"/>
    <w:rsid w:val="00E2631F"/>
    <w:rsid w:val="00E3170B"/>
    <w:rsid w:val="00E317FB"/>
    <w:rsid w:val="00E33140"/>
    <w:rsid w:val="00E349EB"/>
    <w:rsid w:val="00E34D26"/>
    <w:rsid w:val="00E36FE9"/>
    <w:rsid w:val="00E3743B"/>
    <w:rsid w:val="00E41A16"/>
    <w:rsid w:val="00E41DC2"/>
    <w:rsid w:val="00E41E5D"/>
    <w:rsid w:val="00E42A88"/>
    <w:rsid w:val="00E42E91"/>
    <w:rsid w:val="00E43868"/>
    <w:rsid w:val="00E4446F"/>
    <w:rsid w:val="00E4612A"/>
    <w:rsid w:val="00E50109"/>
    <w:rsid w:val="00E5165E"/>
    <w:rsid w:val="00E51A58"/>
    <w:rsid w:val="00E51ACA"/>
    <w:rsid w:val="00E5301D"/>
    <w:rsid w:val="00E53E92"/>
    <w:rsid w:val="00E54D6A"/>
    <w:rsid w:val="00E55171"/>
    <w:rsid w:val="00E56237"/>
    <w:rsid w:val="00E57385"/>
    <w:rsid w:val="00E57420"/>
    <w:rsid w:val="00E574FA"/>
    <w:rsid w:val="00E6051F"/>
    <w:rsid w:val="00E61BD3"/>
    <w:rsid w:val="00E6277A"/>
    <w:rsid w:val="00E63B4E"/>
    <w:rsid w:val="00E64CC8"/>
    <w:rsid w:val="00E667FF"/>
    <w:rsid w:val="00E66A5C"/>
    <w:rsid w:val="00E67C61"/>
    <w:rsid w:val="00E749A0"/>
    <w:rsid w:val="00E7505E"/>
    <w:rsid w:val="00E752E4"/>
    <w:rsid w:val="00E755F4"/>
    <w:rsid w:val="00E769A7"/>
    <w:rsid w:val="00E80060"/>
    <w:rsid w:val="00E80F67"/>
    <w:rsid w:val="00E817E4"/>
    <w:rsid w:val="00E81C10"/>
    <w:rsid w:val="00E82484"/>
    <w:rsid w:val="00E82ACA"/>
    <w:rsid w:val="00E83B0F"/>
    <w:rsid w:val="00E863DC"/>
    <w:rsid w:val="00E8647A"/>
    <w:rsid w:val="00E86B3F"/>
    <w:rsid w:val="00E86EF5"/>
    <w:rsid w:val="00E92AF6"/>
    <w:rsid w:val="00E9347F"/>
    <w:rsid w:val="00E93583"/>
    <w:rsid w:val="00E94AAA"/>
    <w:rsid w:val="00E9715B"/>
    <w:rsid w:val="00E9789B"/>
    <w:rsid w:val="00EA00A0"/>
    <w:rsid w:val="00EA0274"/>
    <w:rsid w:val="00EA10B5"/>
    <w:rsid w:val="00EA1191"/>
    <w:rsid w:val="00EA186D"/>
    <w:rsid w:val="00EA19CD"/>
    <w:rsid w:val="00EA3092"/>
    <w:rsid w:val="00EA329C"/>
    <w:rsid w:val="00EA3587"/>
    <w:rsid w:val="00EA3678"/>
    <w:rsid w:val="00EA43BC"/>
    <w:rsid w:val="00EA46E7"/>
    <w:rsid w:val="00EA4EB9"/>
    <w:rsid w:val="00EA57A2"/>
    <w:rsid w:val="00EA5FE1"/>
    <w:rsid w:val="00EA6773"/>
    <w:rsid w:val="00EA785C"/>
    <w:rsid w:val="00EB0321"/>
    <w:rsid w:val="00EB0B55"/>
    <w:rsid w:val="00EB360A"/>
    <w:rsid w:val="00EB5404"/>
    <w:rsid w:val="00EB6D59"/>
    <w:rsid w:val="00EB7156"/>
    <w:rsid w:val="00EB72EC"/>
    <w:rsid w:val="00EB7856"/>
    <w:rsid w:val="00EC0E3B"/>
    <w:rsid w:val="00EC15DB"/>
    <w:rsid w:val="00EC16C7"/>
    <w:rsid w:val="00EC1F3C"/>
    <w:rsid w:val="00EC21E6"/>
    <w:rsid w:val="00EC253E"/>
    <w:rsid w:val="00EC3DE2"/>
    <w:rsid w:val="00EC406B"/>
    <w:rsid w:val="00EC47DB"/>
    <w:rsid w:val="00EC7DCA"/>
    <w:rsid w:val="00ED035E"/>
    <w:rsid w:val="00ED03E9"/>
    <w:rsid w:val="00ED06BD"/>
    <w:rsid w:val="00ED09BC"/>
    <w:rsid w:val="00ED0E62"/>
    <w:rsid w:val="00ED176C"/>
    <w:rsid w:val="00ED3A01"/>
    <w:rsid w:val="00ED3D41"/>
    <w:rsid w:val="00ED42CE"/>
    <w:rsid w:val="00ED55CA"/>
    <w:rsid w:val="00ED5FB6"/>
    <w:rsid w:val="00ED68D8"/>
    <w:rsid w:val="00ED755C"/>
    <w:rsid w:val="00EE0012"/>
    <w:rsid w:val="00EE0625"/>
    <w:rsid w:val="00EE08D1"/>
    <w:rsid w:val="00EE2D21"/>
    <w:rsid w:val="00EE4E52"/>
    <w:rsid w:val="00EE7390"/>
    <w:rsid w:val="00EE74D8"/>
    <w:rsid w:val="00EE7900"/>
    <w:rsid w:val="00EE797F"/>
    <w:rsid w:val="00EE7C51"/>
    <w:rsid w:val="00EF08AC"/>
    <w:rsid w:val="00EF0971"/>
    <w:rsid w:val="00EF1B92"/>
    <w:rsid w:val="00EF1FAF"/>
    <w:rsid w:val="00EF4310"/>
    <w:rsid w:val="00EF4EB0"/>
    <w:rsid w:val="00EF5414"/>
    <w:rsid w:val="00EF76C6"/>
    <w:rsid w:val="00F00690"/>
    <w:rsid w:val="00F01148"/>
    <w:rsid w:val="00F034EF"/>
    <w:rsid w:val="00F050BE"/>
    <w:rsid w:val="00F05184"/>
    <w:rsid w:val="00F05473"/>
    <w:rsid w:val="00F05DAA"/>
    <w:rsid w:val="00F071DD"/>
    <w:rsid w:val="00F0751E"/>
    <w:rsid w:val="00F07F5A"/>
    <w:rsid w:val="00F120DB"/>
    <w:rsid w:val="00F1299E"/>
    <w:rsid w:val="00F13030"/>
    <w:rsid w:val="00F132EF"/>
    <w:rsid w:val="00F153B5"/>
    <w:rsid w:val="00F15742"/>
    <w:rsid w:val="00F15F02"/>
    <w:rsid w:val="00F15F7F"/>
    <w:rsid w:val="00F17AE4"/>
    <w:rsid w:val="00F17BFF"/>
    <w:rsid w:val="00F20639"/>
    <w:rsid w:val="00F219A1"/>
    <w:rsid w:val="00F23072"/>
    <w:rsid w:val="00F23160"/>
    <w:rsid w:val="00F23531"/>
    <w:rsid w:val="00F2466A"/>
    <w:rsid w:val="00F24BF7"/>
    <w:rsid w:val="00F24D43"/>
    <w:rsid w:val="00F255BF"/>
    <w:rsid w:val="00F3344A"/>
    <w:rsid w:val="00F33843"/>
    <w:rsid w:val="00F33A8B"/>
    <w:rsid w:val="00F340A8"/>
    <w:rsid w:val="00F37039"/>
    <w:rsid w:val="00F37D05"/>
    <w:rsid w:val="00F40ED2"/>
    <w:rsid w:val="00F43124"/>
    <w:rsid w:val="00F4343A"/>
    <w:rsid w:val="00F43587"/>
    <w:rsid w:val="00F4538C"/>
    <w:rsid w:val="00F45597"/>
    <w:rsid w:val="00F47138"/>
    <w:rsid w:val="00F473D4"/>
    <w:rsid w:val="00F50709"/>
    <w:rsid w:val="00F515B2"/>
    <w:rsid w:val="00F5494A"/>
    <w:rsid w:val="00F550EE"/>
    <w:rsid w:val="00F55945"/>
    <w:rsid w:val="00F559EC"/>
    <w:rsid w:val="00F60084"/>
    <w:rsid w:val="00F610ED"/>
    <w:rsid w:val="00F6294F"/>
    <w:rsid w:val="00F647F6"/>
    <w:rsid w:val="00F648B0"/>
    <w:rsid w:val="00F65090"/>
    <w:rsid w:val="00F6526F"/>
    <w:rsid w:val="00F657EC"/>
    <w:rsid w:val="00F6735E"/>
    <w:rsid w:val="00F67D4A"/>
    <w:rsid w:val="00F67FFB"/>
    <w:rsid w:val="00F714B7"/>
    <w:rsid w:val="00F733BD"/>
    <w:rsid w:val="00F76257"/>
    <w:rsid w:val="00F76693"/>
    <w:rsid w:val="00F767AE"/>
    <w:rsid w:val="00F7766F"/>
    <w:rsid w:val="00F80F7D"/>
    <w:rsid w:val="00F81D8D"/>
    <w:rsid w:val="00F829B8"/>
    <w:rsid w:val="00F84F7D"/>
    <w:rsid w:val="00F85A4F"/>
    <w:rsid w:val="00F86B59"/>
    <w:rsid w:val="00F87535"/>
    <w:rsid w:val="00F9036A"/>
    <w:rsid w:val="00F9051F"/>
    <w:rsid w:val="00F906D7"/>
    <w:rsid w:val="00F908AD"/>
    <w:rsid w:val="00F90993"/>
    <w:rsid w:val="00F91D74"/>
    <w:rsid w:val="00F92BE3"/>
    <w:rsid w:val="00F948FE"/>
    <w:rsid w:val="00F9670B"/>
    <w:rsid w:val="00F97701"/>
    <w:rsid w:val="00F97B2F"/>
    <w:rsid w:val="00FA0F86"/>
    <w:rsid w:val="00FA0FDB"/>
    <w:rsid w:val="00FA1D38"/>
    <w:rsid w:val="00FA1FAA"/>
    <w:rsid w:val="00FA2B10"/>
    <w:rsid w:val="00FA2F37"/>
    <w:rsid w:val="00FA325C"/>
    <w:rsid w:val="00FA3990"/>
    <w:rsid w:val="00FA54DD"/>
    <w:rsid w:val="00FA5DA4"/>
    <w:rsid w:val="00FA6665"/>
    <w:rsid w:val="00FA776F"/>
    <w:rsid w:val="00FB0010"/>
    <w:rsid w:val="00FB0132"/>
    <w:rsid w:val="00FB0620"/>
    <w:rsid w:val="00FB2B37"/>
    <w:rsid w:val="00FB2D62"/>
    <w:rsid w:val="00FB4BD4"/>
    <w:rsid w:val="00FB66A3"/>
    <w:rsid w:val="00FB6816"/>
    <w:rsid w:val="00FB72AB"/>
    <w:rsid w:val="00FB7703"/>
    <w:rsid w:val="00FB7B90"/>
    <w:rsid w:val="00FC0D08"/>
    <w:rsid w:val="00FC3B14"/>
    <w:rsid w:val="00FC4556"/>
    <w:rsid w:val="00FC4925"/>
    <w:rsid w:val="00FC4B36"/>
    <w:rsid w:val="00FC5062"/>
    <w:rsid w:val="00FC6424"/>
    <w:rsid w:val="00FC6EF2"/>
    <w:rsid w:val="00FC7257"/>
    <w:rsid w:val="00FD0339"/>
    <w:rsid w:val="00FD0769"/>
    <w:rsid w:val="00FD0F56"/>
    <w:rsid w:val="00FD2EC2"/>
    <w:rsid w:val="00FD4140"/>
    <w:rsid w:val="00FD41D0"/>
    <w:rsid w:val="00FD56E8"/>
    <w:rsid w:val="00FD5C95"/>
    <w:rsid w:val="00FD6AEA"/>
    <w:rsid w:val="00FD74B2"/>
    <w:rsid w:val="00FD752A"/>
    <w:rsid w:val="00FE227C"/>
    <w:rsid w:val="00FE4A81"/>
    <w:rsid w:val="00FE54B4"/>
    <w:rsid w:val="00FE6752"/>
    <w:rsid w:val="00FE6846"/>
    <w:rsid w:val="00FE73C6"/>
    <w:rsid w:val="00FE7B1D"/>
    <w:rsid w:val="00FF0237"/>
    <w:rsid w:val="00FF13F2"/>
    <w:rsid w:val="00FF1CCD"/>
    <w:rsid w:val="00FF30B3"/>
    <w:rsid w:val="00FF3320"/>
    <w:rsid w:val="00FF4C25"/>
    <w:rsid w:val="00FF63E2"/>
    <w:rsid w:val="00FF6A09"/>
    <w:rsid w:val="00FF7799"/>
    <w:rsid w:val="02142E6A"/>
    <w:rsid w:val="060357D0"/>
    <w:rsid w:val="078585F6"/>
    <w:rsid w:val="07FD82B6"/>
    <w:rsid w:val="09B3F18D"/>
    <w:rsid w:val="0A1F88EB"/>
    <w:rsid w:val="0A738932"/>
    <w:rsid w:val="0AF220B4"/>
    <w:rsid w:val="0C3584A4"/>
    <w:rsid w:val="0F3FF9E8"/>
    <w:rsid w:val="1080FCA7"/>
    <w:rsid w:val="121490F4"/>
    <w:rsid w:val="1348C459"/>
    <w:rsid w:val="13AAD407"/>
    <w:rsid w:val="17949297"/>
    <w:rsid w:val="1968EA75"/>
    <w:rsid w:val="1D9487EE"/>
    <w:rsid w:val="1E493AF0"/>
    <w:rsid w:val="1FB13274"/>
    <w:rsid w:val="1FB44BE4"/>
    <w:rsid w:val="1FDDA60D"/>
    <w:rsid w:val="2113F777"/>
    <w:rsid w:val="224BEE4E"/>
    <w:rsid w:val="22C2D2F7"/>
    <w:rsid w:val="22F78B5D"/>
    <w:rsid w:val="239ABDFD"/>
    <w:rsid w:val="25BF6059"/>
    <w:rsid w:val="2BC4DE03"/>
    <w:rsid w:val="2D91D03B"/>
    <w:rsid w:val="3328ECC6"/>
    <w:rsid w:val="3343B642"/>
    <w:rsid w:val="35169993"/>
    <w:rsid w:val="3990EF75"/>
    <w:rsid w:val="3C7EE631"/>
    <w:rsid w:val="3CA607DF"/>
    <w:rsid w:val="3CD93A64"/>
    <w:rsid w:val="3D0763D3"/>
    <w:rsid w:val="3E20AA76"/>
    <w:rsid w:val="3FA438ED"/>
    <w:rsid w:val="41BBFF38"/>
    <w:rsid w:val="434F6650"/>
    <w:rsid w:val="46F1860A"/>
    <w:rsid w:val="4925094F"/>
    <w:rsid w:val="4FAD4835"/>
    <w:rsid w:val="5014F04E"/>
    <w:rsid w:val="50479C1C"/>
    <w:rsid w:val="52786D01"/>
    <w:rsid w:val="5A051A91"/>
    <w:rsid w:val="5B4C1244"/>
    <w:rsid w:val="5C3E6E0B"/>
    <w:rsid w:val="5D9A926D"/>
    <w:rsid w:val="5DB72D58"/>
    <w:rsid w:val="5E3CFBED"/>
    <w:rsid w:val="6730E492"/>
    <w:rsid w:val="6A7DE276"/>
    <w:rsid w:val="6B0D9632"/>
    <w:rsid w:val="6D7FFE96"/>
    <w:rsid w:val="704EA933"/>
    <w:rsid w:val="70A37084"/>
    <w:rsid w:val="70FB8B5D"/>
    <w:rsid w:val="738E1D86"/>
    <w:rsid w:val="7507E276"/>
    <w:rsid w:val="756249BC"/>
    <w:rsid w:val="765653C1"/>
    <w:rsid w:val="76EDCA38"/>
    <w:rsid w:val="7735640E"/>
    <w:rsid w:val="79FD6403"/>
    <w:rsid w:val="7C5E2D54"/>
    <w:rsid w:val="7DFEF29C"/>
    <w:rsid w:val="7E0CBBE3"/>
    <w:rsid w:val="7F0BDDBC"/>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E2194"/>
  <w15:chartTrackingRefBased/>
  <w15:docId w15:val="{FE442AF7-BEAB-4781-B0DC-19F209532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408"/>
    <w:rPr>
      <w:rFonts w:asciiTheme="majorHAnsi" w:hAnsiTheme="majorHAnsi"/>
      <w:lang w:val="en-US"/>
    </w:rPr>
  </w:style>
  <w:style w:type="paragraph" w:styleId="Heading1">
    <w:name w:val="heading 1"/>
    <w:basedOn w:val="Normal"/>
    <w:next w:val="Normal"/>
    <w:link w:val="Heading1Char"/>
    <w:uiPriority w:val="9"/>
    <w:qFormat/>
    <w:rsid w:val="007C3BD2"/>
    <w:pPr>
      <w:keepNext/>
      <w:keepLines/>
      <w:spacing w:before="240" w:after="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7C3BD2"/>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674877"/>
    <w:pPr>
      <w:keepNext/>
      <w:keepLines/>
      <w:spacing w:before="160" w:after="80"/>
      <w:outlineLvl w:val="2"/>
    </w:pPr>
    <w:rPr>
      <w:rFonts w:eastAsiaTheme="minorEastAsia" w:cstheme="majorEastAsia"/>
      <w:b/>
      <w:i/>
      <w:color w:val="000000" w:themeColor="text1"/>
      <w:sz w:val="24"/>
      <w:szCs w:val="28"/>
    </w:rPr>
  </w:style>
  <w:style w:type="paragraph" w:styleId="Heading4">
    <w:name w:val="heading 4"/>
    <w:basedOn w:val="Normal"/>
    <w:next w:val="Normal"/>
    <w:link w:val="Heading4Char"/>
    <w:uiPriority w:val="9"/>
    <w:unhideWhenUsed/>
    <w:qFormat/>
    <w:rsid w:val="002F3888"/>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4B26"/>
    <w:pPr>
      <w:ind w:left="720"/>
      <w:contextualSpacing/>
    </w:pPr>
  </w:style>
  <w:style w:type="character" w:customStyle="1" w:styleId="MTEquationSection">
    <w:name w:val="MTEquationSection"/>
    <w:basedOn w:val="DefaultParagraphFont"/>
    <w:rsid w:val="00F908AD"/>
    <w:rPr>
      <w:rFonts w:asciiTheme="majorHAnsi" w:hAnsiTheme="majorHAnsi" w:cstheme="majorHAnsi"/>
      <w:vanish/>
      <w:color w:val="FF0000"/>
      <w:sz w:val="32"/>
      <w:szCs w:val="26"/>
      <w:lang w:val="fr-FR"/>
    </w:rPr>
  </w:style>
  <w:style w:type="paragraph" w:styleId="BalloonText">
    <w:name w:val="Balloon Text"/>
    <w:basedOn w:val="Normal"/>
    <w:link w:val="BalloonTextChar"/>
    <w:uiPriority w:val="99"/>
    <w:semiHidden/>
    <w:unhideWhenUsed/>
    <w:rsid w:val="00A659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59A3"/>
    <w:rPr>
      <w:rFonts w:ascii="Segoe UI" w:hAnsi="Segoe UI" w:cs="Segoe UI"/>
      <w:sz w:val="18"/>
      <w:szCs w:val="18"/>
    </w:rPr>
  </w:style>
  <w:style w:type="table" w:styleId="TableGrid">
    <w:name w:val="Table Grid"/>
    <w:basedOn w:val="TableNormal"/>
    <w:uiPriority w:val="39"/>
    <w:rsid w:val="00C00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979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79C3"/>
  </w:style>
  <w:style w:type="paragraph" w:styleId="Footer">
    <w:name w:val="footer"/>
    <w:basedOn w:val="Normal"/>
    <w:link w:val="FooterChar"/>
    <w:uiPriority w:val="99"/>
    <w:unhideWhenUsed/>
    <w:rsid w:val="001979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79C3"/>
  </w:style>
  <w:style w:type="character" w:styleId="Hyperlink">
    <w:name w:val="Hyperlink"/>
    <w:uiPriority w:val="99"/>
    <w:unhideWhenUsed/>
    <w:rsid w:val="009A667E"/>
    <w:rPr>
      <w:color w:val="0000FF"/>
      <w:u w:val="single"/>
    </w:rPr>
  </w:style>
  <w:style w:type="character" w:customStyle="1" w:styleId="Heading1Char">
    <w:name w:val="Heading 1 Char"/>
    <w:basedOn w:val="DefaultParagraphFont"/>
    <w:link w:val="Heading1"/>
    <w:uiPriority w:val="9"/>
    <w:rsid w:val="007C3BD2"/>
    <w:rPr>
      <w:rFonts w:asciiTheme="majorHAnsi" w:eastAsiaTheme="majorEastAsia" w:hAnsiTheme="majorHAnsi" w:cstheme="majorBidi"/>
      <w:b/>
      <w:color w:val="000000" w:themeColor="text1"/>
      <w:sz w:val="32"/>
      <w:szCs w:val="32"/>
    </w:rPr>
  </w:style>
  <w:style w:type="paragraph" w:styleId="TOCHeading">
    <w:name w:val="TOC Heading"/>
    <w:basedOn w:val="Heading1"/>
    <w:next w:val="Normal"/>
    <w:uiPriority w:val="39"/>
    <w:qFormat/>
    <w:rsid w:val="009A667E"/>
    <w:pPr>
      <w:spacing w:before="480" w:line="276" w:lineRule="auto"/>
      <w:outlineLvl w:val="9"/>
    </w:pPr>
    <w:rPr>
      <w:rFonts w:ascii="Cambria" w:eastAsia="Times New Roman" w:hAnsi="Cambria" w:cs="Times New Roman"/>
      <w:b w:val="0"/>
      <w:bCs/>
      <w:color w:val="365F91"/>
      <w:sz w:val="28"/>
      <w:szCs w:val="28"/>
    </w:rPr>
  </w:style>
  <w:style w:type="paragraph" w:styleId="TOC2">
    <w:name w:val="toc 2"/>
    <w:basedOn w:val="Normal"/>
    <w:next w:val="Normal"/>
    <w:autoRedefine/>
    <w:uiPriority w:val="39"/>
    <w:unhideWhenUsed/>
    <w:rsid w:val="009A667E"/>
    <w:pPr>
      <w:tabs>
        <w:tab w:val="right" w:leader="dot" w:pos="9304"/>
      </w:tabs>
      <w:spacing w:after="100" w:line="312" w:lineRule="auto"/>
      <w:ind w:left="220"/>
    </w:pPr>
    <w:rPr>
      <w:rFonts w:ascii="Times New Roman" w:eastAsia="Calibri" w:hAnsi="Times New Roman" w:cs="Times New Roman"/>
      <w:noProof/>
      <w:sz w:val="26"/>
      <w:szCs w:val="26"/>
    </w:rPr>
  </w:style>
  <w:style w:type="paragraph" w:styleId="TOC1">
    <w:name w:val="toc 1"/>
    <w:basedOn w:val="Normal"/>
    <w:next w:val="Normal"/>
    <w:autoRedefine/>
    <w:uiPriority w:val="39"/>
    <w:unhideWhenUsed/>
    <w:rsid w:val="009A667E"/>
    <w:pPr>
      <w:tabs>
        <w:tab w:val="right" w:leader="dot" w:pos="9304"/>
      </w:tabs>
      <w:spacing w:after="100" w:line="312" w:lineRule="auto"/>
    </w:pPr>
    <w:rPr>
      <w:rFonts w:ascii="Times New Roman" w:eastAsia="Calibri" w:hAnsi="Times New Roman" w:cs="Times New Roman"/>
      <w:b/>
      <w:noProof/>
      <w:sz w:val="26"/>
      <w:szCs w:val="26"/>
    </w:rPr>
  </w:style>
  <w:style w:type="paragraph" w:styleId="TOC3">
    <w:name w:val="toc 3"/>
    <w:basedOn w:val="Normal"/>
    <w:next w:val="Normal"/>
    <w:autoRedefine/>
    <w:uiPriority w:val="39"/>
    <w:unhideWhenUsed/>
    <w:rsid w:val="009A667E"/>
    <w:pPr>
      <w:spacing w:after="100" w:line="276" w:lineRule="auto"/>
      <w:ind w:left="440"/>
    </w:pPr>
    <w:rPr>
      <w:rFonts w:ascii="Calibri" w:eastAsia="Calibri" w:hAnsi="Calibri" w:cs="Times New Roman"/>
    </w:rPr>
  </w:style>
  <w:style w:type="character" w:customStyle="1" w:styleId="Heading2Char">
    <w:name w:val="Heading 2 Char"/>
    <w:basedOn w:val="DefaultParagraphFont"/>
    <w:link w:val="Heading2"/>
    <w:uiPriority w:val="9"/>
    <w:rsid w:val="007C3BD2"/>
    <w:rPr>
      <w:rFonts w:asciiTheme="majorHAnsi" w:eastAsiaTheme="majorEastAsia" w:hAnsiTheme="majorHAnsi" w:cstheme="majorBidi"/>
      <w:b/>
      <w:color w:val="000000" w:themeColor="text1"/>
      <w:sz w:val="28"/>
      <w:szCs w:val="26"/>
    </w:rPr>
  </w:style>
  <w:style w:type="paragraph" w:styleId="Caption">
    <w:name w:val="caption"/>
    <w:basedOn w:val="Normal"/>
    <w:next w:val="Normal"/>
    <w:uiPriority w:val="35"/>
    <w:unhideWhenUsed/>
    <w:qFormat/>
    <w:rsid w:val="00124A85"/>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DB2B9D"/>
    <w:pPr>
      <w:spacing w:before="60" w:after="0" w:line="264" w:lineRule="auto"/>
      <w:jc w:val="both"/>
    </w:pPr>
    <w:rPr>
      <w:rFonts w:ascii="Times New Roman" w:hAnsi="Times New Roman" w:cs="Times New Roman"/>
      <w:color w:val="000000"/>
      <w:sz w:val="26"/>
      <w:szCs w:val="26"/>
    </w:rPr>
  </w:style>
  <w:style w:type="paragraph" w:styleId="NormalWeb">
    <w:name w:val="Normal (Web)"/>
    <w:basedOn w:val="Normal"/>
    <w:uiPriority w:val="99"/>
    <w:unhideWhenUsed/>
    <w:rsid w:val="00661A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674877"/>
    <w:rPr>
      <w:rFonts w:asciiTheme="majorHAnsi" w:eastAsiaTheme="minorEastAsia" w:hAnsiTheme="majorHAnsi" w:cstheme="majorEastAsia"/>
      <w:b/>
      <w:i/>
      <w:color w:val="000000" w:themeColor="text1"/>
      <w:sz w:val="24"/>
      <w:szCs w:val="28"/>
    </w:rPr>
  </w:style>
  <w:style w:type="character" w:customStyle="1" w:styleId="Heading4Char">
    <w:name w:val="Heading 4 Char"/>
    <w:basedOn w:val="DefaultParagraphFont"/>
    <w:link w:val="Heading4"/>
    <w:uiPriority w:val="9"/>
    <w:rsid w:val="002F3888"/>
    <w:rPr>
      <w:rFonts w:eastAsiaTheme="minorEastAsia" w:cstheme="majorEastAsia"/>
      <w:i/>
      <w:iCs/>
      <w:color w:val="2F5496" w:themeColor="accent1" w:themeShade="BF"/>
    </w:rPr>
  </w:style>
  <w:style w:type="character" w:styleId="UnresolvedMention">
    <w:name w:val="Unresolved Mention"/>
    <w:basedOn w:val="DefaultParagraphFont"/>
    <w:uiPriority w:val="99"/>
    <w:semiHidden/>
    <w:unhideWhenUsed/>
    <w:rsid w:val="003A517D"/>
    <w:rPr>
      <w:color w:val="605E5C"/>
      <w:shd w:val="clear" w:color="auto" w:fill="E1DFDD"/>
    </w:rPr>
  </w:style>
  <w:style w:type="character" w:styleId="FollowedHyperlink">
    <w:name w:val="FollowedHyperlink"/>
    <w:basedOn w:val="DefaultParagraphFont"/>
    <w:uiPriority w:val="99"/>
    <w:semiHidden/>
    <w:unhideWhenUsed/>
    <w:rsid w:val="002D54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6657">
      <w:bodyDiv w:val="1"/>
      <w:marLeft w:val="0"/>
      <w:marRight w:val="0"/>
      <w:marTop w:val="0"/>
      <w:marBottom w:val="0"/>
      <w:divBdr>
        <w:top w:val="none" w:sz="0" w:space="0" w:color="auto"/>
        <w:left w:val="none" w:sz="0" w:space="0" w:color="auto"/>
        <w:bottom w:val="none" w:sz="0" w:space="0" w:color="auto"/>
        <w:right w:val="none" w:sz="0" w:space="0" w:color="auto"/>
      </w:divBdr>
    </w:div>
    <w:div w:id="10495734">
      <w:bodyDiv w:val="1"/>
      <w:marLeft w:val="0"/>
      <w:marRight w:val="0"/>
      <w:marTop w:val="0"/>
      <w:marBottom w:val="0"/>
      <w:divBdr>
        <w:top w:val="none" w:sz="0" w:space="0" w:color="auto"/>
        <w:left w:val="none" w:sz="0" w:space="0" w:color="auto"/>
        <w:bottom w:val="none" w:sz="0" w:space="0" w:color="auto"/>
        <w:right w:val="none" w:sz="0" w:space="0" w:color="auto"/>
      </w:divBdr>
    </w:div>
    <w:div w:id="18745913">
      <w:bodyDiv w:val="1"/>
      <w:marLeft w:val="0"/>
      <w:marRight w:val="0"/>
      <w:marTop w:val="0"/>
      <w:marBottom w:val="0"/>
      <w:divBdr>
        <w:top w:val="none" w:sz="0" w:space="0" w:color="auto"/>
        <w:left w:val="none" w:sz="0" w:space="0" w:color="auto"/>
        <w:bottom w:val="none" w:sz="0" w:space="0" w:color="auto"/>
        <w:right w:val="none" w:sz="0" w:space="0" w:color="auto"/>
      </w:divBdr>
      <w:divsChild>
        <w:div w:id="2010909773">
          <w:marLeft w:val="0"/>
          <w:marRight w:val="0"/>
          <w:marTop w:val="0"/>
          <w:marBottom w:val="0"/>
          <w:divBdr>
            <w:top w:val="none" w:sz="0" w:space="0" w:color="auto"/>
            <w:left w:val="none" w:sz="0" w:space="0" w:color="auto"/>
            <w:bottom w:val="none" w:sz="0" w:space="0" w:color="auto"/>
            <w:right w:val="none" w:sz="0" w:space="0" w:color="auto"/>
          </w:divBdr>
          <w:divsChild>
            <w:div w:id="852954980">
              <w:marLeft w:val="0"/>
              <w:marRight w:val="0"/>
              <w:marTop w:val="0"/>
              <w:marBottom w:val="0"/>
              <w:divBdr>
                <w:top w:val="none" w:sz="0" w:space="0" w:color="auto"/>
                <w:left w:val="none" w:sz="0" w:space="0" w:color="auto"/>
                <w:bottom w:val="none" w:sz="0" w:space="0" w:color="auto"/>
                <w:right w:val="none" w:sz="0" w:space="0" w:color="auto"/>
              </w:divBdr>
              <w:divsChild>
                <w:div w:id="86002714">
                  <w:marLeft w:val="0"/>
                  <w:marRight w:val="0"/>
                  <w:marTop w:val="0"/>
                  <w:marBottom w:val="0"/>
                  <w:divBdr>
                    <w:top w:val="none" w:sz="0" w:space="0" w:color="auto"/>
                    <w:left w:val="none" w:sz="0" w:space="0" w:color="auto"/>
                    <w:bottom w:val="none" w:sz="0" w:space="0" w:color="auto"/>
                    <w:right w:val="none" w:sz="0" w:space="0" w:color="auto"/>
                  </w:divBdr>
                  <w:divsChild>
                    <w:div w:id="1492019546">
                      <w:marLeft w:val="0"/>
                      <w:marRight w:val="0"/>
                      <w:marTop w:val="0"/>
                      <w:marBottom w:val="0"/>
                      <w:divBdr>
                        <w:top w:val="none" w:sz="0" w:space="0" w:color="auto"/>
                        <w:left w:val="none" w:sz="0" w:space="0" w:color="auto"/>
                        <w:bottom w:val="none" w:sz="0" w:space="0" w:color="auto"/>
                        <w:right w:val="none" w:sz="0" w:space="0" w:color="auto"/>
                      </w:divBdr>
                    </w:div>
                    <w:div w:id="1519075406">
                      <w:marLeft w:val="0"/>
                      <w:marRight w:val="0"/>
                      <w:marTop w:val="0"/>
                      <w:marBottom w:val="0"/>
                      <w:divBdr>
                        <w:top w:val="none" w:sz="0" w:space="0" w:color="auto"/>
                        <w:left w:val="none" w:sz="0" w:space="0" w:color="auto"/>
                        <w:bottom w:val="none" w:sz="0" w:space="0" w:color="auto"/>
                        <w:right w:val="none" w:sz="0" w:space="0" w:color="auto"/>
                      </w:divBdr>
                    </w:div>
                  </w:divsChild>
                </w:div>
                <w:div w:id="506284826">
                  <w:marLeft w:val="0"/>
                  <w:marRight w:val="0"/>
                  <w:marTop w:val="0"/>
                  <w:marBottom w:val="0"/>
                  <w:divBdr>
                    <w:top w:val="none" w:sz="0" w:space="0" w:color="auto"/>
                    <w:left w:val="none" w:sz="0" w:space="0" w:color="auto"/>
                    <w:bottom w:val="none" w:sz="0" w:space="0" w:color="auto"/>
                    <w:right w:val="none" w:sz="0" w:space="0" w:color="auto"/>
                  </w:divBdr>
                  <w:divsChild>
                    <w:div w:id="294261505">
                      <w:marLeft w:val="0"/>
                      <w:marRight w:val="0"/>
                      <w:marTop w:val="0"/>
                      <w:marBottom w:val="0"/>
                      <w:divBdr>
                        <w:top w:val="none" w:sz="0" w:space="0" w:color="auto"/>
                        <w:left w:val="none" w:sz="0" w:space="0" w:color="auto"/>
                        <w:bottom w:val="none" w:sz="0" w:space="0" w:color="auto"/>
                        <w:right w:val="none" w:sz="0" w:space="0" w:color="auto"/>
                      </w:divBdr>
                    </w:div>
                  </w:divsChild>
                </w:div>
                <w:div w:id="1957833156">
                  <w:marLeft w:val="0"/>
                  <w:marRight w:val="0"/>
                  <w:marTop w:val="0"/>
                  <w:marBottom w:val="0"/>
                  <w:divBdr>
                    <w:top w:val="none" w:sz="0" w:space="0" w:color="auto"/>
                    <w:left w:val="none" w:sz="0" w:space="0" w:color="auto"/>
                    <w:bottom w:val="none" w:sz="0" w:space="0" w:color="auto"/>
                    <w:right w:val="none" w:sz="0" w:space="0" w:color="auto"/>
                  </w:divBdr>
                  <w:divsChild>
                    <w:div w:id="135010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76752">
      <w:bodyDiv w:val="1"/>
      <w:marLeft w:val="0"/>
      <w:marRight w:val="0"/>
      <w:marTop w:val="0"/>
      <w:marBottom w:val="0"/>
      <w:divBdr>
        <w:top w:val="none" w:sz="0" w:space="0" w:color="auto"/>
        <w:left w:val="none" w:sz="0" w:space="0" w:color="auto"/>
        <w:bottom w:val="none" w:sz="0" w:space="0" w:color="auto"/>
        <w:right w:val="none" w:sz="0" w:space="0" w:color="auto"/>
      </w:divBdr>
    </w:div>
    <w:div w:id="29233083">
      <w:bodyDiv w:val="1"/>
      <w:marLeft w:val="0"/>
      <w:marRight w:val="0"/>
      <w:marTop w:val="0"/>
      <w:marBottom w:val="0"/>
      <w:divBdr>
        <w:top w:val="none" w:sz="0" w:space="0" w:color="auto"/>
        <w:left w:val="none" w:sz="0" w:space="0" w:color="auto"/>
        <w:bottom w:val="none" w:sz="0" w:space="0" w:color="auto"/>
        <w:right w:val="none" w:sz="0" w:space="0" w:color="auto"/>
      </w:divBdr>
      <w:divsChild>
        <w:div w:id="1870099060">
          <w:marLeft w:val="0"/>
          <w:marRight w:val="0"/>
          <w:marTop w:val="0"/>
          <w:marBottom w:val="0"/>
          <w:divBdr>
            <w:top w:val="none" w:sz="0" w:space="0" w:color="auto"/>
            <w:left w:val="none" w:sz="0" w:space="0" w:color="auto"/>
            <w:bottom w:val="none" w:sz="0" w:space="0" w:color="auto"/>
            <w:right w:val="none" w:sz="0" w:space="0" w:color="auto"/>
          </w:divBdr>
          <w:divsChild>
            <w:div w:id="250548408">
              <w:marLeft w:val="0"/>
              <w:marRight w:val="0"/>
              <w:marTop w:val="0"/>
              <w:marBottom w:val="0"/>
              <w:divBdr>
                <w:top w:val="none" w:sz="0" w:space="0" w:color="auto"/>
                <w:left w:val="none" w:sz="0" w:space="0" w:color="auto"/>
                <w:bottom w:val="none" w:sz="0" w:space="0" w:color="auto"/>
                <w:right w:val="none" w:sz="0" w:space="0" w:color="auto"/>
              </w:divBdr>
              <w:divsChild>
                <w:div w:id="82355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7982">
      <w:bodyDiv w:val="1"/>
      <w:marLeft w:val="0"/>
      <w:marRight w:val="0"/>
      <w:marTop w:val="0"/>
      <w:marBottom w:val="0"/>
      <w:divBdr>
        <w:top w:val="none" w:sz="0" w:space="0" w:color="auto"/>
        <w:left w:val="none" w:sz="0" w:space="0" w:color="auto"/>
        <w:bottom w:val="none" w:sz="0" w:space="0" w:color="auto"/>
        <w:right w:val="none" w:sz="0" w:space="0" w:color="auto"/>
      </w:divBdr>
    </w:div>
    <w:div w:id="54670493">
      <w:bodyDiv w:val="1"/>
      <w:marLeft w:val="0"/>
      <w:marRight w:val="0"/>
      <w:marTop w:val="0"/>
      <w:marBottom w:val="0"/>
      <w:divBdr>
        <w:top w:val="none" w:sz="0" w:space="0" w:color="auto"/>
        <w:left w:val="none" w:sz="0" w:space="0" w:color="auto"/>
        <w:bottom w:val="none" w:sz="0" w:space="0" w:color="auto"/>
        <w:right w:val="none" w:sz="0" w:space="0" w:color="auto"/>
      </w:divBdr>
    </w:div>
    <w:div w:id="82803239">
      <w:bodyDiv w:val="1"/>
      <w:marLeft w:val="0"/>
      <w:marRight w:val="0"/>
      <w:marTop w:val="0"/>
      <w:marBottom w:val="0"/>
      <w:divBdr>
        <w:top w:val="none" w:sz="0" w:space="0" w:color="auto"/>
        <w:left w:val="none" w:sz="0" w:space="0" w:color="auto"/>
        <w:bottom w:val="none" w:sz="0" w:space="0" w:color="auto"/>
        <w:right w:val="none" w:sz="0" w:space="0" w:color="auto"/>
      </w:divBdr>
      <w:divsChild>
        <w:div w:id="18898487">
          <w:marLeft w:val="0"/>
          <w:marRight w:val="0"/>
          <w:marTop w:val="0"/>
          <w:marBottom w:val="0"/>
          <w:divBdr>
            <w:top w:val="none" w:sz="0" w:space="0" w:color="auto"/>
            <w:left w:val="none" w:sz="0" w:space="0" w:color="auto"/>
            <w:bottom w:val="none" w:sz="0" w:space="0" w:color="auto"/>
            <w:right w:val="none" w:sz="0" w:space="0" w:color="auto"/>
          </w:divBdr>
          <w:divsChild>
            <w:div w:id="760377055">
              <w:marLeft w:val="0"/>
              <w:marRight w:val="0"/>
              <w:marTop w:val="0"/>
              <w:marBottom w:val="0"/>
              <w:divBdr>
                <w:top w:val="none" w:sz="0" w:space="0" w:color="auto"/>
                <w:left w:val="none" w:sz="0" w:space="0" w:color="auto"/>
                <w:bottom w:val="none" w:sz="0" w:space="0" w:color="auto"/>
                <w:right w:val="none" w:sz="0" w:space="0" w:color="auto"/>
              </w:divBdr>
              <w:divsChild>
                <w:div w:id="386608646">
                  <w:marLeft w:val="0"/>
                  <w:marRight w:val="0"/>
                  <w:marTop w:val="0"/>
                  <w:marBottom w:val="0"/>
                  <w:divBdr>
                    <w:top w:val="none" w:sz="0" w:space="0" w:color="auto"/>
                    <w:left w:val="none" w:sz="0" w:space="0" w:color="auto"/>
                    <w:bottom w:val="none" w:sz="0" w:space="0" w:color="auto"/>
                    <w:right w:val="none" w:sz="0" w:space="0" w:color="auto"/>
                  </w:divBdr>
                  <w:divsChild>
                    <w:div w:id="85138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00476">
      <w:bodyDiv w:val="1"/>
      <w:marLeft w:val="0"/>
      <w:marRight w:val="0"/>
      <w:marTop w:val="0"/>
      <w:marBottom w:val="0"/>
      <w:divBdr>
        <w:top w:val="none" w:sz="0" w:space="0" w:color="auto"/>
        <w:left w:val="none" w:sz="0" w:space="0" w:color="auto"/>
        <w:bottom w:val="none" w:sz="0" w:space="0" w:color="auto"/>
        <w:right w:val="none" w:sz="0" w:space="0" w:color="auto"/>
      </w:divBdr>
    </w:div>
    <w:div w:id="93748219">
      <w:bodyDiv w:val="1"/>
      <w:marLeft w:val="0"/>
      <w:marRight w:val="0"/>
      <w:marTop w:val="0"/>
      <w:marBottom w:val="0"/>
      <w:divBdr>
        <w:top w:val="none" w:sz="0" w:space="0" w:color="auto"/>
        <w:left w:val="none" w:sz="0" w:space="0" w:color="auto"/>
        <w:bottom w:val="none" w:sz="0" w:space="0" w:color="auto"/>
        <w:right w:val="none" w:sz="0" w:space="0" w:color="auto"/>
      </w:divBdr>
      <w:divsChild>
        <w:div w:id="115102672">
          <w:marLeft w:val="0"/>
          <w:marRight w:val="0"/>
          <w:marTop w:val="0"/>
          <w:marBottom w:val="0"/>
          <w:divBdr>
            <w:top w:val="none" w:sz="0" w:space="0" w:color="auto"/>
            <w:left w:val="none" w:sz="0" w:space="0" w:color="auto"/>
            <w:bottom w:val="none" w:sz="0" w:space="0" w:color="auto"/>
            <w:right w:val="none" w:sz="0" w:space="0" w:color="auto"/>
          </w:divBdr>
          <w:divsChild>
            <w:div w:id="1526022439">
              <w:marLeft w:val="0"/>
              <w:marRight w:val="0"/>
              <w:marTop w:val="0"/>
              <w:marBottom w:val="0"/>
              <w:divBdr>
                <w:top w:val="none" w:sz="0" w:space="0" w:color="auto"/>
                <w:left w:val="none" w:sz="0" w:space="0" w:color="auto"/>
                <w:bottom w:val="none" w:sz="0" w:space="0" w:color="auto"/>
                <w:right w:val="none" w:sz="0" w:space="0" w:color="auto"/>
              </w:divBdr>
              <w:divsChild>
                <w:div w:id="22160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86208">
      <w:bodyDiv w:val="1"/>
      <w:marLeft w:val="0"/>
      <w:marRight w:val="0"/>
      <w:marTop w:val="0"/>
      <w:marBottom w:val="0"/>
      <w:divBdr>
        <w:top w:val="none" w:sz="0" w:space="0" w:color="auto"/>
        <w:left w:val="none" w:sz="0" w:space="0" w:color="auto"/>
        <w:bottom w:val="none" w:sz="0" w:space="0" w:color="auto"/>
        <w:right w:val="none" w:sz="0" w:space="0" w:color="auto"/>
      </w:divBdr>
    </w:div>
    <w:div w:id="111478357">
      <w:bodyDiv w:val="1"/>
      <w:marLeft w:val="0"/>
      <w:marRight w:val="0"/>
      <w:marTop w:val="0"/>
      <w:marBottom w:val="0"/>
      <w:divBdr>
        <w:top w:val="none" w:sz="0" w:space="0" w:color="auto"/>
        <w:left w:val="none" w:sz="0" w:space="0" w:color="auto"/>
        <w:bottom w:val="none" w:sz="0" w:space="0" w:color="auto"/>
        <w:right w:val="none" w:sz="0" w:space="0" w:color="auto"/>
      </w:divBdr>
    </w:div>
    <w:div w:id="114062009">
      <w:bodyDiv w:val="1"/>
      <w:marLeft w:val="0"/>
      <w:marRight w:val="0"/>
      <w:marTop w:val="0"/>
      <w:marBottom w:val="0"/>
      <w:divBdr>
        <w:top w:val="none" w:sz="0" w:space="0" w:color="auto"/>
        <w:left w:val="none" w:sz="0" w:space="0" w:color="auto"/>
        <w:bottom w:val="none" w:sz="0" w:space="0" w:color="auto"/>
        <w:right w:val="none" w:sz="0" w:space="0" w:color="auto"/>
      </w:divBdr>
    </w:div>
    <w:div w:id="115608433">
      <w:bodyDiv w:val="1"/>
      <w:marLeft w:val="0"/>
      <w:marRight w:val="0"/>
      <w:marTop w:val="0"/>
      <w:marBottom w:val="0"/>
      <w:divBdr>
        <w:top w:val="none" w:sz="0" w:space="0" w:color="auto"/>
        <w:left w:val="none" w:sz="0" w:space="0" w:color="auto"/>
        <w:bottom w:val="none" w:sz="0" w:space="0" w:color="auto"/>
        <w:right w:val="none" w:sz="0" w:space="0" w:color="auto"/>
      </w:divBdr>
    </w:div>
    <w:div w:id="128400561">
      <w:bodyDiv w:val="1"/>
      <w:marLeft w:val="0"/>
      <w:marRight w:val="0"/>
      <w:marTop w:val="0"/>
      <w:marBottom w:val="0"/>
      <w:divBdr>
        <w:top w:val="none" w:sz="0" w:space="0" w:color="auto"/>
        <w:left w:val="none" w:sz="0" w:space="0" w:color="auto"/>
        <w:bottom w:val="none" w:sz="0" w:space="0" w:color="auto"/>
        <w:right w:val="none" w:sz="0" w:space="0" w:color="auto"/>
      </w:divBdr>
    </w:div>
    <w:div w:id="143860095">
      <w:bodyDiv w:val="1"/>
      <w:marLeft w:val="0"/>
      <w:marRight w:val="0"/>
      <w:marTop w:val="0"/>
      <w:marBottom w:val="0"/>
      <w:divBdr>
        <w:top w:val="none" w:sz="0" w:space="0" w:color="auto"/>
        <w:left w:val="none" w:sz="0" w:space="0" w:color="auto"/>
        <w:bottom w:val="none" w:sz="0" w:space="0" w:color="auto"/>
        <w:right w:val="none" w:sz="0" w:space="0" w:color="auto"/>
      </w:divBdr>
      <w:divsChild>
        <w:div w:id="1713337412">
          <w:marLeft w:val="0"/>
          <w:marRight w:val="0"/>
          <w:marTop w:val="0"/>
          <w:marBottom w:val="0"/>
          <w:divBdr>
            <w:top w:val="none" w:sz="0" w:space="0" w:color="auto"/>
            <w:left w:val="none" w:sz="0" w:space="0" w:color="auto"/>
            <w:bottom w:val="none" w:sz="0" w:space="0" w:color="auto"/>
            <w:right w:val="none" w:sz="0" w:space="0" w:color="auto"/>
          </w:divBdr>
          <w:divsChild>
            <w:div w:id="2061783549">
              <w:marLeft w:val="0"/>
              <w:marRight w:val="0"/>
              <w:marTop w:val="0"/>
              <w:marBottom w:val="0"/>
              <w:divBdr>
                <w:top w:val="none" w:sz="0" w:space="0" w:color="auto"/>
                <w:left w:val="none" w:sz="0" w:space="0" w:color="auto"/>
                <w:bottom w:val="none" w:sz="0" w:space="0" w:color="auto"/>
                <w:right w:val="none" w:sz="0" w:space="0" w:color="auto"/>
              </w:divBdr>
              <w:divsChild>
                <w:div w:id="6566125">
                  <w:marLeft w:val="0"/>
                  <w:marRight w:val="0"/>
                  <w:marTop w:val="0"/>
                  <w:marBottom w:val="0"/>
                  <w:divBdr>
                    <w:top w:val="none" w:sz="0" w:space="0" w:color="auto"/>
                    <w:left w:val="none" w:sz="0" w:space="0" w:color="auto"/>
                    <w:bottom w:val="none" w:sz="0" w:space="0" w:color="auto"/>
                    <w:right w:val="none" w:sz="0" w:space="0" w:color="auto"/>
                  </w:divBdr>
                  <w:divsChild>
                    <w:div w:id="14177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40201">
      <w:bodyDiv w:val="1"/>
      <w:marLeft w:val="0"/>
      <w:marRight w:val="0"/>
      <w:marTop w:val="0"/>
      <w:marBottom w:val="0"/>
      <w:divBdr>
        <w:top w:val="none" w:sz="0" w:space="0" w:color="auto"/>
        <w:left w:val="none" w:sz="0" w:space="0" w:color="auto"/>
        <w:bottom w:val="none" w:sz="0" w:space="0" w:color="auto"/>
        <w:right w:val="none" w:sz="0" w:space="0" w:color="auto"/>
      </w:divBdr>
      <w:divsChild>
        <w:div w:id="383994251">
          <w:marLeft w:val="0"/>
          <w:marRight w:val="0"/>
          <w:marTop w:val="0"/>
          <w:marBottom w:val="0"/>
          <w:divBdr>
            <w:top w:val="none" w:sz="0" w:space="0" w:color="auto"/>
            <w:left w:val="none" w:sz="0" w:space="0" w:color="auto"/>
            <w:bottom w:val="none" w:sz="0" w:space="0" w:color="auto"/>
            <w:right w:val="none" w:sz="0" w:space="0" w:color="auto"/>
          </w:divBdr>
          <w:divsChild>
            <w:div w:id="879510073">
              <w:marLeft w:val="0"/>
              <w:marRight w:val="0"/>
              <w:marTop w:val="0"/>
              <w:marBottom w:val="0"/>
              <w:divBdr>
                <w:top w:val="none" w:sz="0" w:space="0" w:color="auto"/>
                <w:left w:val="none" w:sz="0" w:space="0" w:color="auto"/>
                <w:bottom w:val="none" w:sz="0" w:space="0" w:color="auto"/>
                <w:right w:val="none" w:sz="0" w:space="0" w:color="auto"/>
              </w:divBdr>
              <w:divsChild>
                <w:div w:id="456946120">
                  <w:marLeft w:val="0"/>
                  <w:marRight w:val="0"/>
                  <w:marTop w:val="0"/>
                  <w:marBottom w:val="0"/>
                  <w:divBdr>
                    <w:top w:val="none" w:sz="0" w:space="0" w:color="auto"/>
                    <w:left w:val="none" w:sz="0" w:space="0" w:color="auto"/>
                    <w:bottom w:val="none" w:sz="0" w:space="0" w:color="auto"/>
                    <w:right w:val="none" w:sz="0" w:space="0" w:color="auto"/>
                  </w:divBdr>
                </w:div>
              </w:divsChild>
            </w:div>
            <w:div w:id="1872186562">
              <w:marLeft w:val="0"/>
              <w:marRight w:val="0"/>
              <w:marTop w:val="0"/>
              <w:marBottom w:val="0"/>
              <w:divBdr>
                <w:top w:val="none" w:sz="0" w:space="0" w:color="auto"/>
                <w:left w:val="none" w:sz="0" w:space="0" w:color="auto"/>
                <w:bottom w:val="none" w:sz="0" w:space="0" w:color="auto"/>
                <w:right w:val="none" w:sz="0" w:space="0" w:color="auto"/>
              </w:divBdr>
              <w:divsChild>
                <w:div w:id="53432428">
                  <w:marLeft w:val="0"/>
                  <w:marRight w:val="0"/>
                  <w:marTop w:val="0"/>
                  <w:marBottom w:val="0"/>
                  <w:divBdr>
                    <w:top w:val="none" w:sz="0" w:space="0" w:color="auto"/>
                    <w:left w:val="none" w:sz="0" w:space="0" w:color="auto"/>
                    <w:bottom w:val="none" w:sz="0" w:space="0" w:color="auto"/>
                    <w:right w:val="none" w:sz="0" w:space="0" w:color="auto"/>
                  </w:divBdr>
                </w:div>
              </w:divsChild>
            </w:div>
            <w:div w:id="1970430599">
              <w:marLeft w:val="0"/>
              <w:marRight w:val="0"/>
              <w:marTop w:val="0"/>
              <w:marBottom w:val="0"/>
              <w:divBdr>
                <w:top w:val="none" w:sz="0" w:space="0" w:color="auto"/>
                <w:left w:val="none" w:sz="0" w:space="0" w:color="auto"/>
                <w:bottom w:val="none" w:sz="0" w:space="0" w:color="auto"/>
                <w:right w:val="none" w:sz="0" w:space="0" w:color="auto"/>
              </w:divBdr>
              <w:divsChild>
                <w:div w:id="68886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23990">
      <w:bodyDiv w:val="1"/>
      <w:marLeft w:val="0"/>
      <w:marRight w:val="0"/>
      <w:marTop w:val="0"/>
      <w:marBottom w:val="0"/>
      <w:divBdr>
        <w:top w:val="none" w:sz="0" w:space="0" w:color="auto"/>
        <w:left w:val="none" w:sz="0" w:space="0" w:color="auto"/>
        <w:bottom w:val="none" w:sz="0" w:space="0" w:color="auto"/>
        <w:right w:val="none" w:sz="0" w:space="0" w:color="auto"/>
      </w:divBdr>
    </w:div>
    <w:div w:id="169684013">
      <w:bodyDiv w:val="1"/>
      <w:marLeft w:val="0"/>
      <w:marRight w:val="0"/>
      <w:marTop w:val="0"/>
      <w:marBottom w:val="0"/>
      <w:divBdr>
        <w:top w:val="none" w:sz="0" w:space="0" w:color="auto"/>
        <w:left w:val="none" w:sz="0" w:space="0" w:color="auto"/>
        <w:bottom w:val="none" w:sz="0" w:space="0" w:color="auto"/>
        <w:right w:val="none" w:sz="0" w:space="0" w:color="auto"/>
      </w:divBdr>
      <w:divsChild>
        <w:div w:id="665207729">
          <w:marLeft w:val="0"/>
          <w:marRight w:val="0"/>
          <w:marTop w:val="0"/>
          <w:marBottom w:val="0"/>
          <w:divBdr>
            <w:top w:val="none" w:sz="0" w:space="0" w:color="auto"/>
            <w:left w:val="none" w:sz="0" w:space="0" w:color="auto"/>
            <w:bottom w:val="none" w:sz="0" w:space="0" w:color="auto"/>
            <w:right w:val="none" w:sz="0" w:space="0" w:color="auto"/>
          </w:divBdr>
          <w:divsChild>
            <w:div w:id="1583300487">
              <w:marLeft w:val="0"/>
              <w:marRight w:val="0"/>
              <w:marTop w:val="0"/>
              <w:marBottom w:val="0"/>
              <w:divBdr>
                <w:top w:val="none" w:sz="0" w:space="0" w:color="auto"/>
                <w:left w:val="none" w:sz="0" w:space="0" w:color="auto"/>
                <w:bottom w:val="none" w:sz="0" w:space="0" w:color="auto"/>
                <w:right w:val="none" w:sz="0" w:space="0" w:color="auto"/>
              </w:divBdr>
              <w:divsChild>
                <w:div w:id="630743196">
                  <w:marLeft w:val="0"/>
                  <w:marRight w:val="0"/>
                  <w:marTop w:val="0"/>
                  <w:marBottom w:val="0"/>
                  <w:divBdr>
                    <w:top w:val="none" w:sz="0" w:space="0" w:color="auto"/>
                    <w:left w:val="none" w:sz="0" w:space="0" w:color="auto"/>
                    <w:bottom w:val="none" w:sz="0" w:space="0" w:color="auto"/>
                    <w:right w:val="none" w:sz="0" w:space="0" w:color="auto"/>
                  </w:divBdr>
                  <w:divsChild>
                    <w:div w:id="21420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80728">
      <w:bodyDiv w:val="1"/>
      <w:marLeft w:val="0"/>
      <w:marRight w:val="0"/>
      <w:marTop w:val="0"/>
      <w:marBottom w:val="0"/>
      <w:divBdr>
        <w:top w:val="none" w:sz="0" w:space="0" w:color="auto"/>
        <w:left w:val="none" w:sz="0" w:space="0" w:color="auto"/>
        <w:bottom w:val="none" w:sz="0" w:space="0" w:color="auto"/>
        <w:right w:val="none" w:sz="0" w:space="0" w:color="auto"/>
      </w:divBdr>
    </w:div>
    <w:div w:id="196428847">
      <w:bodyDiv w:val="1"/>
      <w:marLeft w:val="0"/>
      <w:marRight w:val="0"/>
      <w:marTop w:val="0"/>
      <w:marBottom w:val="0"/>
      <w:divBdr>
        <w:top w:val="none" w:sz="0" w:space="0" w:color="auto"/>
        <w:left w:val="none" w:sz="0" w:space="0" w:color="auto"/>
        <w:bottom w:val="none" w:sz="0" w:space="0" w:color="auto"/>
        <w:right w:val="none" w:sz="0" w:space="0" w:color="auto"/>
      </w:divBdr>
      <w:divsChild>
        <w:div w:id="1381982268">
          <w:marLeft w:val="0"/>
          <w:marRight w:val="0"/>
          <w:marTop w:val="0"/>
          <w:marBottom w:val="0"/>
          <w:divBdr>
            <w:top w:val="none" w:sz="0" w:space="0" w:color="auto"/>
            <w:left w:val="none" w:sz="0" w:space="0" w:color="auto"/>
            <w:bottom w:val="none" w:sz="0" w:space="0" w:color="auto"/>
            <w:right w:val="none" w:sz="0" w:space="0" w:color="auto"/>
          </w:divBdr>
          <w:divsChild>
            <w:div w:id="2107848089">
              <w:marLeft w:val="0"/>
              <w:marRight w:val="0"/>
              <w:marTop w:val="0"/>
              <w:marBottom w:val="0"/>
              <w:divBdr>
                <w:top w:val="none" w:sz="0" w:space="0" w:color="auto"/>
                <w:left w:val="none" w:sz="0" w:space="0" w:color="auto"/>
                <w:bottom w:val="none" w:sz="0" w:space="0" w:color="auto"/>
                <w:right w:val="none" w:sz="0" w:space="0" w:color="auto"/>
              </w:divBdr>
              <w:divsChild>
                <w:div w:id="17550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78312">
      <w:bodyDiv w:val="1"/>
      <w:marLeft w:val="0"/>
      <w:marRight w:val="0"/>
      <w:marTop w:val="0"/>
      <w:marBottom w:val="0"/>
      <w:divBdr>
        <w:top w:val="none" w:sz="0" w:space="0" w:color="auto"/>
        <w:left w:val="none" w:sz="0" w:space="0" w:color="auto"/>
        <w:bottom w:val="none" w:sz="0" w:space="0" w:color="auto"/>
        <w:right w:val="none" w:sz="0" w:space="0" w:color="auto"/>
      </w:divBdr>
    </w:div>
    <w:div w:id="217476974">
      <w:bodyDiv w:val="1"/>
      <w:marLeft w:val="0"/>
      <w:marRight w:val="0"/>
      <w:marTop w:val="0"/>
      <w:marBottom w:val="0"/>
      <w:divBdr>
        <w:top w:val="none" w:sz="0" w:space="0" w:color="auto"/>
        <w:left w:val="none" w:sz="0" w:space="0" w:color="auto"/>
        <w:bottom w:val="none" w:sz="0" w:space="0" w:color="auto"/>
        <w:right w:val="none" w:sz="0" w:space="0" w:color="auto"/>
      </w:divBdr>
    </w:div>
    <w:div w:id="220790854">
      <w:bodyDiv w:val="1"/>
      <w:marLeft w:val="0"/>
      <w:marRight w:val="0"/>
      <w:marTop w:val="0"/>
      <w:marBottom w:val="0"/>
      <w:divBdr>
        <w:top w:val="none" w:sz="0" w:space="0" w:color="auto"/>
        <w:left w:val="none" w:sz="0" w:space="0" w:color="auto"/>
        <w:bottom w:val="none" w:sz="0" w:space="0" w:color="auto"/>
        <w:right w:val="none" w:sz="0" w:space="0" w:color="auto"/>
      </w:divBdr>
    </w:div>
    <w:div w:id="221716113">
      <w:bodyDiv w:val="1"/>
      <w:marLeft w:val="0"/>
      <w:marRight w:val="0"/>
      <w:marTop w:val="0"/>
      <w:marBottom w:val="0"/>
      <w:divBdr>
        <w:top w:val="none" w:sz="0" w:space="0" w:color="auto"/>
        <w:left w:val="none" w:sz="0" w:space="0" w:color="auto"/>
        <w:bottom w:val="none" w:sz="0" w:space="0" w:color="auto"/>
        <w:right w:val="none" w:sz="0" w:space="0" w:color="auto"/>
      </w:divBdr>
      <w:divsChild>
        <w:div w:id="1591894383">
          <w:marLeft w:val="0"/>
          <w:marRight w:val="0"/>
          <w:marTop w:val="0"/>
          <w:marBottom w:val="0"/>
          <w:divBdr>
            <w:top w:val="none" w:sz="0" w:space="0" w:color="auto"/>
            <w:left w:val="none" w:sz="0" w:space="0" w:color="auto"/>
            <w:bottom w:val="none" w:sz="0" w:space="0" w:color="auto"/>
            <w:right w:val="none" w:sz="0" w:space="0" w:color="auto"/>
          </w:divBdr>
          <w:divsChild>
            <w:div w:id="460224259">
              <w:marLeft w:val="0"/>
              <w:marRight w:val="0"/>
              <w:marTop w:val="0"/>
              <w:marBottom w:val="0"/>
              <w:divBdr>
                <w:top w:val="none" w:sz="0" w:space="0" w:color="auto"/>
                <w:left w:val="none" w:sz="0" w:space="0" w:color="auto"/>
                <w:bottom w:val="none" w:sz="0" w:space="0" w:color="auto"/>
                <w:right w:val="none" w:sz="0" w:space="0" w:color="auto"/>
              </w:divBdr>
              <w:divsChild>
                <w:div w:id="17203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075512">
      <w:bodyDiv w:val="1"/>
      <w:marLeft w:val="0"/>
      <w:marRight w:val="0"/>
      <w:marTop w:val="0"/>
      <w:marBottom w:val="0"/>
      <w:divBdr>
        <w:top w:val="none" w:sz="0" w:space="0" w:color="auto"/>
        <w:left w:val="none" w:sz="0" w:space="0" w:color="auto"/>
        <w:bottom w:val="none" w:sz="0" w:space="0" w:color="auto"/>
        <w:right w:val="none" w:sz="0" w:space="0" w:color="auto"/>
      </w:divBdr>
    </w:div>
    <w:div w:id="229072747">
      <w:bodyDiv w:val="1"/>
      <w:marLeft w:val="0"/>
      <w:marRight w:val="0"/>
      <w:marTop w:val="0"/>
      <w:marBottom w:val="0"/>
      <w:divBdr>
        <w:top w:val="none" w:sz="0" w:space="0" w:color="auto"/>
        <w:left w:val="none" w:sz="0" w:space="0" w:color="auto"/>
        <w:bottom w:val="none" w:sz="0" w:space="0" w:color="auto"/>
        <w:right w:val="none" w:sz="0" w:space="0" w:color="auto"/>
      </w:divBdr>
    </w:div>
    <w:div w:id="236088418">
      <w:bodyDiv w:val="1"/>
      <w:marLeft w:val="0"/>
      <w:marRight w:val="0"/>
      <w:marTop w:val="0"/>
      <w:marBottom w:val="0"/>
      <w:divBdr>
        <w:top w:val="none" w:sz="0" w:space="0" w:color="auto"/>
        <w:left w:val="none" w:sz="0" w:space="0" w:color="auto"/>
        <w:bottom w:val="none" w:sz="0" w:space="0" w:color="auto"/>
        <w:right w:val="none" w:sz="0" w:space="0" w:color="auto"/>
      </w:divBdr>
    </w:div>
    <w:div w:id="245459540">
      <w:bodyDiv w:val="1"/>
      <w:marLeft w:val="0"/>
      <w:marRight w:val="0"/>
      <w:marTop w:val="0"/>
      <w:marBottom w:val="0"/>
      <w:divBdr>
        <w:top w:val="none" w:sz="0" w:space="0" w:color="auto"/>
        <w:left w:val="none" w:sz="0" w:space="0" w:color="auto"/>
        <w:bottom w:val="none" w:sz="0" w:space="0" w:color="auto"/>
        <w:right w:val="none" w:sz="0" w:space="0" w:color="auto"/>
      </w:divBdr>
      <w:divsChild>
        <w:div w:id="511383167">
          <w:marLeft w:val="0"/>
          <w:marRight w:val="0"/>
          <w:marTop w:val="0"/>
          <w:marBottom w:val="0"/>
          <w:divBdr>
            <w:top w:val="none" w:sz="0" w:space="0" w:color="auto"/>
            <w:left w:val="none" w:sz="0" w:space="0" w:color="auto"/>
            <w:bottom w:val="none" w:sz="0" w:space="0" w:color="auto"/>
            <w:right w:val="none" w:sz="0" w:space="0" w:color="auto"/>
          </w:divBdr>
          <w:divsChild>
            <w:div w:id="1062410359">
              <w:marLeft w:val="0"/>
              <w:marRight w:val="0"/>
              <w:marTop w:val="0"/>
              <w:marBottom w:val="0"/>
              <w:divBdr>
                <w:top w:val="none" w:sz="0" w:space="0" w:color="auto"/>
                <w:left w:val="none" w:sz="0" w:space="0" w:color="auto"/>
                <w:bottom w:val="none" w:sz="0" w:space="0" w:color="auto"/>
                <w:right w:val="none" w:sz="0" w:space="0" w:color="auto"/>
              </w:divBdr>
              <w:divsChild>
                <w:div w:id="1621840246">
                  <w:marLeft w:val="0"/>
                  <w:marRight w:val="0"/>
                  <w:marTop w:val="0"/>
                  <w:marBottom w:val="0"/>
                  <w:divBdr>
                    <w:top w:val="none" w:sz="0" w:space="0" w:color="auto"/>
                    <w:left w:val="none" w:sz="0" w:space="0" w:color="auto"/>
                    <w:bottom w:val="none" w:sz="0" w:space="0" w:color="auto"/>
                    <w:right w:val="none" w:sz="0" w:space="0" w:color="auto"/>
                  </w:divBdr>
                  <w:divsChild>
                    <w:div w:id="119257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650050">
      <w:bodyDiv w:val="1"/>
      <w:marLeft w:val="0"/>
      <w:marRight w:val="0"/>
      <w:marTop w:val="0"/>
      <w:marBottom w:val="0"/>
      <w:divBdr>
        <w:top w:val="none" w:sz="0" w:space="0" w:color="auto"/>
        <w:left w:val="none" w:sz="0" w:space="0" w:color="auto"/>
        <w:bottom w:val="none" w:sz="0" w:space="0" w:color="auto"/>
        <w:right w:val="none" w:sz="0" w:space="0" w:color="auto"/>
      </w:divBdr>
    </w:div>
    <w:div w:id="253317870">
      <w:bodyDiv w:val="1"/>
      <w:marLeft w:val="0"/>
      <w:marRight w:val="0"/>
      <w:marTop w:val="0"/>
      <w:marBottom w:val="0"/>
      <w:divBdr>
        <w:top w:val="none" w:sz="0" w:space="0" w:color="auto"/>
        <w:left w:val="none" w:sz="0" w:space="0" w:color="auto"/>
        <w:bottom w:val="none" w:sz="0" w:space="0" w:color="auto"/>
        <w:right w:val="none" w:sz="0" w:space="0" w:color="auto"/>
      </w:divBdr>
    </w:div>
    <w:div w:id="263076209">
      <w:bodyDiv w:val="1"/>
      <w:marLeft w:val="0"/>
      <w:marRight w:val="0"/>
      <w:marTop w:val="0"/>
      <w:marBottom w:val="0"/>
      <w:divBdr>
        <w:top w:val="none" w:sz="0" w:space="0" w:color="auto"/>
        <w:left w:val="none" w:sz="0" w:space="0" w:color="auto"/>
        <w:bottom w:val="none" w:sz="0" w:space="0" w:color="auto"/>
        <w:right w:val="none" w:sz="0" w:space="0" w:color="auto"/>
      </w:divBdr>
    </w:div>
    <w:div w:id="298145180">
      <w:bodyDiv w:val="1"/>
      <w:marLeft w:val="0"/>
      <w:marRight w:val="0"/>
      <w:marTop w:val="0"/>
      <w:marBottom w:val="0"/>
      <w:divBdr>
        <w:top w:val="none" w:sz="0" w:space="0" w:color="auto"/>
        <w:left w:val="none" w:sz="0" w:space="0" w:color="auto"/>
        <w:bottom w:val="none" w:sz="0" w:space="0" w:color="auto"/>
        <w:right w:val="none" w:sz="0" w:space="0" w:color="auto"/>
      </w:divBdr>
    </w:div>
    <w:div w:id="322314643">
      <w:bodyDiv w:val="1"/>
      <w:marLeft w:val="0"/>
      <w:marRight w:val="0"/>
      <w:marTop w:val="0"/>
      <w:marBottom w:val="0"/>
      <w:divBdr>
        <w:top w:val="none" w:sz="0" w:space="0" w:color="auto"/>
        <w:left w:val="none" w:sz="0" w:space="0" w:color="auto"/>
        <w:bottom w:val="none" w:sz="0" w:space="0" w:color="auto"/>
        <w:right w:val="none" w:sz="0" w:space="0" w:color="auto"/>
      </w:divBdr>
    </w:div>
    <w:div w:id="322317425">
      <w:bodyDiv w:val="1"/>
      <w:marLeft w:val="0"/>
      <w:marRight w:val="0"/>
      <w:marTop w:val="0"/>
      <w:marBottom w:val="0"/>
      <w:divBdr>
        <w:top w:val="none" w:sz="0" w:space="0" w:color="auto"/>
        <w:left w:val="none" w:sz="0" w:space="0" w:color="auto"/>
        <w:bottom w:val="none" w:sz="0" w:space="0" w:color="auto"/>
        <w:right w:val="none" w:sz="0" w:space="0" w:color="auto"/>
      </w:divBdr>
      <w:divsChild>
        <w:div w:id="1980071832">
          <w:marLeft w:val="0"/>
          <w:marRight w:val="0"/>
          <w:marTop w:val="0"/>
          <w:marBottom w:val="0"/>
          <w:divBdr>
            <w:top w:val="none" w:sz="0" w:space="0" w:color="auto"/>
            <w:left w:val="none" w:sz="0" w:space="0" w:color="auto"/>
            <w:bottom w:val="none" w:sz="0" w:space="0" w:color="auto"/>
            <w:right w:val="none" w:sz="0" w:space="0" w:color="auto"/>
          </w:divBdr>
          <w:divsChild>
            <w:div w:id="471287632">
              <w:marLeft w:val="0"/>
              <w:marRight w:val="0"/>
              <w:marTop w:val="0"/>
              <w:marBottom w:val="0"/>
              <w:divBdr>
                <w:top w:val="none" w:sz="0" w:space="0" w:color="auto"/>
                <w:left w:val="none" w:sz="0" w:space="0" w:color="auto"/>
                <w:bottom w:val="none" w:sz="0" w:space="0" w:color="auto"/>
                <w:right w:val="none" w:sz="0" w:space="0" w:color="auto"/>
              </w:divBdr>
              <w:divsChild>
                <w:div w:id="174809049">
                  <w:marLeft w:val="0"/>
                  <w:marRight w:val="0"/>
                  <w:marTop w:val="0"/>
                  <w:marBottom w:val="0"/>
                  <w:divBdr>
                    <w:top w:val="none" w:sz="0" w:space="0" w:color="auto"/>
                    <w:left w:val="none" w:sz="0" w:space="0" w:color="auto"/>
                    <w:bottom w:val="none" w:sz="0" w:space="0" w:color="auto"/>
                    <w:right w:val="none" w:sz="0" w:space="0" w:color="auto"/>
                  </w:divBdr>
                  <w:divsChild>
                    <w:div w:id="1856843152">
                      <w:marLeft w:val="0"/>
                      <w:marRight w:val="0"/>
                      <w:marTop w:val="0"/>
                      <w:marBottom w:val="0"/>
                      <w:divBdr>
                        <w:top w:val="none" w:sz="0" w:space="0" w:color="auto"/>
                        <w:left w:val="none" w:sz="0" w:space="0" w:color="auto"/>
                        <w:bottom w:val="none" w:sz="0" w:space="0" w:color="auto"/>
                        <w:right w:val="none" w:sz="0" w:space="0" w:color="auto"/>
                      </w:divBdr>
                      <w:divsChild>
                        <w:div w:id="522060753">
                          <w:marLeft w:val="0"/>
                          <w:marRight w:val="0"/>
                          <w:marTop w:val="0"/>
                          <w:marBottom w:val="0"/>
                          <w:divBdr>
                            <w:top w:val="none" w:sz="0" w:space="0" w:color="auto"/>
                            <w:left w:val="none" w:sz="0" w:space="0" w:color="auto"/>
                            <w:bottom w:val="none" w:sz="0" w:space="0" w:color="auto"/>
                            <w:right w:val="none" w:sz="0" w:space="0" w:color="auto"/>
                          </w:divBdr>
                          <w:divsChild>
                            <w:div w:id="646059287">
                              <w:marLeft w:val="0"/>
                              <w:marRight w:val="0"/>
                              <w:marTop w:val="0"/>
                              <w:marBottom w:val="0"/>
                              <w:divBdr>
                                <w:top w:val="none" w:sz="0" w:space="0" w:color="auto"/>
                                <w:left w:val="none" w:sz="0" w:space="0" w:color="auto"/>
                                <w:bottom w:val="none" w:sz="0" w:space="0" w:color="auto"/>
                                <w:right w:val="none" w:sz="0" w:space="0" w:color="auto"/>
                              </w:divBdr>
                              <w:divsChild>
                                <w:div w:id="707877889">
                                  <w:marLeft w:val="0"/>
                                  <w:marRight w:val="0"/>
                                  <w:marTop w:val="0"/>
                                  <w:marBottom w:val="0"/>
                                  <w:divBdr>
                                    <w:top w:val="none" w:sz="0" w:space="0" w:color="auto"/>
                                    <w:left w:val="none" w:sz="0" w:space="0" w:color="auto"/>
                                    <w:bottom w:val="none" w:sz="0" w:space="0" w:color="auto"/>
                                    <w:right w:val="none" w:sz="0" w:space="0" w:color="auto"/>
                                  </w:divBdr>
                                  <w:divsChild>
                                    <w:div w:id="3324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440587">
                          <w:marLeft w:val="0"/>
                          <w:marRight w:val="0"/>
                          <w:marTop w:val="0"/>
                          <w:marBottom w:val="0"/>
                          <w:divBdr>
                            <w:top w:val="none" w:sz="0" w:space="0" w:color="auto"/>
                            <w:left w:val="none" w:sz="0" w:space="0" w:color="auto"/>
                            <w:bottom w:val="none" w:sz="0" w:space="0" w:color="auto"/>
                            <w:right w:val="none" w:sz="0" w:space="0" w:color="auto"/>
                          </w:divBdr>
                          <w:divsChild>
                            <w:div w:id="711687605">
                              <w:marLeft w:val="0"/>
                              <w:marRight w:val="0"/>
                              <w:marTop w:val="0"/>
                              <w:marBottom w:val="0"/>
                              <w:divBdr>
                                <w:top w:val="none" w:sz="0" w:space="0" w:color="auto"/>
                                <w:left w:val="none" w:sz="0" w:space="0" w:color="auto"/>
                                <w:bottom w:val="none" w:sz="0" w:space="0" w:color="auto"/>
                                <w:right w:val="none" w:sz="0" w:space="0" w:color="auto"/>
                              </w:divBdr>
                              <w:divsChild>
                                <w:div w:id="207566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7372225">
      <w:bodyDiv w:val="1"/>
      <w:marLeft w:val="0"/>
      <w:marRight w:val="0"/>
      <w:marTop w:val="0"/>
      <w:marBottom w:val="0"/>
      <w:divBdr>
        <w:top w:val="none" w:sz="0" w:space="0" w:color="auto"/>
        <w:left w:val="none" w:sz="0" w:space="0" w:color="auto"/>
        <w:bottom w:val="none" w:sz="0" w:space="0" w:color="auto"/>
        <w:right w:val="none" w:sz="0" w:space="0" w:color="auto"/>
      </w:divBdr>
    </w:div>
    <w:div w:id="347564038">
      <w:bodyDiv w:val="1"/>
      <w:marLeft w:val="0"/>
      <w:marRight w:val="0"/>
      <w:marTop w:val="0"/>
      <w:marBottom w:val="0"/>
      <w:divBdr>
        <w:top w:val="none" w:sz="0" w:space="0" w:color="auto"/>
        <w:left w:val="none" w:sz="0" w:space="0" w:color="auto"/>
        <w:bottom w:val="none" w:sz="0" w:space="0" w:color="auto"/>
        <w:right w:val="none" w:sz="0" w:space="0" w:color="auto"/>
      </w:divBdr>
    </w:div>
    <w:div w:id="363602245">
      <w:bodyDiv w:val="1"/>
      <w:marLeft w:val="0"/>
      <w:marRight w:val="0"/>
      <w:marTop w:val="0"/>
      <w:marBottom w:val="0"/>
      <w:divBdr>
        <w:top w:val="none" w:sz="0" w:space="0" w:color="auto"/>
        <w:left w:val="none" w:sz="0" w:space="0" w:color="auto"/>
        <w:bottom w:val="none" w:sz="0" w:space="0" w:color="auto"/>
        <w:right w:val="none" w:sz="0" w:space="0" w:color="auto"/>
      </w:divBdr>
      <w:divsChild>
        <w:div w:id="2014214023">
          <w:marLeft w:val="0"/>
          <w:marRight w:val="0"/>
          <w:marTop w:val="0"/>
          <w:marBottom w:val="0"/>
          <w:divBdr>
            <w:top w:val="none" w:sz="0" w:space="0" w:color="auto"/>
            <w:left w:val="none" w:sz="0" w:space="0" w:color="auto"/>
            <w:bottom w:val="none" w:sz="0" w:space="0" w:color="auto"/>
            <w:right w:val="none" w:sz="0" w:space="0" w:color="auto"/>
          </w:divBdr>
          <w:divsChild>
            <w:div w:id="1729524724">
              <w:marLeft w:val="0"/>
              <w:marRight w:val="0"/>
              <w:marTop w:val="0"/>
              <w:marBottom w:val="0"/>
              <w:divBdr>
                <w:top w:val="none" w:sz="0" w:space="0" w:color="auto"/>
                <w:left w:val="none" w:sz="0" w:space="0" w:color="auto"/>
                <w:bottom w:val="none" w:sz="0" w:space="0" w:color="auto"/>
                <w:right w:val="none" w:sz="0" w:space="0" w:color="auto"/>
              </w:divBdr>
              <w:divsChild>
                <w:div w:id="183278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683648">
      <w:bodyDiv w:val="1"/>
      <w:marLeft w:val="0"/>
      <w:marRight w:val="0"/>
      <w:marTop w:val="0"/>
      <w:marBottom w:val="0"/>
      <w:divBdr>
        <w:top w:val="none" w:sz="0" w:space="0" w:color="auto"/>
        <w:left w:val="none" w:sz="0" w:space="0" w:color="auto"/>
        <w:bottom w:val="none" w:sz="0" w:space="0" w:color="auto"/>
        <w:right w:val="none" w:sz="0" w:space="0" w:color="auto"/>
      </w:divBdr>
    </w:div>
    <w:div w:id="384333316">
      <w:bodyDiv w:val="1"/>
      <w:marLeft w:val="0"/>
      <w:marRight w:val="0"/>
      <w:marTop w:val="0"/>
      <w:marBottom w:val="0"/>
      <w:divBdr>
        <w:top w:val="none" w:sz="0" w:space="0" w:color="auto"/>
        <w:left w:val="none" w:sz="0" w:space="0" w:color="auto"/>
        <w:bottom w:val="none" w:sz="0" w:space="0" w:color="auto"/>
        <w:right w:val="none" w:sz="0" w:space="0" w:color="auto"/>
      </w:divBdr>
      <w:divsChild>
        <w:div w:id="1150513644">
          <w:marLeft w:val="0"/>
          <w:marRight w:val="0"/>
          <w:marTop w:val="0"/>
          <w:marBottom w:val="0"/>
          <w:divBdr>
            <w:top w:val="none" w:sz="0" w:space="0" w:color="auto"/>
            <w:left w:val="none" w:sz="0" w:space="0" w:color="auto"/>
            <w:bottom w:val="none" w:sz="0" w:space="0" w:color="auto"/>
            <w:right w:val="none" w:sz="0" w:space="0" w:color="auto"/>
          </w:divBdr>
          <w:divsChild>
            <w:div w:id="1595825470">
              <w:marLeft w:val="0"/>
              <w:marRight w:val="0"/>
              <w:marTop w:val="0"/>
              <w:marBottom w:val="0"/>
              <w:divBdr>
                <w:top w:val="none" w:sz="0" w:space="0" w:color="auto"/>
                <w:left w:val="none" w:sz="0" w:space="0" w:color="auto"/>
                <w:bottom w:val="none" w:sz="0" w:space="0" w:color="auto"/>
                <w:right w:val="none" w:sz="0" w:space="0" w:color="auto"/>
              </w:divBdr>
              <w:divsChild>
                <w:div w:id="1489710262">
                  <w:marLeft w:val="0"/>
                  <w:marRight w:val="0"/>
                  <w:marTop w:val="0"/>
                  <w:marBottom w:val="0"/>
                  <w:divBdr>
                    <w:top w:val="none" w:sz="0" w:space="0" w:color="auto"/>
                    <w:left w:val="none" w:sz="0" w:space="0" w:color="auto"/>
                    <w:bottom w:val="none" w:sz="0" w:space="0" w:color="auto"/>
                    <w:right w:val="none" w:sz="0" w:space="0" w:color="auto"/>
                  </w:divBdr>
                  <w:divsChild>
                    <w:div w:id="117784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376079">
      <w:bodyDiv w:val="1"/>
      <w:marLeft w:val="0"/>
      <w:marRight w:val="0"/>
      <w:marTop w:val="0"/>
      <w:marBottom w:val="0"/>
      <w:divBdr>
        <w:top w:val="none" w:sz="0" w:space="0" w:color="auto"/>
        <w:left w:val="none" w:sz="0" w:space="0" w:color="auto"/>
        <w:bottom w:val="none" w:sz="0" w:space="0" w:color="auto"/>
        <w:right w:val="none" w:sz="0" w:space="0" w:color="auto"/>
      </w:divBdr>
      <w:divsChild>
        <w:div w:id="118761959">
          <w:marLeft w:val="0"/>
          <w:marRight w:val="0"/>
          <w:marTop w:val="0"/>
          <w:marBottom w:val="0"/>
          <w:divBdr>
            <w:top w:val="none" w:sz="0" w:space="0" w:color="auto"/>
            <w:left w:val="none" w:sz="0" w:space="0" w:color="auto"/>
            <w:bottom w:val="none" w:sz="0" w:space="0" w:color="auto"/>
            <w:right w:val="none" w:sz="0" w:space="0" w:color="auto"/>
          </w:divBdr>
          <w:divsChild>
            <w:div w:id="1672954408">
              <w:marLeft w:val="0"/>
              <w:marRight w:val="0"/>
              <w:marTop w:val="0"/>
              <w:marBottom w:val="0"/>
              <w:divBdr>
                <w:top w:val="none" w:sz="0" w:space="0" w:color="auto"/>
                <w:left w:val="none" w:sz="0" w:space="0" w:color="auto"/>
                <w:bottom w:val="none" w:sz="0" w:space="0" w:color="auto"/>
                <w:right w:val="none" w:sz="0" w:space="0" w:color="auto"/>
              </w:divBdr>
              <w:divsChild>
                <w:div w:id="511725790">
                  <w:marLeft w:val="0"/>
                  <w:marRight w:val="0"/>
                  <w:marTop w:val="0"/>
                  <w:marBottom w:val="0"/>
                  <w:divBdr>
                    <w:top w:val="none" w:sz="0" w:space="0" w:color="auto"/>
                    <w:left w:val="none" w:sz="0" w:space="0" w:color="auto"/>
                    <w:bottom w:val="none" w:sz="0" w:space="0" w:color="auto"/>
                    <w:right w:val="none" w:sz="0" w:space="0" w:color="auto"/>
                  </w:divBdr>
                  <w:divsChild>
                    <w:div w:id="160683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8865">
      <w:bodyDiv w:val="1"/>
      <w:marLeft w:val="0"/>
      <w:marRight w:val="0"/>
      <w:marTop w:val="0"/>
      <w:marBottom w:val="0"/>
      <w:divBdr>
        <w:top w:val="none" w:sz="0" w:space="0" w:color="auto"/>
        <w:left w:val="none" w:sz="0" w:space="0" w:color="auto"/>
        <w:bottom w:val="none" w:sz="0" w:space="0" w:color="auto"/>
        <w:right w:val="none" w:sz="0" w:space="0" w:color="auto"/>
      </w:divBdr>
      <w:divsChild>
        <w:div w:id="1719086420">
          <w:marLeft w:val="0"/>
          <w:marRight w:val="0"/>
          <w:marTop w:val="0"/>
          <w:marBottom w:val="0"/>
          <w:divBdr>
            <w:top w:val="none" w:sz="0" w:space="0" w:color="auto"/>
            <w:left w:val="none" w:sz="0" w:space="0" w:color="auto"/>
            <w:bottom w:val="none" w:sz="0" w:space="0" w:color="auto"/>
            <w:right w:val="none" w:sz="0" w:space="0" w:color="auto"/>
          </w:divBdr>
          <w:divsChild>
            <w:div w:id="411859218">
              <w:marLeft w:val="0"/>
              <w:marRight w:val="0"/>
              <w:marTop w:val="0"/>
              <w:marBottom w:val="0"/>
              <w:divBdr>
                <w:top w:val="none" w:sz="0" w:space="0" w:color="auto"/>
                <w:left w:val="none" w:sz="0" w:space="0" w:color="auto"/>
                <w:bottom w:val="none" w:sz="0" w:space="0" w:color="auto"/>
                <w:right w:val="none" w:sz="0" w:space="0" w:color="auto"/>
              </w:divBdr>
              <w:divsChild>
                <w:div w:id="1230382360">
                  <w:marLeft w:val="0"/>
                  <w:marRight w:val="0"/>
                  <w:marTop w:val="0"/>
                  <w:marBottom w:val="0"/>
                  <w:divBdr>
                    <w:top w:val="none" w:sz="0" w:space="0" w:color="auto"/>
                    <w:left w:val="none" w:sz="0" w:space="0" w:color="auto"/>
                    <w:bottom w:val="none" w:sz="0" w:space="0" w:color="auto"/>
                    <w:right w:val="none" w:sz="0" w:space="0" w:color="auto"/>
                  </w:divBdr>
                  <w:divsChild>
                    <w:div w:id="1706713690">
                      <w:marLeft w:val="0"/>
                      <w:marRight w:val="0"/>
                      <w:marTop w:val="0"/>
                      <w:marBottom w:val="0"/>
                      <w:divBdr>
                        <w:top w:val="none" w:sz="0" w:space="0" w:color="auto"/>
                        <w:left w:val="none" w:sz="0" w:space="0" w:color="auto"/>
                        <w:bottom w:val="none" w:sz="0" w:space="0" w:color="auto"/>
                        <w:right w:val="none" w:sz="0" w:space="0" w:color="auto"/>
                      </w:divBdr>
                      <w:divsChild>
                        <w:div w:id="87770521">
                          <w:marLeft w:val="0"/>
                          <w:marRight w:val="0"/>
                          <w:marTop w:val="0"/>
                          <w:marBottom w:val="0"/>
                          <w:divBdr>
                            <w:top w:val="none" w:sz="0" w:space="0" w:color="auto"/>
                            <w:left w:val="none" w:sz="0" w:space="0" w:color="auto"/>
                            <w:bottom w:val="none" w:sz="0" w:space="0" w:color="auto"/>
                            <w:right w:val="none" w:sz="0" w:space="0" w:color="auto"/>
                          </w:divBdr>
                          <w:divsChild>
                            <w:div w:id="491602915">
                              <w:marLeft w:val="0"/>
                              <w:marRight w:val="0"/>
                              <w:marTop w:val="0"/>
                              <w:marBottom w:val="0"/>
                              <w:divBdr>
                                <w:top w:val="none" w:sz="0" w:space="0" w:color="auto"/>
                                <w:left w:val="none" w:sz="0" w:space="0" w:color="auto"/>
                                <w:bottom w:val="none" w:sz="0" w:space="0" w:color="auto"/>
                                <w:right w:val="none" w:sz="0" w:space="0" w:color="auto"/>
                              </w:divBdr>
                              <w:divsChild>
                                <w:div w:id="1948611823">
                                  <w:marLeft w:val="0"/>
                                  <w:marRight w:val="0"/>
                                  <w:marTop w:val="0"/>
                                  <w:marBottom w:val="0"/>
                                  <w:divBdr>
                                    <w:top w:val="none" w:sz="0" w:space="0" w:color="auto"/>
                                    <w:left w:val="none" w:sz="0" w:space="0" w:color="auto"/>
                                    <w:bottom w:val="none" w:sz="0" w:space="0" w:color="auto"/>
                                    <w:right w:val="none" w:sz="0" w:space="0" w:color="auto"/>
                                  </w:divBdr>
                                  <w:divsChild>
                                    <w:div w:id="136964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536043">
                          <w:marLeft w:val="0"/>
                          <w:marRight w:val="0"/>
                          <w:marTop w:val="0"/>
                          <w:marBottom w:val="0"/>
                          <w:divBdr>
                            <w:top w:val="none" w:sz="0" w:space="0" w:color="auto"/>
                            <w:left w:val="none" w:sz="0" w:space="0" w:color="auto"/>
                            <w:bottom w:val="none" w:sz="0" w:space="0" w:color="auto"/>
                            <w:right w:val="none" w:sz="0" w:space="0" w:color="auto"/>
                          </w:divBdr>
                          <w:divsChild>
                            <w:div w:id="722291233">
                              <w:marLeft w:val="0"/>
                              <w:marRight w:val="0"/>
                              <w:marTop w:val="0"/>
                              <w:marBottom w:val="0"/>
                              <w:divBdr>
                                <w:top w:val="none" w:sz="0" w:space="0" w:color="auto"/>
                                <w:left w:val="none" w:sz="0" w:space="0" w:color="auto"/>
                                <w:bottom w:val="none" w:sz="0" w:space="0" w:color="auto"/>
                                <w:right w:val="none" w:sz="0" w:space="0" w:color="auto"/>
                              </w:divBdr>
                              <w:divsChild>
                                <w:div w:id="31321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6076874">
      <w:bodyDiv w:val="1"/>
      <w:marLeft w:val="0"/>
      <w:marRight w:val="0"/>
      <w:marTop w:val="0"/>
      <w:marBottom w:val="0"/>
      <w:divBdr>
        <w:top w:val="none" w:sz="0" w:space="0" w:color="auto"/>
        <w:left w:val="none" w:sz="0" w:space="0" w:color="auto"/>
        <w:bottom w:val="none" w:sz="0" w:space="0" w:color="auto"/>
        <w:right w:val="none" w:sz="0" w:space="0" w:color="auto"/>
      </w:divBdr>
    </w:div>
    <w:div w:id="407846186">
      <w:bodyDiv w:val="1"/>
      <w:marLeft w:val="0"/>
      <w:marRight w:val="0"/>
      <w:marTop w:val="0"/>
      <w:marBottom w:val="0"/>
      <w:divBdr>
        <w:top w:val="none" w:sz="0" w:space="0" w:color="auto"/>
        <w:left w:val="none" w:sz="0" w:space="0" w:color="auto"/>
        <w:bottom w:val="none" w:sz="0" w:space="0" w:color="auto"/>
        <w:right w:val="none" w:sz="0" w:space="0" w:color="auto"/>
      </w:divBdr>
    </w:div>
    <w:div w:id="416363960">
      <w:bodyDiv w:val="1"/>
      <w:marLeft w:val="0"/>
      <w:marRight w:val="0"/>
      <w:marTop w:val="0"/>
      <w:marBottom w:val="0"/>
      <w:divBdr>
        <w:top w:val="none" w:sz="0" w:space="0" w:color="auto"/>
        <w:left w:val="none" w:sz="0" w:space="0" w:color="auto"/>
        <w:bottom w:val="none" w:sz="0" w:space="0" w:color="auto"/>
        <w:right w:val="none" w:sz="0" w:space="0" w:color="auto"/>
      </w:divBdr>
    </w:div>
    <w:div w:id="422380519">
      <w:bodyDiv w:val="1"/>
      <w:marLeft w:val="0"/>
      <w:marRight w:val="0"/>
      <w:marTop w:val="0"/>
      <w:marBottom w:val="0"/>
      <w:divBdr>
        <w:top w:val="none" w:sz="0" w:space="0" w:color="auto"/>
        <w:left w:val="none" w:sz="0" w:space="0" w:color="auto"/>
        <w:bottom w:val="none" w:sz="0" w:space="0" w:color="auto"/>
        <w:right w:val="none" w:sz="0" w:space="0" w:color="auto"/>
      </w:divBdr>
    </w:div>
    <w:div w:id="424496024">
      <w:bodyDiv w:val="1"/>
      <w:marLeft w:val="0"/>
      <w:marRight w:val="0"/>
      <w:marTop w:val="0"/>
      <w:marBottom w:val="0"/>
      <w:divBdr>
        <w:top w:val="none" w:sz="0" w:space="0" w:color="auto"/>
        <w:left w:val="none" w:sz="0" w:space="0" w:color="auto"/>
        <w:bottom w:val="none" w:sz="0" w:space="0" w:color="auto"/>
        <w:right w:val="none" w:sz="0" w:space="0" w:color="auto"/>
      </w:divBdr>
    </w:div>
    <w:div w:id="454762368">
      <w:bodyDiv w:val="1"/>
      <w:marLeft w:val="0"/>
      <w:marRight w:val="0"/>
      <w:marTop w:val="0"/>
      <w:marBottom w:val="0"/>
      <w:divBdr>
        <w:top w:val="none" w:sz="0" w:space="0" w:color="auto"/>
        <w:left w:val="none" w:sz="0" w:space="0" w:color="auto"/>
        <w:bottom w:val="none" w:sz="0" w:space="0" w:color="auto"/>
        <w:right w:val="none" w:sz="0" w:space="0" w:color="auto"/>
      </w:divBdr>
    </w:div>
    <w:div w:id="469789649">
      <w:bodyDiv w:val="1"/>
      <w:marLeft w:val="0"/>
      <w:marRight w:val="0"/>
      <w:marTop w:val="0"/>
      <w:marBottom w:val="0"/>
      <w:divBdr>
        <w:top w:val="none" w:sz="0" w:space="0" w:color="auto"/>
        <w:left w:val="none" w:sz="0" w:space="0" w:color="auto"/>
        <w:bottom w:val="none" w:sz="0" w:space="0" w:color="auto"/>
        <w:right w:val="none" w:sz="0" w:space="0" w:color="auto"/>
      </w:divBdr>
      <w:divsChild>
        <w:div w:id="1373461311">
          <w:marLeft w:val="0"/>
          <w:marRight w:val="0"/>
          <w:marTop w:val="0"/>
          <w:marBottom w:val="0"/>
          <w:divBdr>
            <w:top w:val="none" w:sz="0" w:space="0" w:color="auto"/>
            <w:left w:val="none" w:sz="0" w:space="0" w:color="auto"/>
            <w:bottom w:val="none" w:sz="0" w:space="0" w:color="auto"/>
            <w:right w:val="none" w:sz="0" w:space="0" w:color="auto"/>
          </w:divBdr>
          <w:divsChild>
            <w:div w:id="1611430906">
              <w:marLeft w:val="0"/>
              <w:marRight w:val="0"/>
              <w:marTop w:val="0"/>
              <w:marBottom w:val="0"/>
              <w:divBdr>
                <w:top w:val="none" w:sz="0" w:space="0" w:color="auto"/>
                <w:left w:val="none" w:sz="0" w:space="0" w:color="auto"/>
                <w:bottom w:val="none" w:sz="0" w:space="0" w:color="auto"/>
                <w:right w:val="none" w:sz="0" w:space="0" w:color="auto"/>
              </w:divBdr>
              <w:divsChild>
                <w:div w:id="1333100338">
                  <w:marLeft w:val="0"/>
                  <w:marRight w:val="0"/>
                  <w:marTop w:val="0"/>
                  <w:marBottom w:val="0"/>
                  <w:divBdr>
                    <w:top w:val="none" w:sz="0" w:space="0" w:color="auto"/>
                    <w:left w:val="none" w:sz="0" w:space="0" w:color="auto"/>
                    <w:bottom w:val="none" w:sz="0" w:space="0" w:color="auto"/>
                    <w:right w:val="none" w:sz="0" w:space="0" w:color="auto"/>
                  </w:divBdr>
                  <w:divsChild>
                    <w:div w:id="3408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856151">
      <w:bodyDiv w:val="1"/>
      <w:marLeft w:val="0"/>
      <w:marRight w:val="0"/>
      <w:marTop w:val="0"/>
      <w:marBottom w:val="0"/>
      <w:divBdr>
        <w:top w:val="none" w:sz="0" w:space="0" w:color="auto"/>
        <w:left w:val="none" w:sz="0" w:space="0" w:color="auto"/>
        <w:bottom w:val="none" w:sz="0" w:space="0" w:color="auto"/>
        <w:right w:val="none" w:sz="0" w:space="0" w:color="auto"/>
      </w:divBdr>
      <w:divsChild>
        <w:div w:id="1443497932">
          <w:marLeft w:val="0"/>
          <w:marRight w:val="0"/>
          <w:marTop w:val="0"/>
          <w:marBottom w:val="0"/>
          <w:divBdr>
            <w:top w:val="none" w:sz="0" w:space="0" w:color="auto"/>
            <w:left w:val="none" w:sz="0" w:space="0" w:color="auto"/>
            <w:bottom w:val="none" w:sz="0" w:space="0" w:color="auto"/>
            <w:right w:val="none" w:sz="0" w:space="0" w:color="auto"/>
          </w:divBdr>
          <w:divsChild>
            <w:div w:id="995500940">
              <w:marLeft w:val="0"/>
              <w:marRight w:val="0"/>
              <w:marTop w:val="0"/>
              <w:marBottom w:val="0"/>
              <w:divBdr>
                <w:top w:val="none" w:sz="0" w:space="0" w:color="auto"/>
                <w:left w:val="none" w:sz="0" w:space="0" w:color="auto"/>
                <w:bottom w:val="none" w:sz="0" w:space="0" w:color="auto"/>
                <w:right w:val="none" w:sz="0" w:space="0" w:color="auto"/>
              </w:divBdr>
              <w:divsChild>
                <w:div w:id="18992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017907">
      <w:bodyDiv w:val="1"/>
      <w:marLeft w:val="0"/>
      <w:marRight w:val="0"/>
      <w:marTop w:val="0"/>
      <w:marBottom w:val="0"/>
      <w:divBdr>
        <w:top w:val="none" w:sz="0" w:space="0" w:color="auto"/>
        <w:left w:val="none" w:sz="0" w:space="0" w:color="auto"/>
        <w:bottom w:val="none" w:sz="0" w:space="0" w:color="auto"/>
        <w:right w:val="none" w:sz="0" w:space="0" w:color="auto"/>
      </w:divBdr>
      <w:divsChild>
        <w:div w:id="1554391210">
          <w:marLeft w:val="0"/>
          <w:marRight w:val="0"/>
          <w:marTop w:val="0"/>
          <w:marBottom w:val="0"/>
          <w:divBdr>
            <w:top w:val="none" w:sz="0" w:space="0" w:color="auto"/>
            <w:left w:val="none" w:sz="0" w:space="0" w:color="auto"/>
            <w:bottom w:val="none" w:sz="0" w:space="0" w:color="auto"/>
            <w:right w:val="none" w:sz="0" w:space="0" w:color="auto"/>
          </w:divBdr>
          <w:divsChild>
            <w:div w:id="382101734">
              <w:marLeft w:val="0"/>
              <w:marRight w:val="0"/>
              <w:marTop w:val="0"/>
              <w:marBottom w:val="0"/>
              <w:divBdr>
                <w:top w:val="none" w:sz="0" w:space="0" w:color="auto"/>
                <w:left w:val="none" w:sz="0" w:space="0" w:color="auto"/>
                <w:bottom w:val="none" w:sz="0" w:space="0" w:color="auto"/>
                <w:right w:val="none" w:sz="0" w:space="0" w:color="auto"/>
              </w:divBdr>
              <w:divsChild>
                <w:div w:id="120332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087949">
      <w:bodyDiv w:val="1"/>
      <w:marLeft w:val="0"/>
      <w:marRight w:val="0"/>
      <w:marTop w:val="0"/>
      <w:marBottom w:val="0"/>
      <w:divBdr>
        <w:top w:val="none" w:sz="0" w:space="0" w:color="auto"/>
        <w:left w:val="none" w:sz="0" w:space="0" w:color="auto"/>
        <w:bottom w:val="none" w:sz="0" w:space="0" w:color="auto"/>
        <w:right w:val="none" w:sz="0" w:space="0" w:color="auto"/>
      </w:divBdr>
    </w:div>
    <w:div w:id="571425588">
      <w:bodyDiv w:val="1"/>
      <w:marLeft w:val="0"/>
      <w:marRight w:val="0"/>
      <w:marTop w:val="0"/>
      <w:marBottom w:val="0"/>
      <w:divBdr>
        <w:top w:val="none" w:sz="0" w:space="0" w:color="auto"/>
        <w:left w:val="none" w:sz="0" w:space="0" w:color="auto"/>
        <w:bottom w:val="none" w:sz="0" w:space="0" w:color="auto"/>
        <w:right w:val="none" w:sz="0" w:space="0" w:color="auto"/>
      </w:divBdr>
    </w:div>
    <w:div w:id="589193009">
      <w:bodyDiv w:val="1"/>
      <w:marLeft w:val="0"/>
      <w:marRight w:val="0"/>
      <w:marTop w:val="0"/>
      <w:marBottom w:val="0"/>
      <w:divBdr>
        <w:top w:val="none" w:sz="0" w:space="0" w:color="auto"/>
        <w:left w:val="none" w:sz="0" w:space="0" w:color="auto"/>
        <w:bottom w:val="none" w:sz="0" w:space="0" w:color="auto"/>
        <w:right w:val="none" w:sz="0" w:space="0" w:color="auto"/>
      </w:divBdr>
    </w:div>
    <w:div w:id="594872369">
      <w:bodyDiv w:val="1"/>
      <w:marLeft w:val="0"/>
      <w:marRight w:val="0"/>
      <w:marTop w:val="0"/>
      <w:marBottom w:val="0"/>
      <w:divBdr>
        <w:top w:val="none" w:sz="0" w:space="0" w:color="auto"/>
        <w:left w:val="none" w:sz="0" w:space="0" w:color="auto"/>
        <w:bottom w:val="none" w:sz="0" w:space="0" w:color="auto"/>
        <w:right w:val="none" w:sz="0" w:space="0" w:color="auto"/>
      </w:divBdr>
    </w:div>
    <w:div w:id="613824882">
      <w:bodyDiv w:val="1"/>
      <w:marLeft w:val="0"/>
      <w:marRight w:val="0"/>
      <w:marTop w:val="0"/>
      <w:marBottom w:val="0"/>
      <w:divBdr>
        <w:top w:val="none" w:sz="0" w:space="0" w:color="auto"/>
        <w:left w:val="none" w:sz="0" w:space="0" w:color="auto"/>
        <w:bottom w:val="none" w:sz="0" w:space="0" w:color="auto"/>
        <w:right w:val="none" w:sz="0" w:space="0" w:color="auto"/>
      </w:divBdr>
    </w:div>
    <w:div w:id="622658840">
      <w:bodyDiv w:val="1"/>
      <w:marLeft w:val="0"/>
      <w:marRight w:val="0"/>
      <w:marTop w:val="0"/>
      <w:marBottom w:val="0"/>
      <w:divBdr>
        <w:top w:val="none" w:sz="0" w:space="0" w:color="auto"/>
        <w:left w:val="none" w:sz="0" w:space="0" w:color="auto"/>
        <w:bottom w:val="none" w:sz="0" w:space="0" w:color="auto"/>
        <w:right w:val="none" w:sz="0" w:space="0" w:color="auto"/>
      </w:divBdr>
    </w:div>
    <w:div w:id="626354932">
      <w:bodyDiv w:val="1"/>
      <w:marLeft w:val="0"/>
      <w:marRight w:val="0"/>
      <w:marTop w:val="0"/>
      <w:marBottom w:val="0"/>
      <w:divBdr>
        <w:top w:val="none" w:sz="0" w:space="0" w:color="auto"/>
        <w:left w:val="none" w:sz="0" w:space="0" w:color="auto"/>
        <w:bottom w:val="none" w:sz="0" w:space="0" w:color="auto"/>
        <w:right w:val="none" w:sz="0" w:space="0" w:color="auto"/>
      </w:divBdr>
      <w:divsChild>
        <w:div w:id="197082934">
          <w:marLeft w:val="0"/>
          <w:marRight w:val="0"/>
          <w:marTop w:val="0"/>
          <w:marBottom w:val="0"/>
          <w:divBdr>
            <w:top w:val="none" w:sz="0" w:space="0" w:color="auto"/>
            <w:left w:val="none" w:sz="0" w:space="0" w:color="auto"/>
            <w:bottom w:val="none" w:sz="0" w:space="0" w:color="auto"/>
            <w:right w:val="none" w:sz="0" w:space="0" w:color="auto"/>
          </w:divBdr>
          <w:divsChild>
            <w:div w:id="1736852138">
              <w:marLeft w:val="0"/>
              <w:marRight w:val="0"/>
              <w:marTop w:val="0"/>
              <w:marBottom w:val="0"/>
              <w:divBdr>
                <w:top w:val="none" w:sz="0" w:space="0" w:color="auto"/>
                <w:left w:val="none" w:sz="0" w:space="0" w:color="auto"/>
                <w:bottom w:val="none" w:sz="0" w:space="0" w:color="auto"/>
                <w:right w:val="none" w:sz="0" w:space="0" w:color="auto"/>
              </w:divBdr>
              <w:divsChild>
                <w:div w:id="37442285">
                  <w:marLeft w:val="0"/>
                  <w:marRight w:val="0"/>
                  <w:marTop w:val="0"/>
                  <w:marBottom w:val="0"/>
                  <w:divBdr>
                    <w:top w:val="none" w:sz="0" w:space="0" w:color="auto"/>
                    <w:left w:val="none" w:sz="0" w:space="0" w:color="auto"/>
                    <w:bottom w:val="none" w:sz="0" w:space="0" w:color="auto"/>
                    <w:right w:val="none" w:sz="0" w:space="0" w:color="auto"/>
                  </w:divBdr>
                  <w:divsChild>
                    <w:div w:id="166516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628368">
      <w:bodyDiv w:val="1"/>
      <w:marLeft w:val="0"/>
      <w:marRight w:val="0"/>
      <w:marTop w:val="0"/>
      <w:marBottom w:val="0"/>
      <w:divBdr>
        <w:top w:val="none" w:sz="0" w:space="0" w:color="auto"/>
        <w:left w:val="none" w:sz="0" w:space="0" w:color="auto"/>
        <w:bottom w:val="none" w:sz="0" w:space="0" w:color="auto"/>
        <w:right w:val="none" w:sz="0" w:space="0" w:color="auto"/>
      </w:divBdr>
    </w:div>
    <w:div w:id="631911540">
      <w:bodyDiv w:val="1"/>
      <w:marLeft w:val="0"/>
      <w:marRight w:val="0"/>
      <w:marTop w:val="0"/>
      <w:marBottom w:val="0"/>
      <w:divBdr>
        <w:top w:val="none" w:sz="0" w:space="0" w:color="auto"/>
        <w:left w:val="none" w:sz="0" w:space="0" w:color="auto"/>
        <w:bottom w:val="none" w:sz="0" w:space="0" w:color="auto"/>
        <w:right w:val="none" w:sz="0" w:space="0" w:color="auto"/>
      </w:divBdr>
    </w:div>
    <w:div w:id="645284668">
      <w:bodyDiv w:val="1"/>
      <w:marLeft w:val="0"/>
      <w:marRight w:val="0"/>
      <w:marTop w:val="0"/>
      <w:marBottom w:val="0"/>
      <w:divBdr>
        <w:top w:val="none" w:sz="0" w:space="0" w:color="auto"/>
        <w:left w:val="none" w:sz="0" w:space="0" w:color="auto"/>
        <w:bottom w:val="none" w:sz="0" w:space="0" w:color="auto"/>
        <w:right w:val="none" w:sz="0" w:space="0" w:color="auto"/>
      </w:divBdr>
    </w:div>
    <w:div w:id="648439055">
      <w:bodyDiv w:val="1"/>
      <w:marLeft w:val="0"/>
      <w:marRight w:val="0"/>
      <w:marTop w:val="0"/>
      <w:marBottom w:val="0"/>
      <w:divBdr>
        <w:top w:val="none" w:sz="0" w:space="0" w:color="auto"/>
        <w:left w:val="none" w:sz="0" w:space="0" w:color="auto"/>
        <w:bottom w:val="none" w:sz="0" w:space="0" w:color="auto"/>
        <w:right w:val="none" w:sz="0" w:space="0" w:color="auto"/>
      </w:divBdr>
    </w:div>
    <w:div w:id="677583074">
      <w:bodyDiv w:val="1"/>
      <w:marLeft w:val="0"/>
      <w:marRight w:val="0"/>
      <w:marTop w:val="0"/>
      <w:marBottom w:val="0"/>
      <w:divBdr>
        <w:top w:val="none" w:sz="0" w:space="0" w:color="auto"/>
        <w:left w:val="none" w:sz="0" w:space="0" w:color="auto"/>
        <w:bottom w:val="none" w:sz="0" w:space="0" w:color="auto"/>
        <w:right w:val="none" w:sz="0" w:space="0" w:color="auto"/>
      </w:divBdr>
      <w:divsChild>
        <w:div w:id="1794861068">
          <w:marLeft w:val="0"/>
          <w:marRight w:val="0"/>
          <w:marTop w:val="0"/>
          <w:marBottom w:val="0"/>
          <w:divBdr>
            <w:top w:val="none" w:sz="0" w:space="0" w:color="auto"/>
            <w:left w:val="none" w:sz="0" w:space="0" w:color="auto"/>
            <w:bottom w:val="none" w:sz="0" w:space="0" w:color="auto"/>
            <w:right w:val="none" w:sz="0" w:space="0" w:color="auto"/>
          </w:divBdr>
          <w:divsChild>
            <w:div w:id="1816406525">
              <w:marLeft w:val="0"/>
              <w:marRight w:val="0"/>
              <w:marTop w:val="0"/>
              <w:marBottom w:val="0"/>
              <w:divBdr>
                <w:top w:val="none" w:sz="0" w:space="0" w:color="auto"/>
                <w:left w:val="none" w:sz="0" w:space="0" w:color="auto"/>
                <w:bottom w:val="none" w:sz="0" w:space="0" w:color="auto"/>
                <w:right w:val="none" w:sz="0" w:space="0" w:color="auto"/>
              </w:divBdr>
              <w:divsChild>
                <w:div w:id="110218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367068">
      <w:bodyDiv w:val="1"/>
      <w:marLeft w:val="0"/>
      <w:marRight w:val="0"/>
      <w:marTop w:val="0"/>
      <w:marBottom w:val="0"/>
      <w:divBdr>
        <w:top w:val="none" w:sz="0" w:space="0" w:color="auto"/>
        <w:left w:val="none" w:sz="0" w:space="0" w:color="auto"/>
        <w:bottom w:val="none" w:sz="0" w:space="0" w:color="auto"/>
        <w:right w:val="none" w:sz="0" w:space="0" w:color="auto"/>
      </w:divBdr>
      <w:divsChild>
        <w:div w:id="1834098334">
          <w:marLeft w:val="0"/>
          <w:marRight w:val="0"/>
          <w:marTop w:val="0"/>
          <w:marBottom w:val="0"/>
          <w:divBdr>
            <w:top w:val="none" w:sz="0" w:space="0" w:color="auto"/>
            <w:left w:val="none" w:sz="0" w:space="0" w:color="auto"/>
            <w:bottom w:val="none" w:sz="0" w:space="0" w:color="auto"/>
            <w:right w:val="none" w:sz="0" w:space="0" w:color="auto"/>
          </w:divBdr>
          <w:divsChild>
            <w:div w:id="1642225867">
              <w:marLeft w:val="0"/>
              <w:marRight w:val="0"/>
              <w:marTop w:val="0"/>
              <w:marBottom w:val="0"/>
              <w:divBdr>
                <w:top w:val="none" w:sz="0" w:space="0" w:color="auto"/>
                <w:left w:val="none" w:sz="0" w:space="0" w:color="auto"/>
                <w:bottom w:val="none" w:sz="0" w:space="0" w:color="auto"/>
                <w:right w:val="none" w:sz="0" w:space="0" w:color="auto"/>
              </w:divBdr>
              <w:divsChild>
                <w:div w:id="2729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83">
      <w:bodyDiv w:val="1"/>
      <w:marLeft w:val="0"/>
      <w:marRight w:val="0"/>
      <w:marTop w:val="0"/>
      <w:marBottom w:val="0"/>
      <w:divBdr>
        <w:top w:val="none" w:sz="0" w:space="0" w:color="auto"/>
        <w:left w:val="none" w:sz="0" w:space="0" w:color="auto"/>
        <w:bottom w:val="none" w:sz="0" w:space="0" w:color="auto"/>
        <w:right w:val="none" w:sz="0" w:space="0" w:color="auto"/>
      </w:divBdr>
    </w:div>
    <w:div w:id="702436029">
      <w:bodyDiv w:val="1"/>
      <w:marLeft w:val="0"/>
      <w:marRight w:val="0"/>
      <w:marTop w:val="0"/>
      <w:marBottom w:val="0"/>
      <w:divBdr>
        <w:top w:val="none" w:sz="0" w:space="0" w:color="auto"/>
        <w:left w:val="none" w:sz="0" w:space="0" w:color="auto"/>
        <w:bottom w:val="none" w:sz="0" w:space="0" w:color="auto"/>
        <w:right w:val="none" w:sz="0" w:space="0" w:color="auto"/>
      </w:divBdr>
    </w:div>
    <w:div w:id="707296756">
      <w:bodyDiv w:val="1"/>
      <w:marLeft w:val="0"/>
      <w:marRight w:val="0"/>
      <w:marTop w:val="0"/>
      <w:marBottom w:val="0"/>
      <w:divBdr>
        <w:top w:val="none" w:sz="0" w:space="0" w:color="auto"/>
        <w:left w:val="none" w:sz="0" w:space="0" w:color="auto"/>
        <w:bottom w:val="none" w:sz="0" w:space="0" w:color="auto"/>
        <w:right w:val="none" w:sz="0" w:space="0" w:color="auto"/>
      </w:divBdr>
    </w:div>
    <w:div w:id="711808566">
      <w:bodyDiv w:val="1"/>
      <w:marLeft w:val="0"/>
      <w:marRight w:val="0"/>
      <w:marTop w:val="0"/>
      <w:marBottom w:val="0"/>
      <w:divBdr>
        <w:top w:val="none" w:sz="0" w:space="0" w:color="auto"/>
        <w:left w:val="none" w:sz="0" w:space="0" w:color="auto"/>
        <w:bottom w:val="none" w:sz="0" w:space="0" w:color="auto"/>
        <w:right w:val="none" w:sz="0" w:space="0" w:color="auto"/>
      </w:divBdr>
    </w:div>
    <w:div w:id="720981387">
      <w:bodyDiv w:val="1"/>
      <w:marLeft w:val="0"/>
      <w:marRight w:val="0"/>
      <w:marTop w:val="0"/>
      <w:marBottom w:val="0"/>
      <w:divBdr>
        <w:top w:val="none" w:sz="0" w:space="0" w:color="auto"/>
        <w:left w:val="none" w:sz="0" w:space="0" w:color="auto"/>
        <w:bottom w:val="none" w:sz="0" w:space="0" w:color="auto"/>
        <w:right w:val="none" w:sz="0" w:space="0" w:color="auto"/>
      </w:divBdr>
    </w:div>
    <w:div w:id="727412693">
      <w:bodyDiv w:val="1"/>
      <w:marLeft w:val="0"/>
      <w:marRight w:val="0"/>
      <w:marTop w:val="0"/>
      <w:marBottom w:val="0"/>
      <w:divBdr>
        <w:top w:val="none" w:sz="0" w:space="0" w:color="auto"/>
        <w:left w:val="none" w:sz="0" w:space="0" w:color="auto"/>
        <w:bottom w:val="none" w:sz="0" w:space="0" w:color="auto"/>
        <w:right w:val="none" w:sz="0" w:space="0" w:color="auto"/>
      </w:divBdr>
      <w:divsChild>
        <w:div w:id="98451094">
          <w:marLeft w:val="0"/>
          <w:marRight w:val="0"/>
          <w:marTop w:val="0"/>
          <w:marBottom w:val="0"/>
          <w:divBdr>
            <w:top w:val="none" w:sz="0" w:space="0" w:color="auto"/>
            <w:left w:val="none" w:sz="0" w:space="0" w:color="auto"/>
            <w:bottom w:val="none" w:sz="0" w:space="0" w:color="auto"/>
            <w:right w:val="none" w:sz="0" w:space="0" w:color="auto"/>
          </w:divBdr>
          <w:divsChild>
            <w:div w:id="921992531">
              <w:marLeft w:val="0"/>
              <w:marRight w:val="0"/>
              <w:marTop w:val="0"/>
              <w:marBottom w:val="0"/>
              <w:divBdr>
                <w:top w:val="none" w:sz="0" w:space="0" w:color="auto"/>
                <w:left w:val="none" w:sz="0" w:space="0" w:color="auto"/>
                <w:bottom w:val="none" w:sz="0" w:space="0" w:color="auto"/>
                <w:right w:val="none" w:sz="0" w:space="0" w:color="auto"/>
              </w:divBdr>
              <w:divsChild>
                <w:div w:id="177983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928557">
      <w:bodyDiv w:val="1"/>
      <w:marLeft w:val="0"/>
      <w:marRight w:val="0"/>
      <w:marTop w:val="0"/>
      <w:marBottom w:val="0"/>
      <w:divBdr>
        <w:top w:val="none" w:sz="0" w:space="0" w:color="auto"/>
        <w:left w:val="none" w:sz="0" w:space="0" w:color="auto"/>
        <w:bottom w:val="none" w:sz="0" w:space="0" w:color="auto"/>
        <w:right w:val="none" w:sz="0" w:space="0" w:color="auto"/>
      </w:divBdr>
    </w:div>
    <w:div w:id="752123591">
      <w:bodyDiv w:val="1"/>
      <w:marLeft w:val="0"/>
      <w:marRight w:val="0"/>
      <w:marTop w:val="0"/>
      <w:marBottom w:val="0"/>
      <w:divBdr>
        <w:top w:val="none" w:sz="0" w:space="0" w:color="auto"/>
        <w:left w:val="none" w:sz="0" w:space="0" w:color="auto"/>
        <w:bottom w:val="none" w:sz="0" w:space="0" w:color="auto"/>
        <w:right w:val="none" w:sz="0" w:space="0" w:color="auto"/>
      </w:divBdr>
    </w:div>
    <w:div w:id="771702009">
      <w:bodyDiv w:val="1"/>
      <w:marLeft w:val="0"/>
      <w:marRight w:val="0"/>
      <w:marTop w:val="0"/>
      <w:marBottom w:val="0"/>
      <w:divBdr>
        <w:top w:val="none" w:sz="0" w:space="0" w:color="auto"/>
        <w:left w:val="none" w:sz="0" w:space="0" w:color="auto"/>
        <w:bottom w:val="none" w:sz="0" w:space="0" w:color="auto"/>
        <w:right w:val="none" w:sz="0" w:space="0" w:color="auto"/>
      </w:divBdr>
      <w:divsChild>
        <w:div w:id="1822190681">
          <w:marLeft w:val="0"/>
          <w:marRight w:val="0"/>
          <w:marTop w:val="0"/>
          <w:marBottom w:val="0"/>
          <w:divBdr>
            <w:top w:val="none" w:sz="0" w:space="0" w:color="auto"/>
            <w:left w:val="none" w:sz="0" w:space="0" w:color="auto"/>
            <w:bottom w:val="none" w:sz="0" w:space="0" w:color="auto"/>
            <w:right w:val="none" w:sz="0" w:space="0" w:color="auto"/>
          </w:divBdr>
          <w:divsChild>
            <w:div w:id="169611111">
              <w:marLeft w:val="0"/>
              <w:marRight w:val="0"/>
              <w:marTop w:val="0"/>
              <w:marBottom w:val="0"/>
              <w:divBdr>
                <w:top w:val="none" w:sz="0" w:space="0" w:color="auto"/>
                <w:left w:val="none" w:sz="0" w:space="0" w:color="auto"/>
                <w:bottom w:val="none" w:sz="0" w:space="0" w:color="auto"/>
                <w:right w:val="none" w:sz="0" w:space="0" w:color="auto"/>
              </w:divBdr>
              <w:divsChild>
                <w:div w:id="4190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801556">
      <w:bodyDiv w:val="1"/>
      <w:marLeft w:val="0"/>
      <w:marRight w:val="0"/>
      <w:marTop w:val="0"/>
      <w:marBottom w:val="0"/>
      <w:divBdr>
        <w:top w:val="none" w:sz="0" w:space="0" w:color="auto"/>
        <w:left w:val="none" w:sz="0" w:space="0" w:color="auto"/>
        <w:bottom w:val="none" w:sz="0" w:space="0" w:color="auto"/>
        <w:right w:val="none" w:sz="0" w:space="0" w:color="auto"/>
      </w:divBdr>
    </w:div>
    <w:div w:id="821316725">
      <w:bodyDiv w:val="1"/>
      <w:marLeft w:val="0"/>
      <w:marRight w:val="0"/>
      <w:marTop w:val="0"/>
      <w:marBottom w:val="0"/>
      <w:divBdr>
        <w:top w:val="none" w:sz="0" w:space="0" w:color="auto"/>
        <w:left w:val="none" w:sz="0" w:space="0" w:color="auto"/>
        <w:bottom w:val="none" w:sz="0" w:space="0" w:color="auto"/>
        <w:right w:val="none" w:sz="0" w:space="0" w:color="auto"/>
      </w:divBdr>
    </w:div>
    <w:div w:id="845752127">
      <w:bodyDiv w:val="1"/>
      <w:marLeft w:val="0"/>
      <w:marRight w:val="0"/>
      <w:marTop w:val="0"/>
      <w:marBottom w:val="0"/>
      <w:divBdr>
        <w:top w:val="none" w:sz="0" w:space="0" w:color="auto"/>
        <w:left w:val="none" w:sz="0" w:space="0" w:color="auto"/>
        <w:bottom w:val="none" w:sz="0" w:space="0" w:color="auto"/>
        <w:right w:val="none" w:sz="0" w:space="0" w:color="auto"/>
      </w:divBdr>
    </w:div>
    <w:div w:id="859928557">
      <w:bodyDiv w:val="1"/>
      <w:marLeft w:val="0"/>
      <w:marRight w:val="0"/>
      <w:marTop w:val="0"/>
      <w:marBottom w:val="0"/>
      <w:divBdr>
        <w:top w:val="none" w:sz="0" w:space="0" w:color="auto"/>
        <w:left w:val="none" w:sz="0" w:space="0" w:color="auto"/>
        <w:bottom w:val="none" w:sz="0" w:space="0" w:color="auto"/>
        <w:right w:val="none" w:sz="0" w:space="0" w:color="auto"/>
      </w:divBdr>
    </w:div>
    <w:div w:id="862523254">
      <w:bodyDiv w:val="1"/>
      <w:marLeft w:val="0"/>
      <w:marRight w:val="0"/>
      <w:marTop w:val="0"/>
      <w:marBottom w:val="0"/>
      <w:divBdr>
        <w:top w:val="none" w:sz="0" w:space="0" w:color="auto"/>
        <w:left w:val="none" w:sz="0" w:space="0" w:color="auto"/>
        <w:bottom w:val="none" w:sz="0" w:space="0" w:color="auto"/>
        <w:right w:val="none" w:sz="0" w:space="0" w:color="auto"/>
      </w:divBdr>
    </w:div>
    <w:div w:id="864557979">
      <w:bodyDiv w:val="1"/>
      <w:marLeft w:val="0"/>
      <w:marRight w:val="0"/>
      <w:marTop w:val="0"/>
      <w:marBottom w:val="0"/>
      <w:divBdr>
        <w:top w:val="none" w:sz="0" w:space="0" w:color="auto"/>
        <w:left w:val="none" w:sz="0" w:space="0" w:color="auto"/>
        <w:bottom w:val="none" w:sz="0" w:space="0" w:color="auto"/>
        <w:right w:val="none" w:sz="0" w:space="0" w:color="auto"/>
      </w:divBdr>
      <w:divsChild>
        <w:div w:id="1650597378">
          <w:marLeft w:val="0"/>
          <w:marRight w:val="0"/>
          <w:marTop w:val="0"/>
          <w:marBottom w:val="0"/>
          <w:divBdr>
            <w:top w:val="none" w:sz="0" w:space="0" w:color="auto"/>
            <w:left w:val="none" w:sz="0" w:space="0" w:color="auto"/>
            <w:bottom w:val="none" w:sz="0" w:space="0" w:color="auto"/>
            <w:right w:val="none" w:sz="0" w:space="0" w:color="auto"/>
          </w:divBdr>
          <w:divsChild>
            <w:div w:id="1467040485">
              <w:marLeft w:val="0"/>
              <w:marRight w:val="0"/>
              <w:marTop w:val="0"/>
              <w:marBottom w:val="0"/>
              <w:divBdr>
                <w:top w:val="none" w:sz="0" w:space="0" w:color="auto"/>
                <w:left w:val="none" w:sz="0" w:space="0" w:color="auto"/>
                <w:bottom w:val="none" w:sz="0" w:space="0" w:color="auto"/>
                <w:right w:val="none" w:sz="0" w:space="0" w:color="auto"/>
              </w:divBdr>
              <w:divsChild>
                <w:div w:id="1062362674">
                  <w:marLeft w:val="0"/>
                  <w:marRight w:val="0"/>
                  <w:marTop w:val="0"/>
                  <w:marBottom w:val="0"/>
                  <w:divBdr>
                    <w:top w:val="none" w:sz="0" w:space="0" w:color="auto"/>
                    <w:left w:val="none" w:sz="0" w:space="0" w:color="auto"/>
                    <w:bottom w:val="none" w:sz="0" w:space="0" w:color="auto"/>
                    <w:right w:val="none" w:sz="0" w:space="0" w:color="auto"/>
                  </w:divBdr>
                  <w:divsChild>
                    <w:div w:id="199151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071064">
      <w:bodyDiv w:val="1"/>
      <w:marLeft w:val="0"/>
      <w:marRight w:val="0"/>
      <w:marTop w:val="0"/>
      <w:marBottom w:val="0"/>
      <w:divBdr>
        <w:top w:val="none" w:sz="0" w:space="0" w:color="auto"/>
        <w:left w:val="none" w:sz="0" w:space="0" w:color="auto"/>
        <w:bottom w:val="none" w:sz="0" w:space="0" w:color="auto"/>
        <w:right w:val="none" w:sz="0" w:space="0" w:color="auto"/>
      </w:divBdr>
    </w:div>
    <w:div w:id="912853058">
      <w:bodyDiv w:val="1"/>
      <w:marLeft w:val="0"/>
      <w:marRight w:val="0"/>
      <w:marTop w:val="0"/>
      <w:marBottom w:val="0"/>
      <w:divBdr>
        <w:top w:val="none" w:sz="0" w:space="0" w:color="auto"/>
        <w:left w:val="none" w:sz="0" w:space="0" w:color="auto"/>
        <w:bottom w:val="none" w:sz="0" w:space="0" w:color="auto"/>
        <w:right w:val="none" w:sz="0" w:space="0" w:color="auto"/>
      </w:divBdr>
    </w:div>
    <w:div w:id="920407498">
      <w:bodyDiv w:val="1"/>
      <w:marLeft w:val="0"/>
      <w:marRight w:val="0"/>
      <w:marTop w:val="0"/>
      <w:marBottom w:val="0"/>
      <w:divBdr>
        <w:top w:val="none" w:sz="0" w:space="0" w:color="auto"/>
        <w:left w:val="none" w:sz="0" w:space="0" w:color="auto"/>
        <w:bottom w:val="none" w:sz="0" w:space="0" w:color="auto"/>
        <w:right w:val="none" w:sz="0" w:space="0" w:color="auto"/>
      </w:divBdr>
      <w:divsChild>
        <w:div w:id="2045905955">
          <w:marLeft w:val="0"/>
          <w:marRight w:val="0"/>
          <w:marTop w:val="0"/>
          <w:marBottom w:val="0"/>
          <w:divBdr>
            <w:top w:val="none" w:sz="0" w:space="0" w:color="auto"/>
            <w:left w:val="none" w:sz="0" w:space="0" w:color="auto"/>
            <w:bottom w:val="none" w:sz="0" w:space="0" w:color="auto"/>
            <w:right w:val="none" w:sz="0" w:space="0" w:color="auto"/>
          </w:divBdr>
          <w:divsChild>
            <w:div w:id="1409038647">
              <w:marLeft w:val="0"/>
              <w:marRight w:val="0"/>
              <w:marTop w:val="0"/>
              <w:marBottom w:val="0"/>
              <w:divBdr>
                <w:top w:val="none" w:sz="0" w:space="0" w:color="auto"/>
                <w:left w:val="none" w:sz="0" w:space="0" w:color="auto"/>
                <w:bottom w:val="none" w:sz="0" w:space="0" w:color="auto"/>
                <w:right w:val="none" w:sz="0" w:space="0" w:color="auto"/>
              </w:divBdr>
              <w:divsChild>
                <w:div w:id="115876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110611">
      <w:bodyDiv w:val="1"/>
      <w:marLeft w:val="0"/>
      <w:marRight w:val="0"/>
      <w:marTop w:val="0"/>
      <w:marBottom w:val="0"/>
      <w:divBdr>
        <w:top w:val="none" w:sz="0" w:space="0" w:color="auto"/>
        <w:left w:val="none" w:sz="0" w:space="0" w:color="auto"/>
        <w:bottom w:val="none" w:sz="0" w:space="0" w:color="auto"/>
        <w:right w:val="none" w:sz="0" w:space="0" w:color="auto"/>
      </w:divBdr>
    </w:div>
    <w:div w:id="929850053">
      <w:bodyDiv w:val="1"/>
      <w:marLeft w:val="0"/>
      <w:marRight w:val="0"/>
      <w:marTop w:val="0"/>
      <w:marBottom w:val="0"/>
      <w:divBdr>
        <w:top w:val="none" w:sz="0" w:space="0" w:color="auto"/>
        <w:left w:val="none" w:sz="0" w:space="0" w:color="auto"/>
        <w:bottom w:val="none" w:sz="0" w:space="0" w:color="auto"/>
        <w:right w:val="none" w:sz="0" w:space="0" w:color="auto"/>
      </w:divBdr>
    </w:div>
    <w:div w:id="936446731">
      <w:bodyDiv w:val="1"/>
      <w:marLeft w:val="0"/>
      <w:marRight w:val="0"/>
      <w:marTop w:val="0"/>
      <w:marBottom w:val="0"/>
      <w:divBdr>
        <w:top w:val="none" w:sz="0" w:space="0" w:color="auto"/>
        <w:left w:val="none" w:sz="0" w:space="0" w:color="auto"/>
        <w:bottom w:val="none" w:sz="0" w:space="0" w:color="auto"/>
        <w:right w:val="none" w:sz="0" w:space="0" w:color="auto"/>
      </w:divBdr>
    </w:div>
    <w:div w:id="945650009">
      <w:bodyDiv w:val="1"/>
      <w:marLeft w:val="0"/>
      <w:marRight w:val="0"/>
      <w:marTop w:val="0"/>
      <w:marBottom w:val="0"/>
      <w:divBdr>
        <w:top w:val="none" w:sz="0" w:space="0" w:color="auto"/>
        <w:left w:val="none" w:sz="0" w:space="0" w:color="auto"/>
        <w:bottom w:val="none" w:sz="0" w:space="0" w:color="auto"/>
        <w:right w:val="none" w:sz="0" w:space="0" w:color="auto"/>
      </w:divBdr>
      <w:divsChild>
        <w:div w:id="700278649">
          <w:marLeft w:val="0"/>
          <w:marRight w:val="0"/>
          <w:marTop w:val="0"/>
          <w:marBottom w:val="0"/>
          <w:divBdr>
            <w:top w:val="none" w:sz="0" w:space="0" w:color="auto"/>
            <w:left w:val="none" w:sz="0" w:space="0" w:color="auto"/>
            <w:bottom w:val="none" w:sz="0" w:space="0" w:color="auto"/>
            <w:right w:val="none" w:sz="0" w:space="0" w:color="auto"/>
          </w:divBdr>
          <w:divsChild>
            <w:div w:id="1300838555">
              <w:marLeft w:val="0"/>
              <w:marRight w:val="0"/>
              <w:marTop w:val="0"/>
              <w:marBottom w:val="0"/>
              <w:divBdr>
                <w:top w:val="none" w:sz="0" w:space="0" w:color="auto"/>
                <w:left w:val="none" w:sz="0" w:space="0" w:color="auto"/>
                <w:bottom w:val="none" w:sz="0" w:space="0" w:color="auto"/>
                <w:right w:val="none" w:sz="0" w:space="0" w:color="auto"/>
              </w:divBdr>
              <w:divsChild>
                <w:div w:id="60588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320318">
      <w:bodyDiv w:val="1"/>
      <w:marLeft w:val="0"/>
      <w:marRight w:val="0"/>
      <w:marTop w:val="0"/>
      <w:marBottom w:val="0"/>
      <w:divBdr>
        <w:top w:val="none" w:sz="0" w:space="0" w:color="auto"/>
        <w:left w:val="none" w:sz="0" w:space="0" w:color="auto"/>
        <w:bottom w:val="none" w:sz="0" w:space="0" w:color="auto"/>
        <w:right w:val="none" w:sz="0" w:space="0" w:color="auto"/>
      </w:divBdr>
      <w:divsChild>
        <w:div w:id="289213329">
          <w:marLeft w:val="0"/>
          <w:marRight w:val="0"/>
          <w:marTop w:val="0"/>
          <w:marBottom w:val="0"/>
          <w:divBdr>
            <w:top w:val="none" w:sz="0" w:space="0" w:color="auto"/>
            <w:left w:val="none" w:sz="0" w:space="0" w:color="auto"/>
            <w:bottom w:val="none" w:sz="0" w:space="0" w:color="auto"/>
            <w:right w:val="none" w:sz="0" w:space="0" w:color="auto"/>
          </w:divBdr>
          <w:divsChild>
            <w:div w:id="26495438">
              <w:marLeft w:val="0"/>
              <w:marRight w:val="0"/>
              <w:marTop w:val="0"/>
              <w:marBottom w:val="0"/>
              <w:divBdr>
                <w:top w:val="none" w:sz="0" w:space="0" w:color="auto"/>
                <w:left w:val="none" w:sz="0" w:space="0" w:color="auto"/>
                <w:bottom w:val="none" w:sz="0" w:space="0" w:color="auto"/>
                <w:right w:val="none" w:sz="0" w:space="0" w:color="auto"/>
              </w:divBdr>
              <w:divsChild>
                <w:div w:id="1934436114">
                  <w:marLeft w:val="0"/>
                  <w:marRight w:val="0"/>
                  <w:marTop w:val="0"/>
                  <w:marBottom w:val="0"/>
                  <w:divBdr>
                    <w:top w:val="none" w:sz="0" w:space="0" w:color="auto"/>
                    <w:left w:val="none" w:sz="0" w:space="0" w:color="auto"/>
                    <w:bottom w:val="none" w:sz="0" w:space="0" w:color="auto"/>
                    <w:right w:val="none" w:sz="0" w:space="0" w:color="auto"/>
                  </w:divBdr>
                </w:div>
              </w:divsChild>
            </w:div>
            <w:div w:id="662314526">
              <w:marLeft w:val="0"/>
              <w:marRight w:val="0"/>
              <w:marTop w:val="0"/>
              <w:marBottom w:val="0"/>
              <w:divBdr>
                <w:top w:val="none" w:sz="0" w:space="0" w:color="auto"/>
                <w:left w:val="none" w:sz="0" w:space="0" w:color="auto"/>
                <w:bottom w:val="none" w:sz="0" w:space="0" w:color="auto"/>
                <w:right w:val="none" w:sz="0" w:space="0" w:color="auto"/>
              </w:divBdr>
              <w:divsChild>
                <w:div w:id="346756405">
                  <w:marLeft w:val="0"/>
                  <w:marRight w:val="0"/>
                  <w:marTop w:val="0"/>
                  <w:marBottom w:val="0"/>
                  <w:divBdr>
                    <w:top w:val="none" w:sz="0" w:space="0" w:color="auto"/>
                    <w:left w:val="none" w:sz="0" w:space="0" w:color="auto"/>
                    <w:bottom w:val="none" w:sz="0" w:space="0" w:color="auto"/>
                    <w:right w:val="none" w:sz="0" w:space="0" w:color="auto"/>
                  </w:divBdr>
                </w:div>
                <w:div w:id="1338729309">
                  <w:marLeft w:val="0"/>
                  <w:marRight w:val="0"/>
                  <w:marTop w:val="0"/>
                  <w:marBottom w:val="0"/>
                  <w:divBdr>
                    <w:top w:val="none" w:sz="0" w:space="0" w:color="auto"/>
                    <w:left w:val="none" w:sz="0" w:space="0" w:color="auto"/>
                    <w:bottom w:val="none" w:sz="0" w:space="0" w:color="auto"/>
                    <w:right w:val="none" w:sz="0" w:space="0" w:color="auto"/>
                  </w:divBdr>
                </w:div>
              </w:divsChild>
            </w:div>
            <w:div w:id="1395929828">
              <w:marLeft w:val="0"/>
              <w:marRight w:val="0"/>
              <w:marTop w:val="0"/>
              <w:marBottom w:val="0"/>
              <w:divBdr>
                <w:top w:val="none" w:sz="0" w:space="0" w:color="auto"/>
                <w:left w:val="none" w:sz="0" w:space="0" w:color="auto"/>
                <w:bottom w:val="none" w:sz="0" w:space="0" w:color="auto"/>
                <w:right w:val="none" w:sz="0" w:space="0" w:color="auto"/>
              </w:divBdr>
              <w:divsChild>
                <w:div w:id="56709675">
                  <w:marLeft w:val="0"/>
                  <w:marRight w:val="0"/>
                  <w:marTop w:val="0"/>
                  <w:marBottom w:val="0"/>
                  <w:divBdr>
                    <w:top w:val="none" w:sz="0" w:space="0" w:color="auto"/>
                    <w:left w:val="none" w:sz="0" w:space="0" w:color="auto"/>
                    <w:bottom w:val="none" w:sz="0" w:space="0" w:color="auto"/>
                    <w:right w:val="none" w:sz="0" w:space="0" w:color="auto"/>
                  </w:divBdr>
                </w:div>
              </w:divsChild>
            </w:div>
            <w:div w:id="1599867767">
              <w:marLeft w:val="0"/>
              <w:marRight w:val="0"/>
              <w:marTop w:val="0"/>
              <w:marBottom w:val="0"/>
              <w:divBdr>
                <w:top w:val="none" w:sz="0" w:space="0" w:color="auto"/>
                <w:left w:val="none" w:sz="0" w:space="0" w:color="auto"/>
                <w:bottom w:val="none" w:sz="0" w:space="0" w:color="auto"/>
                <w:right w:val="none" w:sz="0" w:space="0" w:color="auto"/>
              </w:divBdr>
              <w:divsChild>
                <w:div w:id="123149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033639">
      <w:bodyDiv w:val="1"/>
      <w:marLeft w:val="0"/>
      <w:marRight w:val="0"/>
      <w:marTop w:val="0"/>
      <w:marBottom w:val="0"/>
      <w:divBdr>
        <w:top w:val="none" w:sz="0" w:space="0" w:color="auto"/>
        <w:left w:val="none" w:sz="0" w:space="0" w:color="auto"/>
        <w:bottom w:val="none" w:sz="0" w:space="0" w:color="auto"/>
        <w:right w:val="none" w:sz="0" w:space="0" w:color="auto"/>
      </w:divBdr>
      <w:divsChild>
        <w:div w:id="1778941092">
          <w:marLeft w:val="0"/>
          <w:marRight w:val="0"/>
          <w:marTop w:val="0"/>
          <w:marBottom w:val="0"/>
          <w:divBdr>
            <w:top w:val="none" w:sz="0" w:space="0" w:color="auto"/>
            <w:left w:val="none" w:sz="0" w:space="0" w:color="auto"/>
            <w:bottom w:val="none" w:sz="0" w:space="0" w:color="auto"/>
            <w:right w:val="none" w:sz="0" w:space="0" w:color="auto"/>
          </w:divBdr>
          <w:divsChild>
            <w:div w:id="199711920">
              <w:marLeft w:val="0"/>
              <w:marRight w:val="0"/>
              <w:marTop w:val="0"/>
              <w:marBottom w:val="0"/>
              <w:divBdr>
                <w:top w:val="none" w:sz="0" w:space="0" w:color="auto"/>
                <w:left w:val="none" w:sz="0" w:space="0" w:color="auto"/>
                <w:bottom w:val="none" w:sz="0" w:space="0" w:color="auto"/>
                <w:right w:val="none" w:sz="0" w:space="0" w:color="auto"/>
              </w:divBdr>
              <w:divsChild>
                <w:div w:id="117014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676722">
      <w:bodyDiv w:val="1"/>
      <w:marLeft w:val="0"/>
      <w:marRight w:val="0"/>
      <w:marTop w:val="0"/>
      <w:marBottom w:val="0"/>
      <w:divBdr>
        <w:top w:val="none" w:sz="0" w:space="0" w:color="auto"/>
        <w:left w:val="none" w:sz="0" w:space="0" w:color="auto"/>
        <w:bottom w:val="none" w:sz="0" w:space="0" w:color="auto"/>
        <w:right w:val="none" w:sz="0" w:space="0" w:color="auto"/>
      </w:divBdr>
      <w:divsChild>
        <w:div w:id="1757628546">
          <w:marLeft w:val="0"/>
          <w:marRight w:val="0"/>
          <w:marTop w:val="0"/>
          <w:marBottom w:val="0"/>
          <w:divBdr>
            <w:top w:val="none" w:sz="0" w:space="0" w:color="auto"/>
            <w:left w:val="none" w:sz="0" w:space="0" w:color="auto"/>
            <w:bottom w:val="none" w:sz="0" w:space="0" w:color="auto"/>
            <w:right w:val="none" w:sz="0" w:space="0" w:color="auto"/>
          </w:divBdr>
          <w:divsChild>
            <w:div w:id="956834878">
              <w:marLeft w:val="0"/>
              <w:marRight w:val="0"/>
              <w:marTop w:val="0"/>
              <w:marBottom w:val="0"/>
              <w:divBdr>
                <w:top w:val="none" w:sz="0" w:space="0" w:color="auto"/>
                <w:left w:val="none" w:sz="0" w:space="0" w:color="auto"/>
                <w:bottom w:val="none" w:sz="0" w:space="0" w:color="auto"/>
                <w:right w:val="none" w:sz="0" w:space="0" w:color="auto"/>
              </w:divBdr>
              <w:divsChild>
                <w:div w:id="1437022123">
                  <w:marLeft w:val="0"/>
                  <w:marRight w:val="0"/>
                  <w:marTop w:val="0"/>
                  <w:marBottom w:val="0"/>
                  <w:divBdr>
                    <w:top w:val="none" w:sz="0" w:space="0" w:color="auto"/>
                    <w:left w:val="none" w:sz="0" w:space="0" w:color="auto"/>
                    <w:bottom w:val="none" w:sz="0" w:space="0" w:color="auto"/>
                    <w:right w:val="none" w:sz="0" w:space="0" w:color="auto"/>
                  </w:divBdr>
                  <w:divsChild>
                    <w:div w:id="93404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189221">
      <w:bodyDiv w:val="1"/>
      <w:marLeft w:val="0"/>
      <w:marRight w:val="0"/>
      <w:marTop w:val="0"/>
      <w:marBottom w:val="0"/>
      <w:divBdr>
        <w:top w:val="none" w:sz="0" w:space="0" w:color="auto"/>
        <w:left w:val="none" w:sz="0" w:space="0" w:color="auto"/>
        <w:bottom w:val="none" w:sz="0" w:space="0" w:color="auto"/>
        <w:right w:val="none" w:sz="0" w:space="0" w:color="auto"/>
      </w:divBdr>
    </w:div>
    <w:div w:id="1078988522">
      <w:bodyDiv w:val="1"/>
      <w:marLeft w:val="0"/>
      <w:marRight w:val="0"/>
      <w:marTop w:val="0"/>
      <w:marBottom w:val="0"/>
      <w:divBdr>
        <w:top w:val="none" w:sz="0" w:space="0" w:color="auto"/>
        <w:left w:val="none" w:sz="0" w:space="0" w:color="auto"/>
        <w:bottom w:val="none" w:sz="0" w:space="0" w:color="auto"/>
        <w:right w:val="none" w:sz="0" w:space="0" w:color="auto"/>
      </w:divBdr>
    </w:div>
    <w:div w:id="1105155602">
      <w:bodyDiv w:val="1"/>
      <w:marLeft w:val="0"/>
      <w:marRight w:val="0"/>
      <w:marTop w:val="0"/>
      <w:marBottom w:val="0"/>
      <w:divBdr>
        <w:top w:val="none" w:sz="0" w:space="0" w:color="auto"/>
        <w:left w:val="none" w:sz="0" w:space="0" w:color="auto"/>
        <w:bottom w:val="none" w:sz="0" w:space="0" w:color="auto"/>
        <w:right w:val="none" w:sz="0" w:space="0" w:color="auto"/>
      </w:divBdr>
      <w:divsChild>
        <w:div w:id="1014379715">
          <w:marLeft w:val="0"/>
          <w:marRight w:val="0"/>
          <w:marTop w:val="0"/>
          <w:marBottom w:val="0"/>
          <w:divBdr>
            <w:top w:val="none" w:sz="0" w:space="0" w:color="auto"/>
            <w:left w:val="none" w:sz="0" w:space="0" w:color="auto"/>
            <w:bottom w:val="none" w:sz="0" w:space="0" w:color="auto"/>
            <w:right w:val="none" w:sz="0" w:space="0" w:color="auto"/>
          </w:divBdr>
          <w:divsChild>
            <w:div w:id="95179213">
              <w:marLeft w:val="0"/>
              <w:marRight w:val="0"/>
              <w:marTop w:val="0"/>
              <w:marBottom w:val="0"/>
              <w:divBdr>
                <w:top w:val="none" w:sz="0" w:space="0" w:color="auto"/>
                <w:left w:val="none" w:sz="0" w:space="0" w:color="auto"/>
                <w:bottom w:val="none" w:sz="0" w:space="0" w:color="auto"/>
                <w:right w:val="none" w:sz="0" w:space="0" w:color="auto"/>
              </w:divBdr>
              <w:divsChild>
                <w:div w:id="1454641820">
                  <w:marLeft w:val="0"/>
                  <w:marRight w:val="0"/>
                  <w:marTop w:val="0"/>
                  <w:marBottom w:val="0"/>
                  <w:divBdr>
                    <w:top w:val="none" w:sz="0" w:space="0" w:color="auto"/>
                    <w:left w:val="none" w:sz="0" w:space="0" w:color="auto"/>
                    <w:bottom w:val="none" w:sz="0" w:space="0" w:color="auto"/>
                    <w:right w:val="none" w:sz="0" w:space="0" w:color="auto"/>
                  </w:divBdr>
                  <w:divsChild>
                    <w:div w:id="78173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672438">
      <w:bodyDiv w:val="1"/>
      <w:marLeft w:val="0"/>
      <w:marRight w:val="0"/>
      <w:marTop w:val="0"/>
      <w:marBottom w:val="0"/>
      <w:divBdr>
        <w:top w:val="none" w:sz="0" w:space="0" w:color="auto"/>
        <w:left w:val="none" w:sz="0" w:space="0" w:color="auto"/>
        <w:bottom w:val="none" w:sz="0" w:space="0" w:color="auto"/>
        <w:right w:val="none" w:sz="0" w:space="0" w:color="auto"/>
      </w:divBdr>
      <w:divsChild>
        <w:div w:id="2136949810">
          <w:marLeft w:val="0"/>
          <w:marRight w:val="0"/>
          <w:marTop w:val="0"/>
          <w:marBottom w:val="0"/>
          <w:divBdr>
            <w:top w:val="none" w:sz="0" w:space="0" w:color="auto"/>
            <w:left w:val="none" w:sz="0" w:space="0" w:color="auto"/>
            <w:bottom w:val="none" w:sz="0" w:space="0" w:color="auto"/>
            <w:right w:val="none" w:sz="0" w:space="0" w:color="auto"/>
          </w:divBdr>
          <w:divsChild>
            <w:div w:id="108018048">
              <w:marLeft w:val="0"/>
              <w:marRight w:val="0"/>
              <w:marTop w:val="0"/>
              <w:marBottom w:val="0"/>
              <w:divBdr>
                <w:top w:val="none" w:sz="0" w:space="0" w:color="auto"/>
                <w:left w:val="none" w:sz="0" w:space="0" w:color="auto"/>
                <w:bottom w:val="none" w:sz="0" w:space="0" w:color="auto"/>
                <w:right w:val="none" w:sz="0" w:space="0" w:color="auto"/>
              </w:divBdr>
              <w:divsChild>
                <w:div w:id="108799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715300">
      <w:bodyDiv w:val="1"/>
      <w:marLeft w:val="0"/>
      <w:marRight w:val="0"/>
      <w:marTop w:val="0"/>
      <w:marBottom w:val="0"/>
      <w:divBdr>
        <w:top w:val="none" w:sz="0" w:space="0" w:color="auto"/>
        <w:left w:val="none" w:sz="0" w:space="0" w:color="auto"/>
        <w:bottom w:val="none" w:sz="0" w:space="0" w:color="auto"/>
        <w:right w:val="none" w:sz="0" w:space="0" w:color="auto"/>
      </w:divBdr>
    </w:div>
    <w:div w:id="1156068130">
      <w:bodyDiv w:val="1"/>
      <w:marLeft w:val="0"/>
      <w:marRight w:val="0"/>
      <w:marTop w:val="0"/>
      <w:marBottom w:val="0"/>
      <w:divBdr>
        <w:top w:val="none" w:sz="0" w:space="0" w:color="auto"/>
        <w:left w:val="none" w:sz="0" w:space="0" w:color="auto"/>
        <w:bottom w:val="none" w:sz="0" w:space="0" w:color="auto"/>
        <w:right w:val="none" w:sz="0" w:space="0" w:color="auto"/>
      </w:divBdr>
    </w:div>
    <w:div w:id="1161386956">
      <w:bodyDiv w:val="1"/>
      <w:marLeft w:val="0"/>
      <w:marRight w:val="0"/>
      <w:marTop w:val="0"/>
      <w:marBottom w:val="0"/>
      <w:divBdr>
        <w:top w:val="none" w:sz="0" w:space="0" w:color="auto"/>
        <w:left w:val="none" w:sz="0" w:space="0" w:color="auto"/>
        <w:bottom w:val="none" w:sz="0" w:space="0" w:color="auto"/>
        <w:right w:val="none" w:sz="0" w:space="0" w:color="auto"/>
      </w:divBdr>
      <w:divsChild>
        <w:div w:id="301735536">
          <w:marLeft w:val="0"/>
          <w:marRight w:val="0"/>
          <w:marTop w:val="0"/>
          <w:marBottom w:val="0"/>
          <w:divBdr>
            <w:top w:val="none" w:sz="0" w:space="0" w:color="auto"/>
            <w:left w:val="none" w:sz="0" w:space="0" w:color="auto"/>
            <w:bottom w:val="none" w:sz="0" w:space="0" w:color="auto"/>
            <w:right w:val="none" w:sz="0" w:space="0" w:color="auto"/>
          </w:divBdr>
          <w:divsChild>
            <w:div w:id="1786776610">
              <w:marLeft w:val="0"/>
              <w:marRight w:val="0"/>
              <w:marTop w:val="0"/>
              <w:marBottom w:val="0"/>
              <w:divBdr>
                <w:top w:val="none" w:sz="0" w:space="0" w:color="auto"/>
                <w:left w:val="none" w:sz="0" w:space="0" w:color="auto"/>
                <w:bottom w:val="none" w:sz="0" w:space="0" w:color="auto"/>
                <w:right w:val="none" w:sz="0" w:space="0" w:color="auto"/>
              </w:divBdr>
              <w:divsChild>
                <w:div w:id="147869364">
                  <w:marLeft w:val="0"/>
                  <w:marRight w:val="0"/>
                  <w:marTop w:val="0"/>
                  <w:marBottom w:val="0"/>
                  <w:divBdr>
                    <w:top w:val="none" w:sz="0" w:space="0" w:color="auto"/>
                    <w:left w:val="none" w:sz="0" w:space="0" w:color="auto"/>
                    <w:bottom w:val="none" w:sz="0" w:space="0" w:color="auto"/>
                    <w:right w:val="none" w:sz="0" w:space="0" w:color="auto"/>
                  </w:divBdr>
                  <w:divsChild>
                    <w:div w:id="94361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400177">
      <w:bodyDiv w:val="1"/>
      <w:marLeft w:val="0"/>
      <w:marRight w:val="0"/>
      <w:marTop w:val="0"/>
      <w:marBottom w:val="0"/>
      <w:divBdr>
        <w:top w:val="none" w:sz="0" w:space="0" w:color="auto"/>
        <w:left w:val="none" w:sz="0" w:space="0" w:color="auto"/>
        <w:bottom w:val="none" w:sz="0" w:space="0" w:color="auto"/>
        <w:right w:val="none" w:sz="0" w:space="0" w:color="auto"/>
      </w:divBdr>
    </w:div>
    <w:div w:id="1184247184">
      <w:bodyDiv w:val="1"/>
      <w:marLeft w:val="0"/>
      <w:marRight w:val="0"/>
      <w:marTop w:val="0"/>
      <w:marBottom w:val="0"/>
      <w:divBdr>
        <w:top w:val="none" w:sz="0" w:space="0" w:color="auto"/>
        <w:left w:val="none" w:sz="0" w:space="0" w:color="auto"/>
        <w:bottom w:val="none" w:sz="0" w:space="0" w:color="auto"/>
        <w:right w:val="none" w:sz="0" w:space="0" w:color="auto"/>
      </w:divBdr>
      <w:divsChild>
        <w:div w:id="1424642829">
          <w:marLeft w:val="0"/>
          <w:marRight w:val="0"/>
          <w:marTop w:val="0"/>
          <w:marBottom w:val="0"/>
          <w:divBdr>
            <w:top w:val="none" w:sz="0" w:space="0" w:color="auto"/>
            <w:left w:val="none" w:sz="0" w:space="0" w:color="auto"/>
            <w:bottom w:val="none" w:sz="0" w:space="0" w:color="auto"/>
            <w:right w:val="none" w:sz="0" w:space="0" w:color="auto"/>
          </w:divBdr>
          <w:divsChild>
            <w:div w:id="1764521978">
              <w:marLeft w:val="0"/>
              <w:marRight w:val="0"/>
              <w:marTop w:val="0"/>
              <w:marBottom w:val="0"/>
              <w:divBdr>
                <w:top w:val="none" w:sz="0" w:space="0" w:color="auto"/>
                <w:left w:val="none" w:sz="0" w:space="0" w:color="auto"/>
                <w:bottom w:val="none" w:sz="0" w:space="0" w:color="auto"/>
                <w:right w:val="none" w:sz="0" w:space="0" w:color="auto"/>
              </w:divBdr>
              <w:divsChild>
                <w:div w:id="1877230486">
                  <w:marLeft w:val="0"/>
                  <w:marRight w:val="0"/>
                  <w:marTop w:val="0"/>
                  <w:marBottom w:val="0"/>
                  <w:divBdr>
                    <w:top w:val="none" w:sz="0" w:space="0" w:color="auto"/>
                    <w:left w:val="none" w:sz="0" w:space="0" w:color="auto"/>
                    <w:bottom w:val="none" w:sz="0" w:space="0" w:color="auto"/>
                    <w:right w:val="none" w:sz="0" w:space="0" w:color="auto"/>
                  </w:divBdr>
                  <w:divsChild>
                    <w:div w:id="54737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944013">
      <w:bodyDiv w:val="1"/>
      <w:marLeft w:val="0"/>
      <w:marRight w:val="0"/>
      <w:marTop w:val="0"/>
      <w:marBottom w:val="0"/>
      <w:divBdr>
        <w:top w:val="none" w:sz="0" w:space="0" w:color="auto"/>
        <w:left w:val="none" w:sz="0" w:space="0" w:color="auto"/>
        <w:bottom w:val="none" w:sz="0" w:space="0" w:color="auto"/>
        <w:right w:val="none" w:sz="0" w:space="0" w:color="auto"/>
      </w:divBdr>
    </w:div>
    <w:div w:id="1204096819">
      <w:bodyDiv w:val="1"/>
      <w:marLeft w:val="0"/>
      <w:marRight w:val="0"/>
      <w:marTop w:val="0"/>
      <w:marBottom w:val="0"/>
      <w:divBdr>
        <w:top w:val="none" w:sz="0" w:space="0" w:color="auto"/>
        <w:left w:val="none" w:sz="0" w:space="0" w:color="auto"/>
        <w:bottom w:val="none" w:sz="0" w:space="0" w:color="auto"/>
        <w:right w:val="none" w:sz="0" w:space="0" w:color="auto"/>
      </w:divBdr>
      <w:divsChild>
        <w:div w:id="1925719661">
          <w:marLeft w:val="0"/>
          <w:marRight w:val="0"/>
          <w:marTop w:val="0"/>
          <w:marBottom w:val="0"/>
          <w:divBdr>
            <w:top w:val="none" w:sz="0" w:space="0" w:color="auto"/>
            <w:left w:val="none" w:sz="0" w:space="0" w:color="auto"/>
            <w:bottom w:val="none" w:sz="0" w:space="0" w:color="auto"/>
            <w:right w:val="none" w:sz="0" w:space="0" w:color="auto"/>
          </w:divBdr>
          <w:divsChild>
            <w:div w:id="304748558">
              <w:marLeft w:val="0"/>
              <w:marRight w:val="0"/>
              <w:marTop w:val="0"/>
              <w:marBottom w:val="0"/>
              <w:divBdr>
                <w:top w:val="none" w:sz="0" w:space="0" w:color="auto"/>
                <w:left w:val="none" w:sz="0" w:space="0" w:color="auto"/>
                <w:bottom w:val="none" w:sz="0" w:space="0" w:color="auto"/>
                <w:right w:val="none" w:sz="0" w:space="0" w:color="auto"/>
              </w:divBdr>
              <w:divsChild>
                <w:div w:id="71809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903013">
      <w:bodyDiv w:val="1"/>
      <w:marLeft w:val="0"/>
      <w:marRight w:val="0"/>
      <w:marTop w:val="0"/>
      <w:marBottom w:val="0"/>
      <w:divBdr>
        <w:top w:val="none" w:sz="0" w:space="0" w:color="auto"/>
        <w:left w:val="none" w:sz="0" w:space="0" w:color="auto"/>
        <w:bottom w:val="none" w:sz="0" w:space="0" w:color="auto"/>
        <w:right w:val="none" w:sz="0" w:space="0" w:color="auto"/>
      </w:divBdr>
    </w:div>
    <w:div w:id="1252660984">
      <w:bodyDiv w:val="1"/>
      <w:marLeft w:val="0"/>
      <w:marRight w:val="0"/>
      <w:marTop w:val="0"/>
      <w:marBottom w:val="0"/>
      <w:divBdr>
        <w:top w:val="none" w:sz="0" w:space="0" w:color="auto"/>
        <w:left w:val="none" w:sz="0" w:space="0" w:color="auto"/>
        <w:bottom w:val="none" w:sz="0" w:space="0" w:color="auto"/>
        <w:right w:val="none" w:sz="0" w:space="0" w:color="auto"/>
      </w:divBdr>
    </w:div>
    <w:div w:id="1253273125">
      <w:bodyDiv w:val="1"/>
      <w:marLeft w:val="0"/>
      <w:marRight w:val="0"/>
      <w:marTop w:val="0"/>
      <w:marBottom w:val="0"/>
      <w:divBdr>
        <w:top w:val="none" w:sz="0" w:space="0" w:color="auto"/>
        <w:left w:val="none" w:sz="0" w:space="0" w:color="auto"/>
        <w:bottom w:val="none" w:sz="0" w:space="0" w:color="auto"/>
        <w:right w:val="none" w:sz="0" w:space="0" w:color="auto"/>
      </w:divBdr>
    </w:div>
    <w:div w:id="1270550803">
      <w:bodyDiv w:val="1"/>
      <w:marLeft w:val="0"/>
      <w:marRight w:val="0"/>
      <w:marTop w:val="0"/>
      <w:marBottom w:val="0"/>
      <w:divBdr>
        <w:top w:val="none" w:sz="0" w:space="0" w:color="auto"/>
        <w:left w:val="none" w:sz="0" w:space="0" w:color="auto"/>
        <w:bottom w:val="none" w:sz="0" w:space="0" w:color="auto"/>
        <w:right w:val="none" w:sz="0" w:space="0" w:color="auto"/>
      </w:divBdr>
    </w:div>
    <w:div w:id="1297683608">
      <w:bodyDiv w:val="1"/>
      <w:marLeft w:val="0"/>
      <w:marRight w:val="0"/>
      <w:marTop w:val="0"/>
      <w:marBottom w:val="0"/>
      <w:divBdr>
        <w:top w:val="none" w:sz="0" w:space="0" w:color="auto"/>
        <w:left w:val="none" w:sz="0" w:space="0" w:color="auto"/>
        <w:bottom w:val="none" w:sz="0" w:space="0" w:color="auto"/>
        <w:right w:val="none" w:sz="0" w:space="0" w:color="auto"/>
      </w:divBdr>
    </w:div>
    <w:div w:id="1312709022">
      <w:bodyDiv w:val="1"/>
      <w:marLeft w:val="0"/>
      <w:marRight w:val="0"/>
      <w:marTop w:val="0"/>
      <w:marBottom w:val="0"/>
      <w:divBdr>
        <w:top w:val="none" w:sz="0" w:space="0" w:color="auto"/>
        <w:left w:val="none" w:sz="0" w:space="0" w:color="auto"/>
        <w:bottom w:val="none" w:sz="0" w:space="0" w:color="auto"/>
        <w:right w:val="none" w:sz="0" w:space="0" w:color="auto"/>
      </w:divBdr>
      <w:divsChild>
        <w:div w:id="398872263">
          <w:marLeft w:val="0"/>
          <w:marRight w:val="0"/>
          <w:marTop w:val="0"/>
          <w:marBottom w:val="0"/>
          <w:divBdr>
            <w:top w:val="none" w:sz="0" w:space="0" w:color="auto"/>
            <w:left w:val="none" w:sz="0" w:space="0" w:color="auto"/>
            <w:bottom w:val="none" w:sz="0" w:space="0" w:color="auto"/>
            <w:right w:val="none" w:sz="0" w:space="0" w:color="auto"/>
          </w:divBdr>
          <w:divsChild>
            <w:div w:id="1713114527">
              <w:marLeft w:val="0"/>
              <w:marRight w:val="0"/>
              <w:marTop w:val="0"/>
              <w:marBottom w:val="0"/>
              <w:divBdr>
                <w:top w:val="none" w:sz="0" w:space="0" w:color="auto"/>
                <w:left w:val="none" w:sz="0" w:space="0" w:color="auto"/>
                <w:bottom w:val="none" w:sz="0" w:space="0" w:color="auto"/>
                <w:right w:val="none" w:sz="0" w:space="0" w:color="auto"/>
              </w:divBdr>
              <w:divsChild>
                <w:div w:id="139527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522255">
      <w:bodyDiv w:val="1"/>
      <w:marLeft w:val="0"/>
      <w:marRight w:val="0"/>
      <w:marTop w:val="0"/>
      <w:marBottom w:val="0"/>
      <w:divBdr>
        <w:top w:val="none" w:sz="0" w:space="0" w:color="auto"/>
        <w:left w:val="none" w:sz="0" w:space="0" w:color="auto"/>
        <w:bottom w:val="none" w:sz="0" w:space="0" w:color="auto"/>
        <w:right w:val="none" w:sz="0" w:space="0" w:color="auto"/>
      </w:divBdr>
    </w:div>
    <w:div w:id="1335259639">
      <w:bodyDiv w:val="1"/>
      <w:marLeft w:val="0"/>
      <w:marRight w:val="0"/>
      <w:marTop w:val="0"/>
      <w:marBottom w:val="0"/>
      <w:divBdr>
        <w:top w:val="none" w:sz="0" w:space="0" w:color="auto"/>
        <w:left w:val="none" w:sz="0" w:space="0" w:color="auto"/>
        <w:bottom w:val="none" w:sz="0" w:space="0" w:color="auto"/>
        <w:right w:val="none" w:sz="0" w:space="0" w:color="auto"/>
      </w:divBdr>
      <w:divsChild>
        <w:div w:id="1838303212">
          <w:marLeft w:val="0"/>
          <w:marRight w:val="0"/>
          <w:marTop w:val="0"/>
          <w:marBottom w:val="0"/>
          <w:divBdr>
            <w:top w:val="none" w:sz="0" w:space="0" w:color="auto"/>
            <w:left w:val="none" w:sz="0" w:space="0" w:color="auto"/>
            <w:bottom w:val="none" w:sz="0" w:space="0" w:color="auto"/>
            <w:right w:val="none" w:sz="0" w:space="0" w:color="auto"/>
          </w:divBdr>
          <w:divsChild>
            <w:div w:id="1827936667">
              <w:marLeft w:val="0"/>
              <w:marRight w:val="0"/>
              <w:marTop w:val="0"/>
              <w:marBottom w:val="0"/>
              <w:divBdr>
                <w:top w:val="none" w:sz="0" w:space="0" w:color="auto"/>
                <w:left w:val="none" w:sz="0" w:space="0" w:color="auto"/>
                <w:bottom w:val="none" w:sz="0" w:space="0" w:color="auto"/>
                <w:right w:val="none" w:sz="0" w:space="0" w:color="auto"/>
              </w:divBdr>
              <w:divsChild>
                <w:div w:id="2060587956">
                  <w:marLeft w:val="0"/>
                  <w:marRight w:val="0"/>
                  <w:marTop w:val="0"/>
                  <w:marBottom w:val="0"/>
                  <w:divBdr>
                    <w:top w:val="none" w:sz="0" w:space="0" w:color="auto"/>
                    <w:left w:val="none" w:sz="0" w:space="0" w:color="auto"/>
                    <w:bottom w:val="none" w:sz="0" w:space="0" w:color="auto"/>
                    <w:right w:val="none" w:sz="0" w:space="0" w:color="auto"/>
                  </w:divBdr>
                  <w:divsChild>
                    <w:div w:id="173777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671463">
      <w:bodyDiv w:val="1"/>
      <w:marLeft w:val="0"/>
      <w:marRight w:val="0"/>
      <w:marTop w:val="0"/>
      <w:marBottom w:val="0"/>
      <w:divBdr>
        <w:top w:val="none" w:sz="0" w:space="0" w:color="auto"/>
        <w:left w:val="none" w:sz="0" w:space="0" w:color="auto"/>
        <w:bottom w:val="none" w:sz="0" w:space="0" w:color="auto"/>
        <w:right w:val="none" w:sz="0" w:space="0" w:color="auto"/>
      </w:divBdr>
    </w:div>
    <w:div w:id="1349213952">
      <w:bodyDiv w:val="1"/>
      <w:marLeft w:val="0"/>
      <w:marRight w:val="0"/>
      <w:marTop w:val="0"/>
      <w:marBottom w:val="0"/>
      <w:divBdr>
        <w:top w:val="none" w:sz="0" w:space="0" w:color="auto"/>
        <w:left w:val="none" w:sz="0" w:space="0" w:color="auto"/>
        <w:bottom w:val="none" w:sz="0" w:space="0" w:color="auto"/>
        <w:right w:val="none" w:sz="0" w:space="0" w:color="auto"/>
      </w:divBdr>
      <w:divsChild>
        <w:div w:id="1010832287">
          <w:marLeft w:val="0"/>
          <w:marRight w:val="0"/>
          <w:marTop w:val="0"/>
          <w:marBottom w:val="0"/>
          <w:divBdr>
            <w:top w:val="none" w:sz="0" w:space="0" w:color="auto"/>
            <w:left w:val="none" w:sz="0" w:space="0" w:color="auto"/>
            <w:bottom w:val="none" w:sz="0" w:space="0" w:color="auto"/>
            <w:right w:val="none" w:sz="0" w:space="0" w:color="auto"/>
          </w:divBdr>
          <w:divsChild>
            <w:div w:id="1132944635">
              <w:marLeft w:val="0"/>
              <w:marRight w:val="0"/>
              <w:marTop w:val="0"/>
              <w:marBottom w:val="0"/>
              <w:divBdr>
                <w:top w:val="none" w:sz="0" w:space="0" w:color="auto"/>
                <w:left w:val="none" w:sz="0" w:space="0" w:color="auto"/>
                <w:bottom w:val="none" w:sz="0" w:space="0" w:color="auto"/>
                <w:right w:val="none" w:sz="0" w:space="0" w:color="auto"/>
              </w:divBdr>
              <w:divsChild>
                <w:div w:id="1467428192">
                  <w:marLeft w:val="0"/>
                  <w:marRight w:val="0"/>
                  <w:marTop w:val="0"/>
                  <w:marBottom w:val="0"/>
                  <w:divBdr>
                    <w:top w:val="none" w:sz="0" w:space="0" w:color="auto"/>
                    <w:left w:val="none" w:sz="0" w:space="0" w:color="auto"/>
                    <w:bottom w:val="none" w:sz="0" w:space="0" w:color="auto"/>
                    <w:right w:val="none" w:sz="0" w:space="0" w:color="auto"/>
                  </w:divBdr>
                  <w:divsChild>
                    <w:div w:id="104533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661443">
      <w:bodyDiv w:val="1"/>
      <w:marLeft w:val="0"/>
      <w:marRight w:val="0"/>
      <w:marTop w:val="0"/>
      <w:marBottom w:val="0"/>
      <w:divBdr>
        <w:top w:val="none" w:sz="0" w:space="0" w:color="auto"/>
        <w:left w:val="none" w:sz="0" w:space="0" w:color="auto"/>
        <w:bottom w:val="none" w:sz="0" w:space="0" w:color="auto"/>
        <w:right w:val="none" w:sz="0" w:space="0" w:color="auto"/>
      </w:divBdr>
      <w:divsChild>
        <w:div w:id="231082864">
          <w:marLeft w:val="0"/>
          <w:marRight w:val="0"/>
          <w:marTop w:val="0"/>
          <w:marBottom w:val="0"/>
          <w:divBdr>
            <w:top w:val="none" w:sz="0" w:space="0" w:color="auto"/>
            <w:left w:val="none" w:sz="0" w:space="0" w:color="auto"/>
            <w:bottom w:val="none" w:sz="0" w:space="0" w:color="auto"/>
            <w:right w:val="none" w:sz="0" w:space="0" w:color="auto"/>
          </w:divBdr>
          <w:divsChild>
            <w:div w:id="1511292650">
              <w:marLeft w:val="0"/>
              <w:marRight w:val="0"/>
              <w:marTop w:val="0"/>
              <w:marBottom w:val="0"/>
              <w:divBdr>
                <w:top w:val="none" w:sz="0" w:space="0" w:color="auto"/>
                <w:left w:val="none" w:sz="0" w:space="0" w:color="auto"/>
                <w:bottom w:val="none" w:sz="0" w:space="0" w:color="auto"/>
                <w:right w:val="none" w:sz="0" w:space="0" w:color="auto"/>
              </w:divBdr>
              <w:divsChild>
                <w:div w:id="1193693732">
                  <w:marLeft w:val="0"/>
                  <w:marRight w:val="0"/>
                  <w:marTop w:val="0"/>
                  <w:marBottom w:val="0"/>
                  <w:divBdr>
                    <w:top w:val="none" w:sz="0" w:space="0" w:color="auto"/>
                    <w:left w:val="none" w:sz="0" w:space="0" w:color="auto"/>
                    <w:bottom w:val="none" w:sz="0" w:space="0" w:color="auto"/>
                    <w:right w:val="none" w:sz="0" w:space="0" w:color="auto"/>
                  </w:divBdr>
                  <w:divsChild>
                    <w:div w:id="129921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269040">
      <w:bodyDiv w:val="1"/>
      <w:marLeft w:val="0"/>
      <w:marRight w:val="0"/>
      <w:marTop w:val="0"/>
      <w:marBottom w:val="0"/>
      <w:divBdr>
        <w:top w:val="none" w:sz="0" w:space="0" w:color="auto"/>
        <w:left w:val="none" w:sz="0" w:space="0" w:color="auto"/>
        <w:bottom w:val="none" w:sz="0" w:space="0" w:color="auto"/>
        <w:right w:val="none" w:sz="0" w:space="0" w:color="auto"/>
      </w:divBdr>
    </w:div>
    <w:div w:id="1396396342">
      <w:bodyDiv w:val="1"/>
      <w:marLeft w:val="0"/>
      <w:marRight w:val="0"/>
      <w:marTop w:val="0"/>
      <w:marBottom w:val="0"/>
      <w:divBdr>
        <w:top w:val="none" w:sz="0" w:space="0" w:color="auto"/>
        <w:left w:val="none" w:sz="0" w:space="0" w:color="auto"/>
        <w:bottom w:val="none" w:sz="0" w:space="0" w:color="auto"/>
        <w:right w:val="none" w:sz="0" w:space="0" w:color="auto"/>
      </w:divBdr>
    </w:div>
    <w:div w:id="1399481234">
      <w:bodyDiv w:val="1"/>
      <w:marLeft w:val="0"/>
      <w:marRight w:val="0"/>
      <w:marTop w:val="0"/>
      <w:marBottom w:val="0"/>
      <w:divBdr>
        <w:top w:val="none" w:sz="0" w:space="0" w:color="auto"/>
        <w:left w:val="none" w:sz="0" w:space="0" w:color="auto"/>
        <w:bottom w:val="none" w:sz="0" w:space="0" w:color="auto"/>
        <w:right w:val="none" w:sz="0" w:space="0" w:color="auto"/>
      </w:divBdr>
    </w:div>
    <w:div w:id="1406486396">
      <w:bodyDiv w:val="1"/>
      <w:marLeft w:val="0"/>
      <w:marRight w:val="0"/>
      <w:marTop w:val="0"/>
      <w:marBottom w:val="0"/>
      <w:divBdr>
        <w:top w:val="none" w:sz="0" w:space="0" w:color="auto"/>
        <w:left w:val="none" w:sz="0" w:space="0" w:color="auto"/>
        <w:bottom w:val="none" w:sz="0" w:space="0" w:color="auto"/>
        <w:right w:val="none" w:sz="0" w:space="0" w:color="auto"/>
      </w:divBdr>
      <w:divsChild>
        <w:div w:id="1174881524">
          <w:marLeft w:val="0"/>
          <w:marRight w:val="0"/>
          <w:marTop w:val="0"/>
          <w:marBottom w:val="0"/>
          <w:divBdr>
            <w:top w:val="none" w:sz="0" w:space="0" w:color="auto"/>
            <w:left w:val="none" w:sz="0" w:space="0" w:color="auto"/>
            <w:bottom w:val="none" w:sz="0" w:space="0" w:color="auto"/>
            <w:right w:val="none" w:sz="0" w:space="0" w:color="auto"/>
          </w:divBdr>
          <w:divsChild>
            <w:div w:id="626736157">
              <w:marLeft w:val="0"/>
              <w:marRight w:val="0"/>
              <w:marTop w:val="0"/>
              <w:marBottom w:val="0"/>
              <w:divBdr>
                <w:top w:val="none" w:sz="0" w:space="0" w:color="auto"/>
                <w:left w:val="none" w:sz="0" w:space="0" w:color="auto"/>
                <w:bottom w:val="none" w:sz="0" w:space="0" w:color="auto"/>
                <w:right w:val="none" w:sz="0" w:space="0" w:color="auto"/>
              </w:divBdr>
              <w:divsChild>
                <w:div w:id="81101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925183">
      <w:bodyDiv w:val="1"/>
      <w:marLeft w:val="0"/>
      <w:marRight w:val="0"/>
      <w:marTop w:val="0"/>
      <w:marBottom w:val="0"/>
      <w:divBdr>
        <w:top w:val="none" w:sz="0" w:space="0" w:color="auto"/>
        <w:left w:val="none" w:sz="0" w:space="0" w:color="auto"/>
        <w:bottom w:val="none" w:sz="0" w:space="0" w:color="auto"/>
        <w:right w:val="none" w:sz="0" w:space="0" w:color="auto"/>
      </w:divBdr>
    </w:div>
    <w:div w:id="1439988260">
      <w:bodyDiv w:val="1"/>
      <w:marLeft w:val="0"/>
      <w:marRight w:val="0"/>
      <w:marTop w:val="0"/>
      <w:marBottom w:val="0"/>
      <w:divBdr>
        <w:top w:val="none" w:sz="0" w:space="0" w:color="auto"/>
        <w:left w:val="none" w:sz="0" w:space="0" w:color="auto"/>
        <w:bottom w:val="none" w:sz="0" w:space="0" w:color="auto"/>
        <w:right w:val="none" w:sz="0" w:space="0" w:color="auto"/>
      </w:divBdr>
    </w:div>
    <w:div w:id="1452944594">
      <w:bodyDiv w:val="1"/>
      <w:marLeft w:val="0"/>
      <w:marRight w:val="0"/>
      <w:marTop w:val="0"/>
      <w:marBottom w:val="0"/>
      <w:divBdr>
        <w:top w:val="none" w:sz="0" w:space="0" w:color="auto"/>
        <w:left w:val="none" w:sz="0" w:space="0" w:color="auto"/>
        <w:bottom w:val="none" w:sz="0" w:space="0" w:color="auto"/>
        <w:right w:val="none" w:sz="0" w:space="0" w:color="auto"/>
      </w:divBdr>
    </w:div>
    <w:div w:id="1462113292">
      <w:bodyDiv w:val="1"/>
      <w:marLeft w:val="0"/>
      <w:marRight w:val="0"/>
      <w:marTop w:val="0"/>
      <w:marBottom w:val="0"/>
      <w:divBdr>
        <w:top w:val="none" w:sz="0" w:space="0" w:color="auto"/>
        <w:left w:val="none" w:sz="0" w:space="0" w:color="auto"/>
        <w:bottom w:val="none" w:sz="0" w:space="0" w:color="auto"/>
        <w:right w:val="none" w:sz="0" w:space="0" w:color="auto"/>
      </w:divBdr>
    </w:div>
    <w:div w:id="1465931982">
      <w:bodyDiv w:val="1"/>
      <w:marLeft w:val="0"/>
      <w:marRight w:val="0"/>
      <w:marTop w:val="0"/>
      <w:marBottom w:val="0"/>
      <w:divBdr>
        <w:top w:val="none" w:sz="0" w:space="0" w:color="auto"/>
        <w:left w:val="none" w:sz="0" w:space="0" w:color="auto"/>
        <w:bottom w:val="none" w:sz="0" w:space="0" w:color="auto"/>
        <w:right w:val="none" w:sz="0" w:space="0" w:color="auto"/>
      </w:divBdr>
    </w:div>
    <w:div w:id="1468012792">
      <w:bodyDiv w:val="1"/>
      <w:marLeft w:val="0"/>
      <w:marRight w:val="0"/>
      <w:marTop w:val="0"/>
      <w:marBottom w:val="0"/>
      <w:divBdr>
        <w:top w:val="none" w:sz="0" w:space="0" w:color="auto"/>
        <w:left w:val="none" w:sz="0" w:space="0" w:color="auto"/>
        <w:bottom w:val="none" w:sz="0" w:space="0" w:color="auto"/>
        <w:right w:val="none" w:sz="0" w:space="0" w:color="auto"/>
      </w:divBdr>
      <w:divsChild>
        <w:div w:id="18551344">
          <w:marLeft w:val="0"/>
          <w:marRight w:val="0"/>
          <w:marTop w:val="0"/>
          <w:marBottom w:val="0"/>
          <w:divBdr>
            <w:top w:val="none" w:sz="0" w:space="0" w:color="auto"/>
            <w:left w:val="none" w:sz="0" w:space="0" w:color="auto"/>
            <w:bottom w:val="none" w:sz="0" w:space="0" w:color="auto"/>
            <w:right w:val="none" w:sz="0" w:space="0" w:color="auto"/>
          </w:divBdr>
          <w:divsChild>
            <w:div w:id="980383132">
              <w:marLeft w:val="0"/>
              <w:marRight w:val="0"/>
              <w:marTop w:val="0"/>
              <w:marBottom w:val="0"/>
              <w:divBdr>
                <w:top w:val="none" w:sz="0" w:space="0" w:color="auto"/>
                <w:left w:val="none" w:sz="0" w:space="0" w:color="auto"/>
                <w:bottom w:val="none" w:sz="0" w:space="0" w:color="auto"/>
                <w:right w:val="none" w:sz="0" w:space="0" w:color="auto"/>
              </w:divBdr>
              <w:divsChild>
                <w:div w:id="16745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121711">
      <w:bodyDiv w:val="1"/>
      <w:marLeft w:val="0"/>
      <w:marRight w:val="0"/>
      <w:marTop w:val="0"/>
      <w:marBottom w:val="0"/>
      <w:divBdr>
        <w:top w:val="none" w:sz="0" w:space="0" w:color="auto"/>
        <w:left w:val="none" w:sz="0" w:space="0" w:color="auto"/>
        <w:bottom w:val="none" w:sz="0" w:space="0" w:color="auto"/>
        <w:right w:val="none" w:sz="0" w:space="0" w:color="auto"/>
      </w:divBdr>
      <w:divsChild>
        <w:div w:id="1837499208">
          <w:marLeft w:val="0"/>
          <w:marRight w:val="0"/>
          <w:marTop w:val="0"/>
          <w:marBottom w:val="0"/>
          <w:divBdr>
            <w:top w:val="none" w:sz="0" w:space="0" w:color="auto"/>
            <w:left w:val="none" w:sz="0" w:space="0" w:color="auto"/>
            <w:bottom w:val="none" w:sz="0" w:space="0" w:color="auto"/>
            <w:right w:val="none" w:sz="0" w:space="0" w:color="auto"/>
          </w:divBdr>
          <w:divsChild>
            <w:div w:id="265701190">
              <w:marLeft w:val="0"/>
              <w:marRight w:val="0"/>
              <w:marTop w:val="0"/>
              <w:marBottom w:val="0"/>
              <w:divBdr>
                <w:top w:val="none" w:sz="0" w:space="0" w:color="auto"/>
                <w:left w:val="none" w:sz="0" w:space="0" w:color="auto"/>
                <w:bottom w:val="none" w:sz="0" w:space="0" w:color="auto"/>
                <w:right w:val="none" w:sz="0" w:space="0" w:color="auto"/>
              </w:divBdr>
              <w:divsChild>
                <w:div w:id="997539077">
                  <w:marLeft w:val="0"/>
                  <w:marRight w:val="0"/>
                  <w:marTop w:val="0"/>
                  <w:marBottom w:val="0"/>
                  <w:divBdr>
                    <w:top w:val="none" w:sz="0" w:space="0" w:color="auto"/>
                    <w:left w:val="none" w:sz="0" w:space="0" w:color="auto"/>
                    <w:bottom w:val="none" w:sz="0" w:space="0" w:color="auto"/>
                    <w:right w:val="none" w:sz="0" w:space="0" w:color="auto"/>
                  </w:divBdr>
                  <w:divsChild>
                    <w:div w:id="174282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783685">
      <w:bodyDiv w:val="1"/>
      <w:marLeft w:val="0"/>
      <w:marRight w:val="0"/>
      <w:marTop w:val="0"/>
      <w:marBottom w:val="0"/>
      <w:divBdr>
        <w:top w:val="none" w:sz="0" w:space="0" w:color="auto"/>
        <w:left w:val="none" w:sz="0" w:space="0" w:color="auto"/>
        <w:bottom w:val="none" w:sz="0" w:space="0" w:color="auto"/>
        <w:right w:val="none" w:sz="0" w:space="0" w:color="auto"/>
      </w:divBdr>
      <w:divsChild>
        <w:div w:id="1429235084">
          <w:marLeft w:val="0"/>
          <w:marRight w:val="0"/>
          <w:marTop w:val="0"/>
          <w:marBottom w:val="0"/>
          <w:divBdr>
            <w:top w:val="none" w:sz="0" w:space="0" w:color="auto"/>
            <w:left w:val="none" w:sz="0" w:space="0" w:color="auto"/>
            <w:bottom w:val="none" w:sz="0" w:space="0" w:color="auto"/>
            <w:right w:val="none" w:sz="0" w:space="0" w:color="auto"/>
          </w:divBdr>
          <w:divsChild>
            <w:div w:id="895358966">
              <w:marLeft w:val="0"/>
              <w:marRight w:val="0"/>
              <w:marTop w:val="0"/>
              <w:marBottom w:val="0"/>
              <w:divBdr>
                <w:top w:val="none" w:sz="0" w:space="0" w:color="auto"/>
                <w:left w:val="none" w:sz="0" w:space="0" w:color="auto"/>
                <w:bottom w:val="none" w:sz="0" w:space="0" w:color="auto"/>
                <w:right w:val="none" w:sz="0" w:space="0" w:color="auto"/>
              </w:divBdr>
              <w:divsChild>
                <w:div w:id="1230727737">
                  <w:marLeft w:val="0"/>
                  <w:marRight w:val="0"/>
                  <w:marTop w:val="0"/>
                  <w:marBottom w:val="0"/>
                  <w:divBdr>
                    <w:top w:val="none" w:sz="0" w:space="0" w:color="auto"/>
                    <w:left w:val="none" w:sz="0" w:space="0" w:color="auto"/>
                    <w:bottom w:val="none" w:sz="0" w:space="0" w:color="auto"/>
                    <w:right w:val="none" w:sz="0" w:space="0" w:color="auto"/>
                  </w:divBdr>
                  <w:divsChild>
                    <w:div w:id="207369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237148">
      <w:bodyDiv w:val="1"/>
      <w:marLeft w:val="0"/>
      <w:marRight w:val="0"/>
      <w:marTop w:val="0"/>
      <w:marBottom w:val="0"/>
      <w:divBdr>
        <w:top w:val="none" w:sz="0" w:space="0" w:color="auto"/>
        <w:left w:val="none" w:sz="0" w:space="0" w:color="auto"/>
        <w:bottom w:val="none" w:sz="0" w:space="0" w:color="auto"/>
        <w:right w:val="none" w:sz="0" w:space="0" w:color="auto"/>
      </w:divBdr>
    </w:div>
    <w:div w:id="1506096841">
      <w:bodyDiv w:val="1"/>
      <w:marLeft w:val="0"/>
      <w:marRight w:val="0"/>
      <w:marTop w:val="0"/>
      <w:marBottom w:val="0"/>
      <w:divBdr>
        <w:top w:val="none" w:sz="0" w:space="0" w:color="auto"/>
        <w:left w:val="none" w:sz="0" w:space="0" w:color="auto"/>
        <w:bottom w:val="none" w:sz="0" w:space="0" w:color="auto"/>
        <w:right w:val="none" w:sz="0" w:space="0" w:color="auto"/>
      </w:divBdr>
      <w:divsChild>
        <w:div w:id="1735351275">
          <w:marLeft w:val="0"/>
          <w:marRight w:val="0"/>
          <w:marTop w:val="0"/>
          <w:marBottom w:val="0"/>
          <w:divBdr>
            <w:top w:val="none" w:sz="0" w:space="0" w:color="auto"/>
            <w:left w:val="none" w:sz="0" w:space="0" w:color="auto"/>
            <w:bottom w:val="none" w:sz="0" w:space="0" w:color="auto"/>
            <w:right w:val="none" w:sz="0" w:space="0" w:color="auto"/>
          </w:divBdr>
          <w:divsChild>
            <w:div w:id="217130216">
              <w:marLeft w:val="0"/>
              <w:marRight w:val="0"/>
              <w:marTop w:val="0"/>
              <w:marBottom w:val="0"/>
              <w:divBdr>
                <w:top w:val="none" w:sz="0" w:space="0" w:color="auto"/>
                <w:left w:val="none" w:sz="0" w:space="0" w:color="auto"/>
                <w:bottom w:val="none" w:sz="0" w:space="0" w:color="auto"/>
                <w:right w:val="none" w:sz="0" w:space="0" w:color="auto"/>
              </w:divBdr>
              <w:divsChild>
                <w:div w:id="77891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099007">
      <w:bodyDiv w:val="1"/>
      <w:marLeft w:val="0"/>
      <w:marRight w:val="0"/>
      <w:marTop w:val="0"/>
      <w:marBottom w:val="0"/>
      <w:divBdr>
        <w:top w:val="none" w:sz="0" w:space="0" w:color="auto"/>
        <w:left w:val="none" w:sz="0" w:space="0" w:color="auto"/>
        <w:bottom w:val="none" w:sz="0" w:space="0" w:color="auto"/>
        <w:right w:val="none" w:sz="0" w:space="0" w:color="auto"/>
      </w:divBdr>
    </w:div>
    <w:div w:id="1516338457">
      <w:bodyDiv w:val="1"/>
      <w:marLeft w:val="0"/>
      <w:marRight w:val="0"/>
      <w:marTop w:val="0"/>
      <w:marBottom w:val="0"/>
      <w:divBdr>
        <w:top w:val="none" w:sz="0" w:space="0" w:color="auto"/>
        <w:left w:val="none" w:sz="0" w:space="0" w:color="auto"/>
        <w:bottom w:val="none" w:sz="0" w:space="0" w:color="auto"/>
        <w:right w:val="none" w:sz="0" w:space="0" w:color="auto"/>
      </w:divBdr>
    </w:div>
    <w:div w:id="1519272914">
      <w:bodyDiv w:val="1"/>
      <w:marLeft w:val="0"/>
      <w:marRight w:val="0"/>
      <w:marTop w:val="0"/>
      <w:marBottom w:val="0"/>
      <w:divBdr>
        <w:top w:val="none" w:sz="0" w:space="0" w:color="auto"/>
        <w:left w:val="none" w:sz="0" w:space="0" w:color="auto"/>
        <w:bottom w:val="none" w:sz="0" w:space="0" w:color="auto"/>
        <w:right w:val="none" w:sz="0" w:space="0" w:color="auto"/>
      </w:divBdr>
      <w:divsChild>
        <w:div w:id="1200240529">
          <w:marLeft w:val="0"/>
          <w:marRight w:val="0"/>
          <w:marTop w:val="0"/>
          <w:marBottom w:val="0"/>
          <w:divBdr>
            <w:top w:val="none" w:sz="0" w:space="0" w:color="auto"/>
            <w:left w:val="none" w:sz="0" w:space="0" w:color="auto"/>
            <w:bottom w:val="none" w:sz="0" w:space="0" w:color="auto"/>
            <w:right w:val="none" w:sz="0" w:space="0" w:color="auto"/>
          </w:divBdr>
          <w:divsChild>
            <w:div w:id="310525908">
              <w:marLeft w:val="0"/>
              <w:marRight w:val="0"/>
              <w:marTop w:val="0"/>
              <w:marBottom w:val="0"/>
              <w:divBdr>
                <w:top w:val="none" w:sz="0" w:space="0" w:color="auto"/>
                <w:left w:val="none" w:sz="0" w:space="0" w:color="auto"/>
                <w:bottom w:val="none" w:sz="0" w:space="0" w:color="auto"/>
                <w:right w:val="none" w:sz="0" w:space="0" w:color="auto"/>
              </w:divBdr>
              <w:divsChild>
                <w:div w:id="1443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665577">
      <w:bodyDiv w:val="1"/>
      <w:marLeft w:val="0"/>
      <w:marRight w:val="0"/>
      <w:marTop w:val="0"/>
      <w:marBottom w:val="0"/>
      <w:divBdr>
        <w:top w:val="none" w:sz="0" w:space="0" w:color="auto"/>
        <w:left w:val="none" w:sz="0" w:space="0" w:color="auto"/>
        <w:bottom w:val="none" w:sz="0" w:space="0" w:color="auto"/>
        <w:right w:val="none" w:sz="0" w:space="0" w:color="auto"/>
      </w:divBdr>
      <w:divsChild>
        <w:div w:id="396513681">
          <w:marLeft w:val="0"/>
          <w:marRight w:val="0"/>
          <w:marTop w:val="0"/>
          <w:marBottom w:val="0"/>
          <w:divBdr>
            <w:top w:val="none" w:sz="0" w:space="0" w:color="auto"/>
            <w:left w:val="none" w:sz="0" w:space="0" w:color="auto"/>
            <w:bottom w:val="none" w:sz="0" w:space="0" w:color="auto"/>
            <w:right w:val="none" w:sz="0" w:space="0" w:color="auto"/>
          </w:divBdr>
          <w:divsChild>
            <w:div w:id="1939290850">
              <w:marLeft w:val="0"/>
              <w:marRight w:val="0"/>
              <w:marTop w:val="0"/>
              <w:marBottom w:val="0"/>
              <w:divBdr>
                <w:top w:val="none" w:sz="0" w:space="0" w:color="auto"/>
                <w:left w:val="none" w:sz="0" w:space="0" w:color="auto"/>
                <w:bottom w:val="none" w:sz="0" w:space="0" w:color="auto"/>
                <w:right w:val="none" w:sz="0" w:space="0" w:color="auto"/>
              </w:divBdr>
              <w:divsChild>
                <w:div w:id="96287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295290">
      <w:bodyDiv w:val="1"/>
      <w:marLeft w:val="0"/>
      <w:marRight w:val="0"/>
      <w:marTop w:val="0"/>
      <w:marBottom w:val="0"/>
      <w:divBdr>
        <w:top w:val="none" w:sz="0" w:space="0" w:color="auto"/>
        <w:left w:val="none" w:sz="0" w:space="0" w:color="auto"/>
        <w:bottom w:val="none" w:sz="0" w:space="0" w:color="auto"/>
        <w:right w:val="none" w:sz="0" w:space="0" w:color="auto"/>
      </w:divBdr>
    </w:div>
    <w:div w:id="1545408174">
      <w:bodyDiv w:val="1"/>
      <w:marLeft w:val="0"/>
      <w:marRight w:val="0"/>
      <w:marTop w:val="0"/>
      <w:marBottom w:val="0"/>
      <w:divBdr>
        <w:top w:val="none" w:sz="0" w:space="0" w:color="auto"/>
        <w:left w:val="none" w:sz="0" w:space="0" w:color="auto"/>
        <w:bottom w:val="none" w:sz="0" w:space="0" w:color="auto"/>
        <w:right w:val="none" w:sz="0" w:space="0" w:color="auto"/>
      </w:divBdr>
      <w:divsChild>
        <w:div w:id="383408173">
          <w:marLeft w:val="0"/>
          <w:marRight w:val="0"/>
          <w:marTop w:val="0"/>
          <w:marBottom w:val="0"/>
          <w:divBdr>
            <w:top w:val="none" w:sz="0" w:space="0" w:color="auto"/>
            <w:left w:val="none" w:sz="0" w:space="0" w:color="auto"/>
            <w:bottom w:val="none" w:sz="0" w:space="0" w:color="auto"/>
            <w:right w:val="none" w:sz="0" w:space="0" w:color="auto"/>
          </w:divBdr>
          <w:divsChild>
            <w:div w:id="285628219">
              <w:marLeft w:val="0"/>
              <w:marRight w:val="0"/>
              <w:marTop w:val="0"/>
              <w:marBottom w:val="0"/>
              <w:divBdr>
                <w:top w:val="none" w:sz="0" w:space="0" w:color="auto"/>
                <w:left w:val="none" w:sz="0" w:space="0" w:color="auto"/>
                <w:bottom w:val="none" w:sz="0" w:space="0" w:color="auto"/>
                <w:right w:val="none" w:sz="0" w:space="0" w:color="auto"/>
              </w:divBdr>
              <w:divsChild>
                <w:div w:id="1407460351">
                  <w:marLeft w:val="0"/>
                  <w:marRight w:val="0"/>
                  <w:marTop w:val="0"/>
                  <w:marBottom w:val="0"/>
                  <w:divBdr>
                    <w:top w:val="none" w:sz="0" w:space="0" w:color="auto"/>
                    <w:left w:val="none" w:sz="0" w:space="0" w:color="auto"/>
                    <w:bottom w:val="none" w:sz="0" w:space="0" w:color="auto"/>
                    <w:right w:val="none" w:sz="0" w:space="0" w:color="auto"/>
                  </w:divBdr>
                  <w:divsChild>
                    <w:div w:id="1709530588">
                      <w:marLeft w:val="0"/>
                      <w:marRight w:val="0"/>
                      <w:marTop w:val="0"/>
                      <w:marBottom w:val="0"/>
                      <w:divBdr>
                        <w:top w:val="none" w:sz="0" w:space="0" w:color="auto"/>
                        <w:left w:val="none" w:sz="0" w:space="0" w:color="auto"/>
                        <w:bottom w:val="none" w:sz="0" w:space="0" w:color="auto"/>
                        <w:right w:val="none" w:sz="0" w:space="0" w:color="auto"/>
                      </w:divBdr>
                    </w:div>
                    <w:div w:id="208190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848895">
      <w:bodyDiv w:val="1"/>
      <w:marLeft w:val="0"/>
      <w:marRight w:val="0"/>
      <w:marTop w:val="0"/>
      <w:marBottom w:val="0"/>
      <w:divBdr>
        <w:top w:val="none" w:sz="0" w:space="0" w:color="auto"/>
        <w:left w:val="none" w:sz="0" w:space="0" w:color="auto"/>
        <w:bottom w:val="none" w:sz="0" w:space="0" w:color="auto"/>
        <w:right w:val="none" w:sz="0" w:space="0" w:color="auto"/>
      </w:divBdr>
    </w:div>
    <w:div w:id="1555199446">
      <w:bodyDiv w:val="1"/>
      <w:marLeft w:val="0"/>
      <w:marRight w:val="0"/>
      <w:marTop w:val="0"/>
      <w:marBottom w:val="0"/>
      <w:divBdr>
        <w:top w:val="none" w:sz="0" w:space="0" w:color="auto"/>
        <w:left w:val="none" w:sz="0" w:space="0" w:color="auto"/>
        <w:bottom w:val="none" w:sz="0" w:space="0" w:color="auto"/>
        <w:right w:val="none" w:sz="0" w:space="0" w:color="auto"/>
      </w:divBdr>
    </w:div>
    <w:div w:id="1557469872">
      <w:bodyDiv w:val="1"/>
      <w:marLeft w:val="0"/>
      <w:marRight w:val="0"/>
      <w:marTop w:val="0"/>
      <w:marBottom w:val="0"/>
      <w:divBdr>
        <w:top w:val="none" w:sz="0" w:space="0" w:color="auto"/>
        <w:left w:val="none" w:sz="0" w:space="0" w:color="auto"/>
        <w:bottom w:val="none" w:sz="0" w:space="0" w:color="auto"/>
        <w:right w:val="none" w:sz="0" w:space="0" w:color="auto"/>
      </w:divBdr>
      <w:divsChild>
        <w:div w:id="818500780">
          <w:marLeft w:val="0"/>
          <w:marRight w:val="0"/>
          <w:marTop w:val="0"/>
          <w:marBottom w:val="0"/>
          <w:divBdr>
            <w:top w:val="none" w:sz="0" w:space="0" w:color="auto"/>
            <w:left w:val="none" w:sz="0" w:space="0" w:color="auto"/>
            <w:bottom w:val="none" w:sz="0" w:space="0" w:color="auto"/>
            <w:right w:val="none" w:sz="0" w:space="0" w:color="auto"/>
          </w:divBdr>
          <w:divsChild>
            <w:div w:id="1191070133">
              <w:marLeft w:val="0"/>
              <w:marRight w:val="0"/>
              <w:marTop w:val="0"/>
              <w:marBottom w:val="0"/>
              <w:divBdr>
                <w:top w:val="none" w:sz="0" w:space="0" w:color="auto"/>
                <w:left w:val="none" w:sz="0" w:space="0" w:color="auto"/>
                <w:bottom w:val="none" w:sz="0" w:space="0" w:color="auto"/>
                <w:right w:val="none" w:sz="0" w:space="0" w:color="auto"/>
              </w:divBdr>
              <w:divsChild>
                <w:div w:id="13325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716459">
      <w:bodyDiv w:val="1"/>
      <w:marLeft w:val="0"/>
      <w:marRight w:val="0"/>
      <w:marTop w:val="0"/>
      <w:marBottom w:val="0"/>
      <w:divBdr>
        <w:top w:val="none" w:sz="0" w:space="0" w:color="auto"/>
        <w:left w:val="none" w:sz="0" w:space="0" w:color="auto"/>
        <w:bottom w:val="none" w:sz="0" w:space="0" w:color="auto"/>
        <w:right w:val="none" w:sz="0" w:space="0" w:color="auto"/>
      </w:divBdr>
      <w:divsChild>
        <w:div w:id="1563443110">
          <w:marLeft w:val="0"/>
          <w:marRight w:val="0"/>
          <w:marTop w:val="0"/>
          <w:marBottom w:val="0"/>
          <w:divBdr>
            <w:top w:val="none" w:sz="0" w:space="0" w:color="auto"/>
            <w:left w:val="none" w:sz="0" w:space="0" w:color="auto"/>
            <w:bottom w:val="none" w:sz="0" w:space="0" w:color="auto"/>
            <w:right w:val="none" w:sz="0" w:space="0" w:color="auto"/>
          </w:divBdr>
          <w:divsChild>
            <w:div w:id="2123838794">
              <w:marLeft w:val="0"/>
              <w:marRight w:val="0"/>
              <w:marTop w:val="0"/>
              <w:marBottom w:val="0"/>
              <w:divBdr>
                <w:top w:val="none" w:sz="0" w:space="0" w:color="auto"/>
                <w:left w:val="none" w:sz="0" w:space="0" w:color="auto"/>
                <w:bottom w:val="none" w:sz="0" w:space="0" w:color="auto"/>
                <w:right w:val="none" w:sz="0" w:space="0" w:color="auto"/>
              </w:divBdr>
              <w:divsChild>
                <w:div w:id="141095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999485">
      <w:bodyDiv w:val="1"/>
      <w:marLeft w:val="0"/>
      <w:marRight w:val="0"/>
      <w:marTop w:val="0"/>
      <w:marBottom w:val="0"/>
      <w:divBdr>
        <w:top w:val="none" w:sz="0" w:space="0" w:color="auto"/>
        <w:left w:val="none" w:sz="0" w:space="0" w:color="auto"/>
        <w:bottom w:val="none" w:sz="0" w:space="0" w:color="auto"/>
        <w:right w:val="none" w:sz="0" w:space="0" w:color="auto"/>
      </w:divBdr>
    </w:div>
    <w:div w:id="1664317111">
      <w:bodyDiv w:val="1"/>
      <w:marLeft w:val="0"/>
      <w:marRight w:val="0"/>
      <w:marTop w:val="0"/>
      <w:marBottom w:val="0"/>
      <w:divBdr>
        <w:top w:val="none" w:sz="0" w:space="0" w:color="auto"/>
        <w:left w:val="none" w:sz="0" w:space="0" w:color="auto"/>
        <w:bottom w:val="none" w:sz="0" w:space="0" w:color="auto"/>
        <w:right w:val="none" w:sz="0" w:space="0" w:color="auto"/>
      </w:divBdr>
      <w:divsChild>
        <w:div w:id="151261718">
          <w:marLeft w:val="0"/>
          <w:marRight w:val="0"/>
          <w:marTop w:val="0"/>
          <w:marBottom w:val="0"/>
          <w:divBdr>
            <w:top w:val="none" w:sz="0" w:space="0" w:color="auto"/>
            <w:left w:val="none" w:sz="0" w:space="0" w:color="auto"/>
            <w:bottom w:val="none" w:sz="0" w:space="0" w:color="auto"/>
            <w:right w:val="none" w:sz="0" w:space="0" w:color="auto"/>
          </w:divBdr>
          <w:divsChild>
            <w:div w:id="1955861505">
              <w:marLeft w:val="0"/>
              <w:marRight w:val="0"/>
              <w:marTop w:val="0"/>
              <w:marBottom w:val="0"/>
              <w:divBdr>
                <w:top w:val="none" w:sz="0" w:space="0" w:color="auto"/>
                <w:left w:val="none" w:sz="0" w:space="0" w:color="auto"/>
                <w:bottom w:val="none" w:sz="0" w:space="0" w:color="auto"/>
                <w:right w:val="none" w:sz="0" w:space="0" w:color="auto"/>
              </w:divBdr>
              <w:divsChild>
                <w:div w:id="199683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508896">
      <w:bodyDiv w:val="1"/>
      <w:marLeft w:val="0"/>
      <w:marRight w:val="0"/>
      <w:marTop w:val="0"/>
      <w:marBottom w:val="0"/>
      <w:divBdr>
        <w:top w:val="none" w:sz="0" w:space="0" w:color="auto"/>
        <w:left w:val="none" w:sz="0" w:space="0" w:color="auto"/>
        <w:bottom w:val="none" w:sz="0" w:space="0" w:color="auto"/>
        <w:right w:val="none" w:sz="0" w:space="0" w:color="auto"/>
      </w:divBdr>
      <w:divsChild>
        <w:div w:id="1430154273">
          <w:marLeft w:val="0"/>
          <w:marRight w:val="0"/>
          <w:marTop w:val="0"/>
          <w:marBottom w:val="0"/>
          <w:divBdr>
            <w:top w:val="none" w:sz="0" w:space="0" w:color="auto"/>
            <w:left w:val="none" w:sz="0" w:space="0" w:color="auto"/>
            <w:bottom w:val="none" w:sz="0" w:space="0" w:color="auto"/>
            <w:right w:val="none" w:sz="0" w:space="0" w:color="auto"/>
          </w:divBdr>
          <w:divsChild>
            <w:div w:id="850529159">
              <w:marLeft w:val="0"/>
              <w:marRight w:val="0"/>
              <w:marTop w:val="0"/>
              <w:marBottom w:val="0"/>
              <w:divBdr>
                <w:top w:val="none" w:sz="0" w:space="0" w:color="auto"/>
                <w:left w:val="none" w:sz="0" w:space="0" w:color="auto"/>
                <w:bottom w:val="none" w:sz="0" w:space="0" w:color="auto"/>
                <w:right w:val="none" w:sz="0" w:space="0" w:color="auto"/>
              </w:divBdr>
              <w:divsChild>
                <w:div w:id="35863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597990">
      <w:bodyDiv w:val="1"/>
      <w:marLeft w:val="0"/>
      <w:marRight w:val="0"/>
      <w:marTop w:val="0"/>
      <w:marBottom w:val="0"/>
      <w:divBdr>
        <w:top w:val="none" w:sz="0" w:space="0" w:color="auto"/>
        <w:left w:val="none" w:sz="0" w:space="0" w:color="auto"/>
        <w:bottom w:val="none" w:sz="0" w:space="0" w:color="auto"/>
        <w:right w:val="none" w:sz="0" w:space="0" w:color="auto"/>
      </w:divBdr>
    </w:div>
    <w:div w:id="1713111819">
      <w:bodyDiv w:val="1"/>
      <w:marLeft w:val="0"/>
      <w:marRight w:val="0"/>
      <w:marTop w:val="0"/>
      <w:marBottom w:val="0"/>
      <w:divBdr>
        <w:top w:val="none" w:sz="0" w:space="0" w:color="auto"/>
        <w:left w:val="none" w:sz="0" w:space="0" w:color="auto"/>
        <w:bottom w:val="none" w:sz="0" w:space="0" w:color="auto"/>
        <w:right w:val="none" w:sz="0" w:space="0" w:color="auto"/>
      </w:divBdr>
      <w:divsChild>
        <w:div w:id="1741168728">
          <w:marLeft w:val="0"/>
          <w:marRight w:val="0"/>
          <w:marTop w:val="0"/>
          <w:marBottom w:val="0"/>
          <w:divBdr>
            <w:top w:val="none" w:sz="0" w:space="0" w:color="auto"/>
            <w:left w:val="none" w:sz="0" w:space="0" w:color="auto"/>
            <w:bottom w:val="none" w:sz="0" w:space="0" w:color="auto"/>
            <w:right w:val="none" w:sz="0" w:space="0" w:color="auto"/>
          </w:divBdr>
          <w:divsChild>
            <w:div w:id="336349856">
              <w:marLeft w:val="0"/>
              <w:marRight w:val="0"/>
              <w:marTop w:val="0"/>
              <w:marBottom w:val="0"/>
              <w:divBdr>
                <w:top w:val="none" w:sz="0" w:space="0" w:color="auto"/>
                <w:left w:val="none" w:sz="0" w:space="0" w:color="auto"/>
                <w:bottom w:val="none" w:sz="0" w:space="0" w:color="auto"/>
                <w:right w:val="none" w:sz="0" w:space="0" w:color="auto"/>
              </w:divBdr>
              <w:divsChild>
                <w:div w:id="15657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700312">
      <w:bodyDiv w:val="1"/>
      <w:marLeft w:val="0"/>
      <w:marRight w:val="0"/>
      <w:marTop w:val="0"/>
      <w:marBottom w:val="0"/>
      <w:divBdr>
        <w:top w:val="none" w:sz="0" w:space="0" w:color="auto"/>
        <w:left w:val="none" w:sz="0" w:space="0" w:color="auto"/>
        <w:bottom w:val="none" w:sz="0" w:space="0" w:color="auto"/>
        <w:right w:val="none" w:sz="0" w:space="0" w:color="auto"/>
      </w:divBdr>
      <w:divsChild>
        <w:div w:id="987131220">
          <w:marLeft w:val="0"/>
          <w:marRight w:val="0"/>
          <w:marTop w:val="0"/>
          <w:marBottom w:val="0"/>
          <w:divBdr>
            <w:top w:val="none" w:sz="0" w:space="0" w:color="auto"/>
            <w:left w:val="none" w:sz="0" w:space="0" w:color="auto"/>
            <w:bottom w:val="none" w:sz="0" w:space="0" w:color="auto"/>
            <w:right w:val="none" w:sz="0" w:space="0" w:color="auto"/>
          </w:divBdr>
          <w:divsChild>
            <w:div w:id="2072270282">
              <w:marLeft w:val="0"/>
              <w:marRight w:val="0"/>
              <w:marTop w:val="0"/>
              <w:marBottom w:val="0"/>
              <w:divBdr>
                <w:top w:val="none" w:sz="0" w:space="0" w:color="auto"/>
                <w:left w:val="none" w:sz="0" w:space="0" w:color="auto"/>
                <w:bottom w:val="none" w:sz="0" w:space="0" w:color="auto"/>
                <w:right w:val="none" w:sz="0" w:space="0" w:color="auto"/>
              </w:divBdr>
              <w:divsChild>
                <w:div w:id="1497573906">
                  <w:marLeft w:val="0"/>
                  <w:marRight w:val="0"/>
                  <w:marTop w:val="0"/>
                  <w:marBottom w:val="0"/>
                  <w:divBdr>
                    <w:top w:val="none" w:sz="0" w:space="0" w:color="auto"/>
                    <w:left w:val="none" w:sz="0" w:space="0" w:color="auto"/>
                    <w:bottom w:val="none" w:sz="0" w:space="0" w:color="auto"/>
                    <w:right w:val="none" w:sz="0" w:space="0" w:color="auto"/>
                  </w:divBdr>
                  <w:divsChild>
                    <w:div w:id="34721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491931">
      <w:bodyDiv w:val="1"/>
      <w:marLeft w:val="0"/>
      <w:marRight w:val="0"/>
      <w:marTop w:val="0"/>
      <w:marBottom w:val="0"/>
      <w:divBdr>
        <w:top w:val="none" w:sz="0" w:space="0" w:color="auto"/>
        <w:left w:val="none" w:sz="0" w:space="0" w:color="auto"/>
        <w:bottom w:val="none" w:sz="0" w:space="0" w:color="auto"/>
        <w:right w:val="none" w:sz="0" w:space="0" w:color="auto"/>
      </w:divBdr>
    </w:div>
    <w:div w:id="1794206500">
      <w:bodyDiv w:val="1"/>
      <w:marLeft w:val="0"/>
      <w:marRight w:val="0"/>
      <w:marTop w:val="0"/>
      <w:marBottom w:val="0"/>
      <w:divBdr>
        <w:top w:val="none" w:sz="0" w:space="0" w:color="auto"/>
        <w:left w:val="none" w:sz="0" w:space="0" w:color="auto"/>
        <w:bottom w:val="none" w:sz="0" w:space="0" w:color="auto"/>
        <w:right w:val="none" w:sz="0" w:space="0" w:color="auto"/>
      </w:divBdr>
    </w:div>
    <w:div w:id="1807430802">
      <w:bodyDiv w:val="1"/>
      <w:marLeft w:val="0"/>
      <w:marRight w:val="0"/>
      <w:marTop w:val="0"/>
      <w:marBottom w:val="0"/>
      <w:divBdr>
        <w:top w:val="none" w:sz="0" w:space="0" w:color="auto"/>
        <w:left w:val="none" w:sz="0" w:space="0" w:color="auto"/>
        <w:bottom w:val="none" w:sz="0" w:space="0" w:color="auto"/>
        <w:right w:val="none" w:sz="0" w:space="0" w:color="auto"/>
      </w:divBdr>
    </w:div>
    <w:div w:id="1813212479">
      <w:bodyDiv w:val="1"/>
      <w:marLeft w:val="0"/>
      <w:marRight w:val="0"/>
      <w:marTop w:val="0"/>
      <w:marBottom w:val="0"/>
      <w:divBdr>
        <w:top w:val="none" w:sz="0" w:space="0" w:color="auto"/>
        <w:left w:val="none" w:sz="0" w:space="0" w:color="auto"/>
        <w:bottom w:val="none" w:sz="0" w:space="0" w:color="auto"/>
        <w:right w:val="none" w:sz="0" w:space="0" w:color="auto"/>
      </w:divBdr>
    </w:div>
    <w:div w:id="1816024869">
      <w:bodyDiv w:val="1"/>
      <w:marLeft w:val="0"/>
      <w:marRight w:val="0"/>
      <w:marTop w:val="0"/>
      <w:marBottom w:val="0"/>
      <w:divBdr>
        <w:top w:val="none" w:sz="0" w:space="0" w:color="auto"/>
        <w:left w:val="none" w:sz="0" w:space="0" w:color="auto"/>
        <w:bottom w:val="none" w:sz="0" w:space="0" w:color="auto"/>
        <w:right w:val="none" w:sz="0" w:space="0" w:color="auto"/>
      </w:divBdr>
    </w:div>
    <w:div w:id="1821655650">
      <w:bodyDiv w:val="1"/>
      <w:marLeft w:val="0"/>
      <w:marRight w:val="0"/>
      <w:marTop w:val="0"/>
      <w:marBottom w:val="0"/>
      <w:divBdr>
        <w:top w:val="none" w:sz="0" w:space="0" w:color="auto"/>
        <w:left w:val="none" w:sz="0" w:space="0" w:color="auto"/>
        <w:bottom w:val="none" w:sz="0" w:space="0" w:color="auto"/>
        <w:right w:val="none" w:sz="0" w:space="0" w:color="auto"/>
      </w:divBdr>
    </w:div>
    <w:div w:id="1821841677">
      <w:bodyDiv w:val="1"/>
      <w:marLeft w:val="0"/>
      <w:marRight w:val="0"/>
      <w:marTop w:val="0"/>
      <w:marBottom w:val="0"/>
      <w:divBdr>
        <w:top w:val="none" w:sz="0" w:space="0" w:color="auto"/>
        <w:left w:val="none" w:sz="0" w:space="0" w:color="auto"/>
        <w:bottom w:val="none" w:sz="0" w:space="0" w:color="auto"/>
        <w:right w:val="none" w:sz="0" w:space="0" w:color="auto"/>
      </w:divBdr>
    </w:div>
    <w:div w:id="1826898436">
      <w:bodyDiv w:val="1"/>
      <w:marLeft w:val="0"/>
      <w:marRight w:val="0"/>
      <w:marTop w:val="0"/>
      <w:marBottom w:val="0"/>
      <w:divBdr>
        <w:top w:val="none" w:sz="0" w:space="0" w:color="auto"/>
        <w:left w:val="none" w:sz="0" w:space="0" w:color="auto"/>
        <w:bottom w:val="none" w:sz="0" w:space="0" w:color="auto"/>
        <w:right w:val="none" w:sz="0" w:space="0" w:color="auto"/>
      </w:divBdr>
    </w:div>
    <w:div w:id="1827546110">
      <w:bodyDiv w:val="1"/>
      <w:marLeft w:val="0"/>
      <w:marRight w:val="0"/>
      <w:marTop w:val="0"/>
      <w:marBottom w:val="0"/>
      <w:divBdr>
        <w:top w:val="none" w:sz="0" w:space="0" w:color="auto"/>
        <w:left w:val="none" w:sz="0" w:space="0" w:color="auto"/>
        <w:bottom w:val="none" w:sz="0" w:space="0" w:color="auto"/>
        <w:right w:val="none" w:sz="0" w:space="0" w:color="auto"/>
      </w:divBdr>
      <w:divsChild>
        <w:div w:id="1056048635">
          <w:marLeft w:val="0"/>
          <w:marRight w:val="0"/>
          <w:marTop w:val="0"/>
          <w:marBottom w:val="0"/>
          <w:divBdr>
            <w:top w:val="none" w:sz="0" w:space="0" w:color="auto"/>
            <w:left w:val="none" w:sz="0" w:space="0" w:color="auto"/>
            <w:bottom w:val="none" w:sz="0" w:space="0" w:color="auto"/>
            <w:right w:val="none" w:sz="0" w:space="0" w:color="auto"/>
          </w:divBdr>
          <w:divsChild>
            <w:div w:id="1946229026">
              <w:marLeft w:val="0"/>
              <w:marRight w:val="0"/>
              <w:marTop w:val="0"/>
              <w:marBottom w:val="0"/>
              <w:divBdr>
                <w:top w:val="none" w:sz="0" w:space="0" w:color="auto"/>
                <w:left w:val="none" w:sz="0" w:space="0" w:color="auto"/>
                <w:bottom w:val="none" w:sz="0" w:space="0" w:color="auto"/>
                <w:right w:val="none" w:sz="0" w:space="0" w:color="auto"/>
              </w:divBdr>
              <w:divsChild>
                <w:div w:id="2074768348">
                  <w:marLeft w:val="0"/>
                  <w:marRight w:val="0"/>
                  <w:marTop w:val="0"/>
                  <w:marBottom w:val="0"/>
                  <w:divBdr>
                    <w:top w:val="none" w:sz="0" w:space="0" w:color="auto"/>
                    <w:left w:val="none" w:sz="0" w:space="0" w:color="auto"/>
                    <w:bottom w:val="none" w:sz="0" w:space="0" w:color="auto"/>
                    <w:right w:val="none" w:sz="0" w:space="0" w:color="auto"/>
                  </w:divBdr>
                  <w:divsChild>
                    <w:div w:id="203950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166239">
      <w:bodyDiv w:val="1"/>
      <w:marLeft w:val="0"/>
      <w:marRight w:val="0"/>
      <w:marTop w:val="0"/>
      <w:marBottom w:val="0"/>
      <w:divBdr>
        <w:top w:val="none" w:sz="0" w:space="0" w:color="auto"/>
        <w:left w:val="none" w:sz="0" w:space="0" w:color="auto"/>
        <w:bottom w:val="none" w:sz="0" w:space="0" w:color="auto"/>
        <w:right w:val="none" w:sz="0" w:space="0" w:color="auto"/>
      </w:divBdr>
    </w:div>
    <w:div w:id="1919484347">
      <w:bodyDiv w:val="1"/>
      <w:marLeft w:val="0"/>
      <w:marRight w:val="0"/>
      <w:marTop w:val="0"/>
      <w:marBottom w:val="0"/>
      <w:divBdr>
        <w:top w:val="none" w:sz="0" w:space="0" w:color="auto"/>
        <w:left w:val="none" w:sz="0" w:space="0" w:color="auto"/>
        <w:bottom w:val="none" w:sz="0" w:space="0" w:color="auto"/>
        <w:right w:val="none" w:sz="0" w:space="0" w:color="auto"/>
      </w:divBdr>
    </w:div>
    <w:div w:id="1923488607">
      <w:bodyDiv w:val="1"/>
      <w:marLeft w:val="0"/>
      <w:marRight w:val="0"/>
      <w:marTop w:val="0"/>
      <w:marBottom w:val="0"/>
      <w:divBdr>
        <w:top w:val="none" w:sz="0" w:space="0" w:color="auto"/>
        <w:left w:val="none" w:sz="0" w:space="0" w:color="auto"/>
        <w:bottom w:val="none" w:sz="0" w:space="0" w:color="auto"/>
        <w:right w:val="none" w:sz="0" w:space="0" w:color="auto"/>
      </w:divBdr>
      <w:divsChild>
        <w:div w:id="1843935743">
          <w:marLeft w:val="0"/>
          <w:marRight w:val="0"/>
          <w:marTop w:val="0"/>
          <w:marBottom w:val="0"/>
          <w:divBdr>
            <w:top w:val="none" w:sz="0" w:space="0" w:color="auto"/>
            <w:left w:val="none" w:sz="0" w:space="0" w:color="auto"/>
            <w:bottom w:val="none" w:sz="0" w:space="0" w:color="auto"/>
            <w:right w:val="none" w:sz="0" w:space="0" w:color="auto"/>
          </w:divBdr>
          <w:divsChild>
            <w:div w:id="1934244384">
              <w:marLeft w:val="0"/>
              <w:marRight w:val="0"/>
              <w:marTop w:val="0"/>
              <w:marBottom w:val="0"/>
              <w:divBdr>
                <w:top w:val="none" w:sz="0" w:space="0" w:color="auto"/>
                <w:left w:val="none" w:sz="0" w:space="0" w:color="auto"/>
                <w:bottom w:val="none" w:sz="0" w:space="0" w:color="auto"/>
                <w:right w:val="none" w:sz="0" w:space="0" w:color="auto"/>
              </w:divBdr>
              <w:divsChild>
                <w:div w:id="36274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24249">
      <w:bodyDiv w:val="1"/>
      <w:marLeft w:val="0"/>
      <w:marRight w:val="0"/>
      <w:marTop w:val="0"/>
      <w:marBottom w:val="0"/>
      <w:divBdr>
        <w:top w:val="none" w:sz="0" w:space="0" w:color="auto"/>
        <w:left w:val="none" w:sz="0" w:space="0" w:color="auto"/>
        <w:bottom w:val="none" w:sz="0" w:space="0" w:color="auto"/>
        <w:right w:val="none" w:sz="0" w:space="0" w:color="auto"/>
      </w:divBdr>
    </w:div>
    <w:div w:id="1931422740">
      <w:bodyDiv w:val="1"/>
      <w:marLeft w:val="0"/>
      <w:marRight w:val="0"/>
      <w:marTop w:val="0"/>
      <w:marBottom w:val="0"/>
      <w:divBdr>
        <w:top w:val="none" w:sz="0" w:space="0" w:color="auto"/>
        <w:left w:val="none" w:sz="0" w:space="0" w:color="auto"/>
        <w:bottom w:val="none" w:sz="0" w:space="0" w:color="auto"/>
        <w:right w:val="none" w:sz="0" w:space="0" w:color="auto"/>
      </w:divBdr>
      <w:divsChild>
        <w:div w:id="648367182">
          <w:marLeft w:val="0"/>
          <w:marRight w:val="0"/>
          <w:marTop w:val="0"/>
          <w:marBottom w:val="0"/>
          <w:divBdr>
            <w:top w:val="none" w:sz="0" w:space="0" w:color="auto"/>
            <w:left w:val="none" w:sz="0" w:space="0" w:color="auto"/>
            <w:bottom w:val="none" w:sz="0" w:space="0" w:color="auto"/>
            <w:right w:val="none" w:sz="0" w:space="0" w:color="auto"/>
          </w:divBdr>
          <w:divsChild>
            <w:div w:id="1422027931">
              <w:marLeft w:val="0"/>
              <w:marRight w:val="0"/>
              <w:marTop w:val="0"/>
              <w:marBottom w:val="0"/>
              <w:divBdr>
                <w:top w:val="none" w:sz="0" w:space="0" w:color="auto"/>
                <w:left w:val="none" w:sz="0" w:space="0" w:color="auto"/>
                <w:bottom w:val="none" w:sz="0" w:space="0" w:color="auto"/>
                <w:right w:val="none" w:sz="0" w:space="0" w:color="auto"/>
              </w:divBdr>
              <w:divsChild>
                <w:div w:id="243420748">
                  <w:marLeft w:val="0"/>
                  <w:marRight w:val="0"/>
                  <w:marTop w:val="0"/>
                  <w:marBottom w:val="0"/>
                  <w:divBdr>
                    <w:top w:val="none" w:sz="0" w:space="0" w:color="auto"/>
                    <w:left w:val="none" w:sz="0" w:space="0" w:color="auto"/>
                    <w:bottom w:val="none" w:sz="0" w:space="0" w:color="auto"/>
                    <w:right w:val="none" w:sz="0" w:space="0" w:color="auto"/>
                  </w:divBdr>
                  <w:divsChild>
                    <w:div w:id="211413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914355">
      <w:bodyDiv w:val="1"/>
      <w:marLeft w:val="0"/>
      <w:marRight w:val="0"/>
      <w:marTop w:val="0"/>
      <w:marBottom w:val="0"/>
      <w:divBdr>
        <w:top w:val="none" w:sz="0" w:space="0" w:color="auto"/>
        <w:left w:val="none" w:sz="0" w:space="0" w:color="auto"/>
        <w:bottom w:val="none" w:sz="0" w:space="0" w:color="auto"/>
        <w:right w:val="none" w:sz="0" w:space="0" w:color="auto"/>
      </w:divBdr>
      <w:divsChild>
        <w:div w:id="1769422218">
          <w:marLeft w:val="0"/>
          <w:marRight w:val="0"/>
          <w:marTop w:val="0"/>
          <w:marBottom w:val="0"/>
          <w:divBdr>
            <w:top w:val="none" w:sz="0" w:space="0" w:color="auto"/>
            <w:left w:val="none" w:sz="0" w:space="0" w:color="auto"/>
            <w:bottom w:val="none" w:sz="0" w:space="0" w:color="auto"/>
            <w:right w:val="none" w:sz="0" w:space="0" w:color="auto"/>
          </w:divBdr>
          <w:divsChild>
            <w:div w:id="1000306469">
              <w:marLeft w:val="0"/>
              <w:marRight w:val="0"/>
              <w:marTop w:val="0"/>
              <w:marBottom w:val="0"/>
              <w:divBdr>
                <w:top w:val="none" w:sz="0" w:space="0" w:color="auto"/>
                <w:left w:val="none" w:sz="0" w:space="0" w:color="auto"/>
                <w:bottom w:val="none" w:sz="0" w:space="0" w:color="auto"/>
                <w:right w:val="none" w:sz="0" w:space="0" w:color="auto"/>
              </w:divBdr>
              <w:divsChild>
                <w:div w:id="212580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417866">
      <w:bodyDiv w:val="1"/>
      <w:marLeft w:val="0"/>
      <w:marRight w:val="0"/>
      <w:marTop w:val="0"/>
      <w:marBottom w:val="0"/>
      <w:divBdr>
        <w:top w:val="none" w:sz="0" w:space="0" w:color="auto"/>
        <w:left w:val="none" w:sz="0" w:space="0" w:color="auto"/>
        <w:bottom w:val="none" w:sz="0" w:space="0" w:color="auto"/>
        <w:right w:val="none" w:sz="0" w:space="0" w:color="auto"/>
      </w:divBdr>
      <w:divsChild>
        <w:div w:id="221409521">
          <w:marLeft w:val="0"/>
          <w:marRight w:val="0"/>
          <w:marTop w:val="0"/>
          <w:marBottom w:val="0"/>
          <w:divBdr>
            <w:top w:val="none" w:sz="0" w:space="0" w:color="auto"/>
            <w:left w:val="none" w:sz="0" w:space="0" w:color="auto"/>
            <w:bottom w:val="none" w:sz="0" w:space="0" w:color="auto"/>
            <w:right w:val="none" w:sz="0" w:space="0" w:color="auto"/>
          </w:divBdr>
          <w:divsChild>
            <w:div w:id="27995269">
              <w:marLeft w:val="0"/>
              <w:marRight w:val="0"/>
              <w:marTop w:val="0"/>
              <w:marBottom w:val="0"/>
              <w:divBdr>
                <w:top w:val="none" w:sz="0" w:space="0" w:color="auto"/>
                <w:left w:val="none" w:sz="0" w:space="0" w:color="auto"/>
                <w:bottom w:val="none" w:sz="0" w:space="0" w:color="auto"/>
                <w:right w:val="none" w:sz="0" w:space="0" w:color="auto"/>
              </w:divBdr>
              <w:divsChild>
                <w:div w:id="1376927338">
                  <w:marLeft w:val="0"/>
                  <w:marRight w:val="0"/>
                  <w:marTop w:val="0"/>
                  <w:marBottom w:val="0"/>
                  <w:divBdr>
                    <w:top w:val="none" w:sz="0" w:space="0" w:color="auto"/>
                    <w:left w:val="none" w:sz="0" w:space="0" w:color="auto"/>
                    <w:bottom w:val="none" w:sz="0" w:space="0" w:color="auto"/>
                    <w:right w:val="none" w:sz="0" w:space="0" w:color="auto"/>
                  </w:divBdr>
                  <w:divsChild>
                    <w:div w:id="82470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677117">
      <w:bodyDiv w:val="1"/>
      <w:marLeft w:val="0"/>
      <w:marRight w:val="0"/>
      <w:marTop w:val="0"/>
      <w:marBottom w:val="0"/>
      <w:divBdr>
        <w:top w:val="none" w:sz="0" w:space="0" w:color="auto"/>
        <w:left w:val="none" w:sz="0" w:space="0" w:color="auto"/>
        <w:bottom w:val="none" w:sz="0" w:space="0" w:color="auto"/>
        <w:right w:val="none" w:sz="0" w:space="0" w:color="auto"/>
      </w:divBdr>
    </w:div>
    <w:div w:id="1975987807">
      <w:bodyDiv w:val="1"/>
      <w:marLeft w:val="0"/>
      <w:marRight w:val="0"/>
      <w:marTop w:val="0"/>
      <w:marBottom w:val="0"/>
      <w:divBdr>
        <w:top w:val="none" w:sz="0" w:space="0" w:color="auto"/>
        <w:left w:val="none" w:sz="0" w:space="0" w:color="auto"/>
        <w:bottom w:val="none" w:sz="0" w:space="0" w:color="auto"/>
        <w:right w:val="none" w:sz="0" w:space="0" w:color="auto"/>
      </w:divBdr>
    </w:div>
    <w:div w:id="1977758287">
      <w:bodyDiv w:val="1"/>
      <w:marLeft w:val="0"/>
      <w:marRight w:val="0"/>
      <w:marTop w:val="0"/>
      <w:marBottom w:val="0"/>
      <w:divBdr>
        <w:top w:val="none" w:sz="0" w:space="0" w:color="auto"/>
        <w:left w:val="none" w:sz="0" w:space="0" w:color="auto"/>
        <w:bottom w:val="none" w:sz="0" w:space="0" w:color="auto"/>
        <w:right w:val="none" w:sz="0" w:space="0" w:color="auto"/>
      </w:divBdr>
    </w:div>
    <w:div w:id="1993943256">
      <w:bodyDiv w:val="1"/>
      <w:marLeft w:val="0"/>
      <w:marRight w:val="0"/>
      <w:marTop w:val="0"/>
      <w:marBottom w:val="0"/>
      <w:divBdr>
        <w:top w:val="none" w:sz="0" w:space="0" w:color="auto"/>
        <w:left w:val="none" w:sz="0" w:space="0" w:color="auto"/>
        <w:bottom w:val="none" w:sz="0" w:space="0" w:color="auto"/>
        <w:right w:val="none" w:sz="0" w:space="0" w:color="auto"/>
      </w:divBdr>
      <w:divsChild>
        <w:div w:id="1539244048">
          <w:marLeft w:val="0"/>
          <w:marRight w:val="0"/>
          <w:marTop w:val="0"/>
          <w:marBottom w:val="0"/>
          <w:divBdr>
            <w:top w:val="none" w:sz="0" w:space="0" w:color="auto"/>
            <w:left w:val="none" w:sz="0" w:space="0" w:color="auto"/>
            <w:bottom w:val="none" w:sz="0" w:space="0" w:color="auto"/>
            <w:right w:val="none" w:sz="0" w:space="0" w:color="auto"/>
          </w:divBdr>
          <w:divsChild>
            <w:div w:id="1147939615">
              <w:marLeft w:val="0"/>
              <w:marRight w:val="0"/>
              <w:marTop w:val="0"/>
              <w:marBottom w:val="0"/>
              <w:divBdr>
                <w:top w:val="none" w:sz="0" w:space="0" w:color="auto"/>
                <w:left w:val="none" w:sz="0" w:space="0" w:color="auto"/>
                <w:bottom w:val="none" w:sz="0" w:space="0" w:color="auto"/>
                <w:right w:val="none" w:sz="0" w:space="0" w:color="auto"/>
              </w:divBdr>
              <w:divsChild>
                <w:div w:id="1242835706">
                  <w:marLeft w:val="0"/>
                  <w:marRight w:val="0"/>
                  <w:marTop w:val="0"/>
                  <w:marBottom w:val="0"/>
                  <w:divBdr>
                    <w:top w:val="none" w:sz="0" w:space="0" w:color="auto"/>
                    <w:left w:val="none" w:sz="0" w:space="0" w:color="auto"/>
                    <w:bottom w:val="none" w:sz="0" w:space="0" w:color="auto"/>
                    <w:right w:val="none" w:sz="0" w:space="0" w:color="auto"/>
                  </w:divBdr>
                  <w:divsChild>
                    <w:div w:id="115738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455756">
      <w:bodyDiv w:val="1"/>
      <w:marLeft w:val="0"/>
      <w:marRight w:val="0"/>
      <w:marTop w:val="0"/>
      <w:marBottom w:val="0"/>
      <w:divBdr>
        <w:top w:val="none" w:sz="0" w:space="0" w:color="auto"/>
        <w:left w:val="none" w:sz="0" w:space="0" w:color="auto"/>
        <w:bottom w:val="none" w:sz="0" w:space="0" w:color="auto"/>
        <w:right w:val="none" w:sz="0" w:space="0" w:color="auto"/>
      </w:divBdr>
    </w:div>
    <w:div w:id="2006087292">
      <w:bodyDiv w:val="1"/>
      <w:marLeft w:val="0"/>
      <w:marRight w:val="0"/>
      <w:marTop w:val="0"/>
      <w:marBottom w:val="0"/>
      <w:divBdr>
        <w:top w:val="none" w:sz="0" w:space="0" w:color="auto"/>
        <w:left w:val="none" w:sz="0" w:space="0" w:color="auto"/>
        <w:bottom w:val="none" w:sz="0" w:space="0" w:color="auto"/>
        <w:right w:val="none" w:sz="0" w:space="0" w:color="auto"/>
      </w:divBdr>
    </w:div>
    <w:div w:id="2038650449">
      <w:bodyDiv w:val="1"/>
      <w:marLeft w:val="0"/>
      <w:marRight w:val="0"/>
      <w:marTop w:val="0"/>
      <w:marBottom w:val="0"/>
      <w:divBdr>
        <w:top w:val="none" w:sz="0" w:space="0" w:color="auto"/>
        <w:left w:val="none" w:sz="0" w:space="0" w:color="auto"/>
        <w:bottom w:val="none" w:sz="0" w:space="0" w:color="auto"/>
        <w:right w:val="none" w:sz="0" w:space="0" w:color="auto"/>
      </w:divBdr>
    </w:div>
    <w:div w:id="2045714923">
      <w:bodyDiv w:val="1"/>
      <w:marLeft w:val="0"/>
      <w:marRight w:val="0"/>
      <w:marTop w:val="0"/>
      <w:marBottom w:val="0"/>
      <w:divBdr>
        <w:top w:val="none" w:sz="0" w:space="0" w:color="auto"/>
        <w:left w:val="none" w:sz="0" w:space="0" w:color="auto"/>
        <w:bottom w:val="none" w:sz="0" w:space="0" w:color="auto"/>
        <w:right w:val="none" w:sz="0" w:space="0" w:color="auto"/>
      </w:divBdr>
      <w:divsChild>
        <w:div w:id="1204055778">
          <w:marLeft w:val="0"/>
          <w:marRight w:val="0"/>
          <w:marTop w:val="0"/>
          <w:marBottom w:val="0"/>
          <w:divBdr>
            <w:top w:val="none" w:sz="0" w:space="0" w:color="auto"/>
            <w:left w:val="none" w:sz="0" w:space="0" w:color="auto"/>
            <w:bottom w:val="none" w:sz="0" w:space="0" w:color="auto"/>
            <w:right w:val="none" w:sz="0" w:space="0" w:color="auto"/>
          </w:divBdr>
          <w:divsChild>
            <w:div w:id="1268199262">
              <w:marLeft w:val="0"/>
              <w:marRight w:val="0"/>
              <w:marTop w:val="0"/>
              <w:marBottom w:val="0"/>
              <w:divBdr>
                <w:top w:val="none" w:sz="0" w:space="0" w:color="auto"/>
                <w:left w:val="none" w:sz="0" w:space="0" w:color="auto"/>
                <w:bottom w:val="none" w:sz="0" w:space="0" w:color="auto"/>
                <w:right w:val="none" w:sz="0" w:space="0" w:color="auto"/>
              </w:divBdr>
              <w:divsChild>
                <w:div w:id="239875127">
                  <w:marLeft w:val="0"/>
                  <w:marRight w:val="0"/>
                  <w:marTop w:val="0"/>
                  <w:marBottom w:val="0"/>
                  <w:divBdr>
                    <w:top w:val="none" w:sz="0" w:space="0" w:color="auto"/>
                    <w:left w:val="none" w:sz="0" w:space="0" w:color="auto"/>
                    <w:bottom w:val="none" w:sz="0" w:space="0" w:color="auto"/>
                    <w:right w:val="none" w:sz="0" w:space="0" w:color="auto"/>
                  </w:divBdr>
                  <w:divsChild>
                    <w:div w:id="64673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368110">
      <w:bodyDiv w:val="1"/>
      <w:marLeft w:val="0"/>
      <w:marRight w:val="0"/>
      <w:marTop w:val="0"/>
      <w:marBottom w:val="0"/>
      <w:divBdr>
        <w:top w:val="none" w:sz="0" w:space="0" w:color="auto"/>
        <w:left w:val="none" w:sz="0" w:space="0" w:color="auto"/>
        <w:bottom w:val="none" w:sz="0" w:space="0" w:color="auto"/>
        <w:right w:val="none" w:sz="0" w:space="0" w:color="auto"/>
      </w:divBdr>
    </w:div>
    <w:div w:id="2047676120">
      <w:bodyDiv w:val="1"/>
      <w:marLeft w:val="0"/>
      <w:marRight w:val="0"/>
      <w:marTop w:val="0"/>
      <w:marBottom w:val="0"/>
      <w:divBdr>
        <w:top w:val="none" w:sz="0" w:space="0" w:color="auto"/>
        <w:left w:val="none" w:sz="0" w:space="0" w:color="auto"/>
        <w:bottom w:val="none" w:sz="0" w:space="0" w:color="auto"/>
        <w:right w:val="none" w:sz="0" w:space="0" w:color="auto"/>
      </w:divBdr>
    </w:div>
    <w:div w:id="2055346543">
      <w:bodyDiv w:val="1"/>
      <w:marLeft w:val="0"/>
      <w:marRight w:val="0"/>
      <w:marTop w:val="0"/>
      <w:marBottom w:val="0"/>
      <w:divBdr>
        <w:top w:val="none" w:sz="0" w:space="0" w:color="auto"/>
        <w:left w:val="none" w:sz="0" w:space="0" w:color="auto"/>
        <w:bottom w:val="none" w:sz="0" w:space="0" w:color="auto"/>
        <w:right w:val="none" w:sz="0" w:space="0" w:color="auto"/>
      </w:divBdr>
    </w:div>
    <w:div w:id="2067491086">
      <w:bodyDiv w:val="1"/>
      <w:marLeft w:val="0"/>
      <w:marRight w:val="0"/>
      <w:marTop w:val="0"/>
      <w:marBottom w:val="0"/>
      <w:divBdr>
        <w:top w:val="none" w:sz="0" w:space="0" w:color="auto"/>
        <w:left w:val="none" w:sz="0" w:space="0" w:color="auto"/>
        <w:bottom w:val="none" w:sz="0" w:space="0" w:color="auto"/>
        <w:right w:val="none" w:sz="0" w:space="0" w:color="auto"/>
      </w:divBdr>
    </w:div>
    <w:div w:id="2091731272">
      <w:bodyDiv w:val="1"/>
      <w:marLeft w:val="0"/>
      <w:marRight w:val="0"/>
      <w:marTop w:val="0"/>
      <w:marBottom w:val="0"/>
      <w:divBdr>
        <w:top w:val="none" w:sz="0" w:space="0" w:color="auto"/>
        <w:left w:val="none" w:sz="0" w:space="0" w:color="auto"/>
        <w:bottom w:val="none" w:sz="0" w:space="0" w:color="auto"/>
        <w:right w:val="none" w:sz="0" w:space="0" w:color="auto"/>
      </w:divBdr>
    </w:div>
    <w:div w:id="2122871841">
      <w:bodyDiv w:val="1"/>
      <w:marLeft w:val="0"/>
      <w:marRight w:val="0"/>
      <w:marTop w:val="0"/>
      <w:marBottom w:val="0"/>
      <w:divBdr>
        <w:top w:val="none" w:sz="0" w:space="0" w:color="auto"/>
        <w:left w:val="none" w:sz="0" w:space="0" w:color="auto"/>
        <w:bottom w:val="none" w:sz="0" w:space="0" w:color="auto"/>
        <w:right w:val="none" w:sz="0" w:space="0" w:color="auto"/>
      </w:divBdr>
      <w:divsChild>
        <w:div w:id="657851012">
          <w:marLeft w:val="0"/>
          <w:marRight w:val="0"/>
          <w:marTop w:val="0"/>
          <w:marBottom w:val="0"/>
          <w:divBdr>
            <w:top w:val="none" w:sz="0" w:space="0" w:color="auto"/>
            <w:left w:val="none" w:sz="0" w:space="0" w:color="auto"/>
            <w:bottom w:val="none" w:sz="0" w:space="0" w:color="auto"/>
            <w:right w:val="none" w:sz="0" w:space="0" w:color="auto"/>
          </w:divBdr>
          <w:divsChild>
            <w:div w:id="107822559">
              <w:marLeft w:val="0"/>
              <w:marRight w:val="0"/>
              <w:marTop w:val="0"/>
              <w:marBottom w:val="0"/>
              <w:divBdr>
                <w:top w:val="none" w:sz="0" w:space="0" w:color="auto"/>
                <w:left w:val="none" w:sz="0" w:space="0" w:color="auto"/>
                <w:bottom w:val="none" w:sz="0" w:space="0" w:color="auto"/>
                <w:right w:val="none" w:sz="0" w:space="0" w:color="auto"/>
              </w:divBdr>
              <w:divsChild>
                <w:div w:id="6214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0.xml"/><Relationship Id="rId21" Type="http://schemas.openxmlformats.org/officeDocument/2006/relationships/chart" Target="charts/chart8.xml"/><Relationship Id="rId42" Type="http://schemas.openxmlformats.org/officeDocument/2006/relationships/image" Target="media/image4.emf"/><Relationship Id="rId47" Type="http://schemas.openxmlformats.org/officeDocument/2006/relationships/oleObject" Target="https://husteduvn-my.sharepoint.com/personal/chi_lq233024_sis_hust_edu_vn/Documents/Final%20-%20Data%20HSG.xlsx!3.%20Financing!R3C22:R5C23" TargetMode="External"/><Relationship Id="rId63" Type="http://schemas.openxmlformats.org/officeDocument/2006/relationships/image" Target="media/image14.emf"/><Relationship Id="rId68" Type="http://schemas.openxmlformats.org/officeDocument/2006/relationships/image" Target="media/image16.emf"/><Relationship Id="rId84" Type="http://schemas.openxmlformats.org/officeDocument/2006/relationships/image" Target="media/image24.emf"/><Relationship Id="rId89" Type="http://schemas.openxmlformats.org/officeDocument/2006/relationships/oleObject" Target="https://husteduvn-my.sharepoint.com/personal/chi_lq233024_sis_hust_edu_vn/Documents/Final%20-%20Data%20HSG.xlsx!4.%20Investment!R53C1:R63C6" TargetMode="External"/><Relationship Id="rId112" Type="http://schemas.openxmlformats.org/officeDocument/2006/relationships/image" Target="media/image38.emf"/><Relationship Id="rId16" Type="http://schemas.openxmlformats.org/officeDocument/2006/relationships/chart" Target="charts/chart3.xml"/><Relationship Id="rId107" Type="http://schemas.openxmlformats.org/officeDocument/2006/relationships/oleObject" Target="https://husteduvn-my.sharepoint.com/personal/chi_lq233024_sis_hust_edu_vn/Documents/Final%20-%20Data%20HSG.xlsx!6.%20Overall%20assessment!R7C12:R10C16" TargetMode="External"/><Relationship Id="rId11" Type="http://schemas.openxmlformats.org/officeDocument/2006/relationships/header" Target="header2.xml"/><Relationship Id="rId32" Type="http://schemas.openxmlformats.org/officeDocument/2006/relationships/chart" Target="charts/chart16.xml"/><Relationship Id="rId37" Type="http://schemas.openxmlformats.org/officeDocument/2006/relationships/chart" Target="charts/chart21.xml"/><Relationship Id="rId53" Type="http://schemas.openxmlformats.org/officeDocument/2006/relationships/oleObject" Target="https://husteduvn-my.sharepoint.com/personal/chi_lq233024_sis_hust_edu_vn/Documents/Final%20-%20Data%20HSG.xlsx!3.%20Financing!R13C14:R18C17" TargetMode="External"/><Relationship Id="rId58" Type="http://schemas.openxmlformats.org/officeDocument/2006/relationships/image" Target="media/image12.emf"/><Relationship Id="rId74" Type="http://schemas.openxmlformats.org/officeDocument/2006/relationships/image" Target="media/image19.emf"/><Relationship Id="rId79" Type="http://schemas.openxmlformats.org/officeDocument/2006/relationships/oleObject" Target="https://husteduvn-my.sharepoint.com/personal/chi_lq233024_sis_hust_edu_vn/Documents/Final%20-%20Data%20HSG.xlsx!3.%20Financing!R89C17:R107C20" TargetMode="External"/><Relationship Id="rId102" Type="http://schemas.openxmlformats.org/officeDocument/2006/relationships/image" Target="media/image33.emf"/><Relationship Id="rId5" Type="http://schemas.openxmlformats.org/officeDocument/2006/relationships/webSettings" Target="webSettings.xml"/><Relationship Id="rId90" Type="http://schemas.openxmlformats.org/officeDocument/2006/relationships/image" Target="media/image27.emf"/><Relationship Id="rId95" Type="http://schemas.openxmlformats.org/officeDocument/2006/relationships/oleObject" Target="https://husteduvn-my.sharepoint.com/personal/chi_lq233024_sis_hust_edu_vn/Documents/Final%20-%20Data%20HSG.xlsx!5.%20Profit%20Sharing!R3C2:R5C5" TargetMode="External"/><Relationship Id="rId22" Type="http://schemas.openxmlformats.org/officeDocument/2006/relationships/image" Target="media/image2.emf"/><Relationship Id="rId27" Type="http://schemas.openxmlformats.org/officeDocument/2006/relationships/chart" Target="charts/chart11.xml"/><Relationship Id="rId43" Type="http://schemas.openxmlformats.org/officeDocument/2006/relationships/oleObject" Target="https://husteduvn-my.sharepoint.com/personal/chi_lq233024_sis_hust_edu_vn/Documents/Final%20-%20Data%20HSG.xlsx!3.%20Financing!R3C10:R4C13" TargetMode="External"/><Relationship Id="rId48" Type="http://schemas.openxmlformats.org/officeDocument/2006/relationships/image" Target="media/image7.emf"/><Relationship Id="rId64" Type="http://schemas.openxmlformats.org/officeDocument/2006/relationships/oleObject" Target="https://husteduvn-my.sharepoint.com/personal/chi_lq233024_sis_hust_edu_vn/Documents/Final%20-%20Data%20HSG.xlsx!3.%20Financing!R45C10:R46C13" TargetMode="External"/><Relationship Id="rId69" Type="http://schemas.openxmlformats.org/officeDocument/2006/relationships/oleObject" Target="https://husteduvn-my.sharepoint.com/personal/chi_lq233024_sis_hust_edu_vn/Documents/Final%20-%20Data%20HSG.xlsx!3.%20Financing!R79C4:R84C7" TargetMode="External"/><Relationship Id="rId113" Type="http://schemas.openxmlformats.org/officeDocument/2006/relationships/oleObject" Target="https://husteduvn-my.sharepoint.com/personal/chi_lq233024_sis_hust_edu_vn/Documents/Final%20-%20Data%20HSG.xlsx!6.%20Overall%20assessment!R2C18:R4C21" TargetMode="External"/><Relationship Id="rId80" Type="http://schemas.openxmlformats.org/officeDocument/2006/relationships/image" Target="media/image22.emf"/><Relationship Id="rId85" Type="http://schemas.openxmlformats.org/officeDocument/2006/relationships/oleObject" Target="https://husteduvn-my.sharepoint.com/personal/chi_lq233024_sis_hust_edu_vn/Documents/Final%20-%20Data%20HSG.xlsx!4.%20Investment!R39C2:R45C6" TargetMode="External"/><Relationship Id="rId12" Type="http://schemas.openxmlformats.org/officeDocument/2006/relationships/footer" Target="footer2.xml"/><Relationship Id="rId17" Type="http://schemas.openxmlformats.org/officeDocument/2006/relationships/chart" Target="charts/chart4.xml"/><Relationship Id="rId33" Type="http://schemas.openxmlformats.org/officeDocument/2006/relationships/chart" Target="charts/chart17.xml"/><Relationship Id="rId38" Type="http://schemas.openxmlformats.org/officeDocument/2006/relationships/chart" Target="charts/chart22.xml"/><Relationship Id="rId59" Type="http://schemas.openxmlformats.org/officeDocument/2006/relationships/oleObject" Target="https://husteduvn-my.sharepoint.com/personal/chi_lq233024_sis_hust_edu_vn/Documents/Final%20-%20Data%20HSG.xlsx!3.%20Financing!R34C10:R37C13" TargetMode="External"/><Relationship Id="rId103" Type="http://schemas.openxmlformats.org/officeDocument/2006/relationships/oleObject" Target="https://husteduvn-my.sharepoint.com/personal/chi_lq233024_sis_hust_edu_vn/Documents/Final%20-%20Data%20HSG.xlsx!5.%20Profit%20Sharing!R37C2:R41C4" TargetMode="External"/><Relationship Id="rId108" Type="http://schemas.openxmlformats.org/officeDocument/2006/relationships/image" Target="media/image36.emf"/><Relationship Id="rId54" Type="http://schemas.openxmlformats.org/officeDocument/2006/relationships/image" Target="media/image10.emf"/><Relationship Id="rId70" Type="http://schemas.openxmlformats.org/officeDocument/2006/relationships/image" Target="media/image17.emf"/><Relationship Id="rId75" Type="http://schemas.openxmlformats.org/officeDocument/2006/relationships/oleObject" Target="https://husteduvn-my.sharepoint.com/personal/chi_lq233024_sis_hust_edu_vn/Documents/Final%20-%20Data%20HSG.xlsx!3.%20Financing!R89C10:R92C13" TargetMode="External"/><Relationship Id="rId91" Type="http://schemas.openxmlformats.org/officeDocument/2006/relationships/oleObject" Target="https://husteduvn-my.sharepoint.com/personal/chi_lq233024_sis_hust_edu_vn/Documents/Final%20-%20Data%20HSG.xlsx!4.%20Investment!R65C1:R71C6" TargetMode="External"/><Relationship Id="rId96" Type="http://schemas.openxmlformats.org/officeDocument/2006/relationships/image" Target="media/image30.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oleObject" Target="https://husteduvn-my.sharepoint.com/personal/chi_lq233024_sis_hust_edu_vn/Documents/Final%20-%20Data%20HSG.xlsx!2.%20Financial%20statement!R57C6:R61C9" TargetMode="External"/><Relationship Id="rId28" Type="http://schemas.openxmlformats.org/officeDocument/2006/relationships/chart" Target="charts/chart12.xml"/><Relationship Id="rId36" Type="http://schemas.openxmlformats.org/officeDocument/2006/relationships/chart" Target="charts/chart20.xml"/><Relationship Id="rId49" Type="http://schemas.openxmlformats.org/officeDocument/2006/relationships/oleObject" Target="https://husteduvn-my.sharepoint.com/personal/chi_lq233024_sis_hust_edu_vn/Documents/Final%20-%20Data%20HSG.xlsx!3.%20Financing!R3C26:R5C29" TargetMode="External"/><Relationship Id="rId57" Type="http://schemas.openxmlformats.org/officeDocument/2006/relationships/oleObject" Target="https://husteduvn-my.sharepoint.com/personal/chi_lq233024_sis_hust_edu_vn/Documents/Final%20-%20Data%20HSG.xlsx!3.%20Financing!R34C4:R38C7" TargetMode="External"/><Relationship Id="rId106" Type="http://schemas.openxmlformats.org/officeDocument/2006/relationships/image" Target="media/image35.emf"/><Relationship Id="rId114"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chart" Target="charts/chart15.xml"/><Relationship Id="rId44" Type="http://schemas.openxmlformats.org/officeDocument/2006/relationships/image" Target="media/image5.emf"/><Relationship Id="rId52" Type="http://schemas.openxmlformats.org/officeDocument/2006/relationships/image" Target="media/image9.emf"/><Relationship Id="rId60" Type="http://schemas.openxmlformats.org/officeDocument/2006/relationships/image" Target="media/image13.emf"/><Relationship Id="rId65" Type="http://schemas.openxmlformats.org/officeDocument/2006/relationships/chart" Target="charts/chart25.xml"/><Relationship Id="rId73" Type="http://schemas.openxmlformats.org/officeDocument/2006/relationships/oleObject" Target="https://husteduvn-my.sharepoint.com/personal/chi_lq233024_sis_hust_edu_vn/Documents/Final%20-%20Data%20HSG.xlsx!3.%20Financing!R89C4:R96C7" TargetMode="External"/><Relationship Id="rId78" Type="http://schemas.openxmlformats.org/officeDocument/2006/relationships/image" Target="media/image21.emf"/><Relationship Id="rId81" Type="http://schemas.openxmlformats.org/officeDocument/2006/relationships/oleObject" Target="https://husteduvn-my.sharepoint.com/personal/chi_lq233024_sis_hust_edu_vn/Documents/Final%20-%20Data%20HSG.xlsx!4.%20Investment!R3C1:R27C5" TargetMode="External"/><Relationship Id="rId86" Type="http://schemas.openxmlformats.org/officeDocument/2006/relationships/image" Target="media/image25.emf"/><Relationship Id="rId94" Type="http://schemas.openxmlformats.org/officeDocument/2006/relationships/image" Target="media/image29.emf"/><Relationship Id="rId99" Type="http://schemas.openxmlformats.org/officeDocument/2006/relationships/oleObject" Target="https://husteduvn-my.sharepoint.com/personal/chi_lq233024_sis_hust_edu_vn/Documents/Final%20-%20Data%20HSG.xlsx!5.%20Profit%20Sharing!R19C2:R26C5" TargetMode="External"/><Relationship Id="rId101" Type="http://schemas.openxmlformats.org/officeDocument/2006/relationships/oleObject" Target="https://husteduvn-my.sharepoint.com/personal/chi_lq233024_sis_hust_edu_vn/Documents/Final%20-%20Data%20HSG.xlsx!5.%20Profit%20Sharing!R29C2:R32C4"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chart" Target="charts/chart5.xml"/><Relationship Id="rId39" Type="http://schemas.openxmlformats.org/officeDocument/2006/relationships/chart" Target="charts/chart23.xml"/><Relationship Id="rId109" Type="http://schemas.openxmlformats.org/officeDocument/2006/relationships/oleObject" Target="https://husteduvn-my.sharepoint.com/personal/chi_lq233024_sis_hust_edu_vn/Documents/Final%20-%20Data%20HSG.xlsx!6.%20Overall%20assessment!R12C12:R15C16" TargetMode="External"/><Relationship Id="rId34" Type="http://schemas.openxmlformats.org/officeDocument/2006/relationships/chart" Target="charts/chart18.xml"/><Relationship Id="rId50" Type="http://schemas.openxmlformats.org/officeDocument/2006/relationships/image" Target="media/image8.emf"/><Relationship Id="rId55" Type="http://schemas.openxmlformats.org/officeDocument/2006/relationships/oleObject" Target="https://husteduvn-my.sharepoint.com/personal/chi_lq233024_sis_hust_edu_vn/Documents/Final%20-%20Data%20HSG.xlsx!3.%20Financing!R13C19:R17C25" TargetMode="External"/><Relationship Id="rId76" Type="http://schemas.openxmlformats.org/officeDocument/2006/relationships/image" Target="media/image20.emf"/><Relationship Id="rId97" Type="http://schemas.openxmlformats.org/officeDocument/2006/relationships/oleObject" Target="https://husteduvn-my.sharepoint.com/personal/chi_lq233024_sis_hust_edu_vn/Documents/Final%20-%20Data%20HSG.xlsx!5.%20Profit%20Sharing!R10C2:R17C4" TargetMode="External"/><Relationship Id="rId104" Type="http://schemas.openxmlformats.org/officeDocument/2006/relationships/image" Target="media/image34.emf"/><Relationship Id="rId7" Type="http://schemas.openxmlformats.org/officeDocument/2006/relationships/endnotes" Target="endnotes.xml"/><Relationship Id="rId71" Type="http://schemas.openxmlformats.org/officeDocument/2006/relationships/oleObject" Target="https://husteduvn-my.sharepoint.com/personal/chi_lq233024_sis_hust_edu_vn/Documents/Final%20-%20Data%20HSG.xlsx!3.%20Financing!R73C12:R77C15" TargetMode="External"/><Relationship Id="rId92" Type="http://schemas.openxmlformats.org/officeDocument/2006/relationships/image" Target="media/image28.emf"/><Relationship Id="rId2" Type="http://schemas.openxmlformats.org/officeDocument/2006/relationships/numbering" Target="numbering.xml"/><Relationship Id="rId29" Type="http://schemas.openxmlformats.org/officeDocument/2006/relationships/chart" Target="charts/chart13.xml"/><Relationship Id="rId24" Type="http://schemas.openxmlformats.org/officeDocument/2006/relationships/hyperlink" Target="https://trungtamwto.vn/chuyen-de/23844-chong-chat-kho-khan-thi-truong-thep-nam-2023-se-dien-bien-ra-sao" TargetMode="External"/><Relationship Id="rId40" Type="http://schemas.openxmlformats.org/officeDocument/2006/relationships/image" Target="media/image3.emf"/><Relationship Id="rId45" Type="http://schemas.openxmlformats.org/officeDocument/2006/relationships/oleObject" Target="https://husteduvn-my.sharepoint.com/personal/chi_lq233024_sis_hust_edu_vn/Documents/Final%20-%20Data%20HSG.xlsx!3.%20Financing!R3C16:R4C19" TargetMode="External"/><Relationship Id="rId66" Type="http://schemas.openxmlformats.org/officeDocument/2006/relationships/image" Target="media/image15.emf"/><Relationship Id="rId87" Type="http://schemas.openxmlformats.org/officeDocument/2006/relationships/oleObject" Target="https://husteduvn-my.sharepoint.com/personal/chi_lq233024_sis_hust_edu_vn/Documents/Final%20-%20Data%20HSG.xlsx!4.%20Investment!R47C2:R50C6" TargetMode="External"/><Relationship Id="rId110" Type="http://schemas.openxmlformats.org/officeDocument/2006/relationships/image" Target="media/image37.emf"/><Relationship Id="rId115" Type="http://schemas.openxmlformats.org/officeDocument/2006/relationships/theme" Target="theme/theme1.xml"/><Relationship Id="rId61" Type="http://schemas.openxmlformats.org/officeDocument/2006/relationships/oleObject" Target="https://husteduvn-my.sharepoint.com/personal/chi_lq233024_sis_hust_edu_vn/Documents/Final%20-%20Data%20HSG.xlsx!3.%20Financing!R45C4:R47C7" TargetMode="External"/><Relationship Id="rId82" Type="http://schemas.openxmlformats.org/officeDocument/2006/relationships/image" Target="media/image23.emf"/><Relationship Id="rId19" Type="http://schemas.openxmlformats.org/officeDocument/2006/relationships/chart" Target="charts/chart6.xml"/><Relationship Id="rId14" Type="http://schemas.openxmlformats.org/officeDocument/2006/relationships/chart" Target="charts/chart1.xml"/><Relationship Id="rId30" Type="http://schemas.openxmlformats.org/officeDocument/2006/relationships/chart" Target="charts/chart14.xml"/><Relationship Id="rId35" Type="http://schemas.openxmlformats.org/officeDocument/2006/relationships/chart" Target="charts/chart19.xml"/><Relationship Id="rId56" Type="http://schemas.openxmlformats.org/officeDocument/2006/relationships/image" Target="media/image11.emf"/><Relationship Id="rId77" Type="http://schemas.openxmlformats.org/officeDocument/2006/relationships/oleObject" Target="https://husteduvn-my.sharepoint.com/personal/chi_lq233024_sis_hust_edu_vn/Documents/Final%20-%20Data%20HSG.xlsx!3.%20Financing!R95C10:R100C13" TargetMode="External"/><Relationship Id="rId100" Type="http://schemas.openxmlformats.org/officeDocument/2006/relationships/image" Target="media/image32.emf"/><Relationship Id="rId105" Type="http://schemas.openxmlformats.org/officeDocument/2006/relationships/oleObject" Target="https://husteduvn-my.sharepoint.com/personal/chi_lq233024_sis_hust_edu_vn/Documents/Final%20-%20Data%20HSG.xlsx!6.%20Overall%20assessment!R2C12:R5C16" TargetMode="External"/><Relationship Id="rId8" Type="http://schemas.openxmlformats.org/officeDocument/2006/relationships/image" Target="media/image1.png"/><Relationship Id="rId51" Type="http://schemas.openxmlformats.org/officeDocument/2006/relationships/oleObject" Target="https://husteduvn-my.sharepoint.com/personal/chi_lq233024_sis_hust_edu_vn/Documents/Final%20-%20Data%20HSG.xlsx!3.%20Financing!R13C4:R16C7" TargetMode="External"/><Relationship Id="rId72" Type="http://schemas.openxmlformats.org/officeDocument/2006/relationships/image" Target="media/image18.emf"/><Relationship Id="rId93" Type="http://schemas.openxmlformats.org/officeDocument/2006/relationships/oleObject" Target="https://husteduvn-my.sharepoint.com/personal/chi_lq233024_sis_hust_edu_vn/Documents/Final%20-%20Data%20HSG.xlsx!4.%20Investment!R73C1:R77C6" TargetMode="External"/><Relationship Id="rId98" Type="http://schemas.openxmlformats.org/officeDocument/2006/relationships/image" Target="media/image31.emf"/><Relationship Id="rId3" Type="http://schemas.openxmlformats.org/officeDocument/2006/relationships/styles" Target="styles.xml"/><Relationship Id="rId25" Type="http://schemas.openxmlformats.org/officeDocument/2006/relationships/chart" Target="charts/chart9.xml"/><Relationship Id="rId46" Type="http://schemas.openxmlformats.org/officeDocument/2006/relationships/image" Target="media/image6.emf"/><Relationship Id="rId67" Type="http://schemas.openxmlformats.org/officeDocument/2006/relationships/oleObject" Target="https://husteduvn-my.sharepoint.com/personal/chi_lq233024_sis_hust_edu_vn/Documents/Final%20-%20Data%20HSG.xlsx!3.%20Financing!R10C49:R19C52" TargetMode="External"/><Relationship Id="rId20" Type="http://schemas.openxmlformats.org/officeDocument/2006/relationships/chart" Target="charts/chart7.xml"/><Relationship Id="rId41" Type="http://schemas.openxmlformats.org/officeDocument/2006/relationships/oleObject" Target="https://husteduvn-my.sharepoint.com/personal/chi_lq233024_sis_hust_edu_vn/Documents/Final%20-%20Data%20HSG.xlsx!3.%20Financing!R3C4:R9C7" TargetMode="External"/><Relationship Id="rId62" Type="http://schemas.openxmlformats.org/officeDocument/2006/relationships/chart" Target="charts/chart24.xml"/><Relationship Id="rId83" Type="http://schemas.openxmlformats.org/officeDocument/2006/relationships/oleObject" Target="https://husteduvn-my.sharepoint.com/personal/chi_lq233024_sis_hust_edu_vn/Documents/Final%20-%20Data%20HSG.xlsx!4.%20Investment!R30C1:R35C5" TargetMode="External"/><Relationship Id="rId88" Type="http://schemas.openxmlformats.org/officeDocument/2006/relationships/image" Target="media/image26.emf"/><Relationship Id="rId111" Type="http://schemas.openxmlformats.org/officeDocument/2006/relationships/oleObject" Target="https://husteduvn-my.sharepoint.com/personal/chi_lq233024_sis_hust_edu_vn/Documents/Final%20-%20Data%20HSG.xlsx!6.%20Overall%20assessment!R17C12:R20C16"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husteduvn-my.sharepoint.com/personal/chi_lq233024_sis_hust_edu_vn/Documents/Final%20-%20Data%20HS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husteduvn-my.sharepoint.com/personal/chi_lq233024_sis_hust_edu_vn/Documents/Final%20-%20Data%20HSG.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husteduvn-my.sharepoint.com/personal/chi_lq233024_sis_hust_edu_vn/Documents/Final%20-%20Data%20HSG.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husteduvn-my.sharepoint.com/personal/chi_lq233024_sis_hust_edu_vn/Documents/Final%20-%20Data%20HSG.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husteduvn-my.sharepoint.com/personal/chi_lq233024_sis_hust_edu_vn/Documents/Final%20-%20Data%20HSG.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husteduvn-my.sharepoint.com/personal/chi_lq233024_sis_hust_edu_vn/Documents/Final%20-%20Data%20HSG.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husteduvn-my.sharepoint.com/personal/chi_lq233024_sis_hust_edu_vn/Documents/Final%20-%20Data%20HSG.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1" Type="http://schemas.openxmlformats.org/officeDocument/2006/relationships/oleObject" Target="https://husteduvn-my.sharepoint.com/personal/chi_lq233024_sis_hust_edu_vn/Documents/Final%20-%20Data%20HSG.xlsx" TargetMode="External"/></Relationships>
</file>

<file path=word/charts/_rels/chart9.xml.rels><?xml version="1.0" encoding="UTF-8" standalone="yes"?>
<Relationships xmlns="http://schemas.openxmlformats.org/package/2006/relationships"><Relationship Id="rId3" Type="http://schemas.openxmlformats.org/officeDocument/2006/relationships/oleObject" Target="https://husteduvn-my.sharepoint.com/personal/chi_lq233024_sis_hust_edu_vn/Documents/Final%20-%20Data%20HSG.xlsx" TargetMode="External"/><Relationship Id="rId2" Type="http://schemas.microsoft.com/office/2011/relationships/chartColorStyle" Target="colors8.xml"/><Relationship Id="rId1" Type="http://schemas.microsoft.com/office/2011/relationships/chartStyle" Target="style8.xml"/></Relationships>
</file>

<file path=word/charts/_rels/chart10.xml.rels><?xml version="1.0" encoding="UTF-8" standalone="yes"?>
<Relationships xmlns="http://schemas.openxmlformats.org/package/2006/relationships"><Relationship Id="rId3" Type="http://schemas.openxmlformats.org/officeDocument/2006/relationships/oleObject" Target="https://husteduvn-my.sharepoint.com/personal/chi_lq233024_sis_hust_edu_vn/Documents/Final%20-%20Data%20HSG.xlsx" TargetMode="External"/><Relationship Id="rId2" Type="http://schemas.microsoft.com/office/2011/relationships/chartColorStyle" Target="colors9.xml"/><Relationship Id="rId1" Type="http://schemas.microsoft.com/office/2011/relationships/chartStyle" Target="style9.xml"/></Relationships>
</file>

<file path=word/charts/_rels/chart11.xml.rels><?xml version="1.0" encoding="UTF-8" standalone="yes"?>
<Relationships xmlns="http://schemas.openxmlformats.org/package/2006/relationships"><Relationship Id="rId3" Type="http://schemas.openxmlformats.org/officeDocument/2006/relationships/oleObject" Target="https://husteduvn-my.sharepoint.com/personal/chi_lq233024_sis_hust_edu_vn/Documents/Final%20-%20Data%20HSG.xlsx" TargetMode="External"/><Relationship Id="rId2" Type="http://schemas.microsoft.com/office/2011/relationships/chartColorStyle" Target="colors10.xml"/><Relationship Id="rId1" Type="http://schemas.microsoft.com/office/2011/relationships/chartStyle" Target="style10.xml"/></Relationships>
</file>

<file path=word/charts/_rels/chart12.xml.rels><?xml version="1.0" encoding="UTF-8" standalone="yes"?>
<Relationships xmlns="http://schemas.openxmlformats.org/package/2006/relationships"><Relationship Id="rId3" Type="http://schemas.openxmlformats.org/officeDocument/2006/relationships/oleObject" Target="https://husteduvn-my.sharepoint.com/personal/chi_lq233024_sis_hust_edu_vn/Documents/Final%20-%20Data%20HSG.xlsx" TargetMode="External"/><Relationship Id="rId2" Type="http://schemas.microsoft.com/office/2011/relationships/chartColorStyle" Target="colors11.xml"/><Relationship Id="rId1" Type="http://schemas.microsoft.com/office/2011/relationships/chartStyle" Target="style11.xml"/></Relationships>
</file>

<file path=word/charts/_rels/chart13.xml.rels><?xml version="1.0" encoding="UTF-8" standalone="yes"?>
<Relationships xmlns="http://schemas.openxmlformats.org/package/2006/relationships"><Relationship Id="rId3" Type="http://schemas.openxmlformats.org/officeDocument/2006/relationships/oleObject" Target="https://husteduvn-my.sharepoint.com/personal/chi_lq233024_sis_hust_edu_vn/Documents/Final%20-%20Data%20HSG.xlsx" TargetMode="External"/><Relationship Id="rId2" Type="http://schemas.microsoft.com/office/2011/relationships/chartColorStyle" Target="colors12.xml"/><Relationship Id="rId1" Type="http://schemas.microsoft.com/office/2011/relationships/chartStyle" Target="style12.xml"/></Relationships>
</file>

<file path=word/charts/_rels/chart14.xml.rels><?xml version="1.0" encoding="UTF-8" standalone="yes"?>
<Relationships xmlns="http://schemas.openxmlformats.org/package/2006/relationships"><Relationship Id="rId3" Type="http://schemas.openxmlformats.org/officeDocument/2006/relationships/oleObject" Target="https://husteduvn-my.sharepoint.com/personal/chi_lq233024_sis_hust_edu_vn/Documents/Final%20-%20Data%20HSG.xlsx" TargetMode="External"/><Relationship Id="rId2" Type="http://schemas.microsoft.com/office/2011/relationships/chartColorStyle" Target="colors13.xml"/><Relationship Id="rId1" Type="http://schemas.microsoft.com/office/2011/relationships/chartStyle" Target="style13.xml"/></Relationships>
</file>

<file path=word/charts/_rels/chart15.xml.rels><?xml version="1.0" encoding="UTF-8" standalone="yes"?>
<Relationships xmlns="http://schemas.openxmlformats.org/package/2006/relationships"><Relationship Id="rId3" Type="http://schemas.openxmlformats.org/officeDocument/2006/relationships/oleObject" Target="https://husteduvn-my.sharepoint.com/personal/chi_lq233024_sis_hust_edu_vn/Documents/Final%20-%20Data%20HSG.xlsx" TargetMode="External"/><Relationship Id="rId2" Type="http://schemas.microsoft.com/office/2011/relationships/chartColorStyle" Target="colors14.xml"/><Relationship Id="rId1" Type="http://schemas.microsoft.com/office/2011/relationships/chartStyle" Target="style14.xml"/></Relationships>
</file>

<file path=word/charts/_rels/chart16.xml.rels><?xml version="1.0" encoding="UTF-8" standalone="yes"?>
<Relationships xmlns="http://schemas.openxmlformats.org/package/2006/relationships"><Relationship Id="rId3" Type="http://schemas.openxmlformats.org/officeDocument/2006/relationships/oleObject" Target="https://husteduvn-my.sharepoint.com/personal/chi_lq233024_sis_hust_edu_vn/Documents/Final%20-%20Data%20HSG.xlsx" TargetMode="External"/><Relationship Id="rId2" Type="http://schemas.microsoft.com/office/2011/relationships/chartColorStyle" Target="colors15.xml"/><Relationship Id="rId1" Type="http://schemas.microsoft.com/office/2011/relationships/chartStyle" Target="style15.xml"/></Relationships>
</file>

<file path=word/charts/_rels/chart17.xml.rels><?xml version="1.0" encoding="UTF-8" standalone="yes"?>
<Relationships xmlns="http://schemas.openxmlformats.org/package/2006/relationships"><Relationship Id="rId2" Type="http://schemas.openxmlformats.org/officeDocument/2006/relationships/oleObject" Target="https://husteduvn-my.sharepoint.com/personal/chi_lq233024_sis_hust_edu_vn/Documents/Final%20-%20Data%20HSG.xlsx" TargetMode="External"/><Relationship Id="rId1" Type="http://schemas.openxmlformats.org/officeDocument/2006/relationships/themeOverride" Target="../theme/themeOverride1.xml"/></Relationships>
</file>

<file path=word/charts/_rels/chart18.xml.rels><?xml version="1.0" encoding="UTF-8" standalone="yes"?>
<Relationships xmlns="http://schemas.openxmlformats.org/package/2006/relationships"><Relationship Id="rId2" Type="http://schemas.openxmlformats.org/officeDocument/2006/relationships/oleObject" Target="https://husteduvn-my.sharepoint.com/personal/chi_lq233024_sis_hust_edu_vn/Documents/Final%20-%20Data%20HSG.xlsx" TargetMode="External"/><Relationship Id="rId1" Type="http://schemas.openxmlformats.org/officeDocument/2006/relationships/themeOverride" Target="../theme/themeOverride2.xml"/></Relationships>
</file>

<file path=word/charts/_rels/chart19.xml.rels><?xml version="1.0" encoding="UTF-8" standalone="yes"?>
<Relationships xmlns="http://schemas.openxmlformats.org/package/2006/relationships"><Relationship Id="rId3" Type="http://schemas.openxmlformats.org/officeDocument/2006/relationships/oleObject" Target="https://husteduvn-my.sharepoint.com/personal/chi_lq233024_sis_hust_edu_vn/Documents/Final%20-%20Data%20HSG.xlsx" TargetMode="External"/><Relationship Id="rId2" Type="http://schemas.microsoft.com/office/2011/relationships/chartColorStyle" Target="colors16.xml"/><Relationship Id="rId1" Type="http://schemas.microsoft.com/office/2011/relationships/chartStyle" Target="style16.xml"/></Relationships>
</file>

<file path=word/charts/_rels/chart20.xml.rels><?xml version="1.0" encoding="UTF-8" standalone="yes"?>
<Relationships xmlns="http://schemas.openxmlformats.org/package/2006/relationships"><Relationship Id="rId3" Type="http://schemas.openxmlformats.org/officeDocument/2006/relationships/oleObject" Target="https://husteduvn-my.sharepoint.com/personal/chi_lq233024_sis_hust_edu_vn/Documents/Final%20-%20Data%20HSG.xlsx" TargetMode="External"/><Relationship Id="rId2" Type="http://schemas.microsoft.com/office/2011/relationships/chartColorStyle" Target="colors17.xml"/><Relationship Id="rId1" Type="http://schemas.microsoft.com/office/2011/relationships/chartStyle" Target="style17.xml"/></Relationships>
</file>

<file path=word/charts/_rels/chart21.xml.rels><?xml version="1.0" encoding="UTF-8" standalone="yes"?>
<Relationships xmlns="http://schemas.openxmlformats.org/package/2006/relationships"><Relationship Id="rId3" Type="http://schemas.openxmlformats.org/officeDocument/2006/relationships/oleObject" Target="https://husteduvn-my.sharepoint.com/personal/chi_lq233024_sis_hust_edu_vn/Documents/Final%20-%20Data%20HSG.xlsx" TargetMode="External"/><Relationship Id="rId2" Type="http://schemas.microsoft.com/office/2011/relationships/chartColorStyle" Target="colors18.xml"/><Relationship Id="rId1" Type="http://schemas.microsoft.com/office/2011/relationships/chartStyle" Target="style18.xml"/></Relationships>
</file>

<file path=word/charts/_rels/chart22.xml.rels><?xml version="1.0" encoding="UTF-8" standalone="yes"?>
<Relationships xmlns="http://schemas.openxmlformats.org/package/2006/relationships"><Relationship Id="rId2" Type="http://schemas.openxmlformats.org/officeDocument/2006/relationships/oleObject" Target="https://husteduvn-my.sharepoint.com/personal/chi_lq233024_sis_hust_edu_vn/Documents/Final%20-%20Data%20HSG.xlsx" TargetMode="External"/><Relationship Id="rId1" Type="http://schemas.openxmlformats.org/officeDocument/2006/relationships/themeOverride" Target="../theme/themeOverride3.xml"/></Relationships>
</file>

<file path=word/charts/_rels/chart23.xml.rels><?xml version="1.0" encoding="UTF-8" standalone="yes"?>
<Relationships xmlns="http://schemas.openxmlformats.org/package/2006/relationships"><Relationship Id="rId3" Type="http://schemas.openxmlformats.org/officeDocument/2006/relationships/oleObject" Target="https://husteduvn-my.sharepoint.com/personal/chi_lq233024_sis_hust_edu_vn/Documents/Final%20-%20Data%20HSG.xlsx" TargetMode="External"/><Relationship Id="rId2" Type="http://schemas.microsoft.com/office/2011/relationships/chartColorStyle" Target="colors19.xml"/><Relationship Id="rId1" Type="http://schemas.microsoft.com/office/2011/relationships/chartStyle" Target="style19.xml"/></Relationships>
</file>

<file path=word/charts/_rels/chart24.xml.rels><?xml version="1.0" encoding="UTF-8" standalone="yes"?>
<Relationships xmlns="http://schemas.openxmlformats.org/package/2006/relationships"><Relationship Id="rId3" Type="http://schemas.openxmlformats.org/officeDocument/2006/relationships/oleObject" Target="https://husteduvn-my.sharepoint.com/personal/chi_lq233024_sis_hust_edu_vn/Documents/Final%20-%20Data%20HSG.xlsx" TargetMode="External"/><Relationship Id="rId2" Type="http://schemas.microsoft.com/office/2011/relationships/chartColorStyle" Target="colors20.xml"/><Relationship Id="rId1" Type="http://schemas.microsoft.com/office/2011/relationships/chartStyle" Target="style20.xml"/></Relationships>
</file>

<file path=word/charts/_rels/chart25.xml.rels><?xml version="1.0" encoding="UTF-8" standalone="yes"?>
<Relationships xmlns="http://schemas.openxmlformats.org/package/2006/relationships"><Relationship Id="rId3" Type="http://schemas.openxmlformats.org/officeDocument/2006/relationships/oleObject" Target="https://husteduvn-my.sharepoint.com/personal/chi_lq233024_sis_hust_edu_vn/Documents/Final%20-%20Data%20HSG.xlsx" TargetMode="External"/><Relationship Id="rId2" Type="http://schemas.microsoft.com/office/2011/relationships/chartColorStyle" Target="colors21.xml"/><Relationship Id="rId1" Type="http://schemas.microsoft.com/office/2011/relationships/chartStyle" Target="style2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Assets Trend (trillion VND)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barChart>
        <c:barDir val="col"/>
        <c:grouping val="clustered"/>
        <c:varyColors val="0"/>
        <c:ser>
          <c:idx val="0"/>
          <c:order val="0"/>
          <c:tx>
            <c:strRef>
              <c:f>'2. Financial statement'!$B$2</c:f>
              <c:strCache>
                <c:ptCount val="1"/>
                <c:pt idx="0">
                  <c:v>Total Assets (trillion VND)</c:v>
                </c:pt>
              </c:strCache>
            </c:strRef>
          </c:tx>
          <c:spPr>
            <a:solidFill>
              <a:schemeClr val="accent1"/>
            </a:solidFill>
            <a:ln>
              <a:noFill/>
            </a:ln>
            <a:effectLst/>
          </c:spPr>
          <c:invertIfNegative val="0"/>
          <c:trendline>
            <c:spPr>
              <a:ln w="19050" cap="rnd">
                <a:solidFill>
                  <a:schemeClr val="accent1"/>
                </a:solidFill>
                <a:prstDash val="sysDot"/>
              </a:ln>
              <a:effectLst/>
            </c:spPr>
            <c:trendlineType val="linear"/>
            <c:dispRSqr val="0"/>
            <c:dispEq val="0"/>
          </c:trendline>
          <c:cat>
            <c:numRef>
              <c:f>'2. Financial statement'!$A$3:$A$5</c:f>
              <c:numCache>
                <c:formatCode>General</c:formatCode>
                <c:ptCount val="3"/>
                <c:pt idx="0">
                  <c:v>2022</c:v>
                </c:pt>
                <c:pt idx="1">
                  <c:v>2023</c:v>
                </c:pt>
                <c:pt idx="2">
                  <c:v>2024</c:v>
                </c:pt>
              </c:numCache>
            </c:numRef>
          </c:cat>
          <c:val>
            <c:numRef>
              <c:f>'2. Financial statement'!$B$3:$B$5</c:f>
              <c:numCache>
                <c:formatCode>#,##0.00</c:formatCode>
                <c:ptCount val="3"/>
                <c:pt idx="0">
                  <c:v>17.377161315995</c:v>
                </c:pt>
                <c:pt idx="1">
                  <c:v>18.111796269189</c:v>
                </c:pt>
                <c:pt idx="2">
                  <c:v>20.311783916069</c:v>
                </c:pt>
              </c:numCache>
            </c:numRef>
          </c:val>
          <c:extLst>
            <c:ext xmlns:c16="http://schemas.microsoft.com/office/drawing/2014/chart" uri="{C3380CC4-5D6E-409C-BE32-E72D297353CC}">
              <c16:uniqueId val="{00000001-B51F-47BC-9C0C-BD6488ADD823}"/>
            </c:ext>
          </c:extLst>
        </c:ser>
        <c:dLbls>
          <c:showLegendKey val="0"/>
          <c:showVal val="0"/>
          <c:showCatName val="0"/>
          <c:showSerName val="0"/>
          <c:showPercent val="0"/>
          <c:showBubbleSize val="0"/>
        </c:dLbls>
        <c:gapWidth val="219"/>
        <c:overlap val="-27"/>
        <c:axId val="2069123520"/>
        <c:axId val="2069125248"/>
      </c:barChart>
      <c:catAx>
        <c:axId val="2069123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2069125248"/>
        <c:crosses val="autoZero"/>
        <c:auto val="1"/>
        <c:lblAlgn val="ctr"/>
        <c:lblOffset val="100"/>
        <c:noMultiLvlLbl val="0"/>
      </c:catAx>
      <c:valAx>
        <c:axId val="206912524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206912352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VN"/>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Structure of Total Assets (2022-2024)</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barChart>
        <c:barDir val="col"/>
        <c:grouping val="percentStacked"/>
        <c:varyColors val="0"/>
        <c:ser>
          <c:idx val="1"/>
          <c:order val="0"/>
          <c:tx>
            <c:strRef>
              <c:f>'2. Financial statement'!$A$9</c:f>
              <c:strCache>
                <c:ptCount val="1"/>
                <c:pt idx="0">
                  <c:v>CA(%)</c:v>
                </c:pt>
              </c:strCache>
            </c:strRef>
          </c:tx>
          <c:spPr>
            <a:solidFill>
              <a:schemeClr val="accent2"/>
            </a:solidFill>
            <a:ln>
              <a:noFill/>
            </a:ln>
            <a:effectLst/>
          </c:spPr>
          <c:invertIfNegative val="0"/>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VN"/>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'2. Financial statement'!$B$8:$D$8</c:f>
              <c:numCache>
                <c:formatCode>General</c:formatCode>
                <c:ptCount val="3"/>
                <c:pt idx="0">
                  <c:v>2022</c:v>
                </c:pt>
                <c:pt idx="1">
                  <c:v>2023</c:v>
                </c:pt>
                <c:pt idx="2">
                  <c:v>2024</c:v>
                </c:pt>
              </c:numCache>
            </c:numRef>
          </c:cat>
          <c:val>
            <c:numRef>
              <c:f>'2. Financial statement'!$B$9:$D$9</c:f>
              <c:numCache>
                <c:formatCode>0%</c:formatCode>
                <c:ptCount val="3"/>
                <c:pt idx="0">
                  <c:v>0.70543364393933483</c:v>
                </c:pt>
                <c:pt idx="1">
                  <c:v>0.7280782363446644</c:v>
                </c:pt>
                <c:pt idx="2">
                  <c:v>0.76546140319633871</c:v>
                </c:pt>
              </c:numCache>
            </c:numRef>
          </c:val>
          <c:extLst>
            <c:ext xmlns:c16="http://schemas.microsoft.com/office/drawing/2014/chart" uri="{C3380CC4-5D6E-409C-BE32-E72D297353CC}">
              <c16:uniqueId val="{00000000-A43C-4688-9BD8-5909ADCE9304}"/>
            </c:ext>
          </c:extLst>
        </c:ser>
        <c:ser>
          <c:idx val="2"/>
          <c:order val="1"/>
          <c:tx>
            <c:strRef>
              <c:f>'2. Financial statement'!$A$10</c:f>
              <c:strCache>
                <c:ptCount val="1"/>
                <c:pt idx="0">
                  <c:v>NCA(%)</c:v>
                </c:pt>
              </c:strCache>
            </c:strRef>
          </c:tx>
          <c:spPr>
            <a:solidFill>
              <a:schemeClr val="accent3"/>
            </a:solidFill>
            <a:ln>
              <a:noFill/>
            </a:ln>
            <a:effectLst/>
          </c:spPr>
          <c:invertIfNegative val="0"/>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VN"/>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'2. Financial statement'!$B$8:$D$8</c:f>
              <c:numCache>
                <c:formatCode>General</c:formatCode>
                <c:ptCount val="3"/>
                <c:pt idx="0">
                  <c:v>2022</c:v>
                </c:pt>
                <c:pt idx="1">
                  <c:v>2023</c:v>
                </c:pt>
                <c:pt idx="2">
                  <c:v>2024</c:v>
                </c:pt>
              </c:numCache>
            </c:numRef>
          </c:cat>
          <c:val>
            <c:numRef>
              <c:f>'2. Financial statement'!$B$10:$D$10</c:f>
              <c:numCache>
                <c:formatCode>0%</c:formatCode>
                <c:ptCount val="3"/>
                <c:pt idx="0">
                  <c:v>0.29456635606066517</c:v>
                </c:pt>
                <c:pt idx="1">
                  <c:v>0.2719217636553356</c:v>
                </c:pt>
                <c:pt idx="2">
                  <c:v>0.23453859680366132</c:v>
                </c:pt>
              </c:numCache>
            </c:numRef>
          </c:val>
          <c:extLst>
            <c:ext xmlns:c16="http://schemas.microsoft.com/office/drawing/2014/chart" uri="{C3380CC4-5D6E-409C-BE32-E72D297353CC}">
              <c16:uniqueId val="{00000001-A43C-4688-9BD8-5909ADCE9304}"/>
            </c:ext>
          </c:extLst>
        </c:ser>
        <c:dLbls>
          <c:showLegendKey val="0"/>
          <c:showVal val="1"/>
          <c:showCatName val="0"/>
          <c:showSerName val="0"/>
          <c:showPercent val="0"/>
          <c:showBubbleSize val="0"/>
        </c:dLbls>
        <c:gapWidth val="95"/>
        <c:overlap val="100"/>
        <c:axId val="503760863"/>
        <c:axId val="1394286896"/>
      </c:barChart>
      <c:catAx>
        <c:axId val="5037608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394286896"/>
        <c:crosses val="autoZero"/>
        <c:auto val="1"/>
        <c:lblAlgn val="ctr"/>
        <c:lblOffset val="100"/>
        <c:noMultiLvlLbl val="0"/>
      </c:catAx>
      <c:valAx>
        <c:axId val="1394286896"/>
        <c:scaling>
          <c:orientation val="minMax"/>
        </c:scaling>
        <c:delete val="1"/>
        <c:axPos val="l"/>
        <c:numFmt formatCode="0%" sourceLinked="1"/>
        <c:majorTickMark val="none"/>
        <c:minorTickMark val="none"/>
        <c:tickLblPos val="nextTo"/>
        <c:crossAx val="503760863"/>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Structure of CA (2022)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pieChart>
        <c:varyColors val="1"/>
        <c:ser>
          <c:idx val="0"/>
          <c:order val="0"/>
          <c:tx>
            <c:strRef>
              <c:f>'2. Financial statement'!$A$12:$D$12</c:f>
              <c:strCache>
                <c:ptCount val="1"/>
                <c:pt idx="0">
                  <c:v>CA structure</c:v>
                </c:pt>
              </c:strCache>
            </c:strRef>
          </c:tx>
          <c:dPt>
            <c:idx val="0"/>
            <c:bubble3D val="0"/>
            <c:spPr>
              <a:solidFill>
                <a:schemeClr val="accent2">
                  <a:shade val="53000"/>
                </a:schemeClr>
              </a:solidFill>
              <a:ln w="19050">
                <a:solidFill>
                  <a:schemeClr val="lt1"/>
                </a:solidFill>
              </a:ln>
              <a:effectLst/>
            </c:spPr>
            <c:extLst>
              <c:ext xmlns:c16="http://schemas.microsoft.com/office/drawing/2014/chart" uri="{C3380CC4-5D6E-409C-BE32-E72D297353CC}">
                <c16:uniqueId val="{00000001-F80F-4FB2-B3AA-97D572BC0181}"/>
              </c:ext>
            </c:extLst>
          </c:dPt>
          <c:dPt>
            <c:idx val="1"/>
            <c:bubble3D val="0"/>
            <c:spPr>
              <a:solidFill>
                <a:schemeClr val="accent2">
                  <a:shade val="76000"/>
                </a:schemeClr>
              </a:solidFill>
              <a:ln w="19050">
                <a:solidFill>
                  <a:schemeClr val="lt1"/>
                </a:solidFill>
              </a:ln>
              <a:effectLst/>
            </c:spPr>
            <c:extLst>
              <c:ext xmlns:c16="http://schemas.microsoft.com/office/drawing/2014/chart" uri="{C3380CC4-5D6E-409C-BE32-E72D297353CC}">
                <c16:uniqueId val="{00000003-F80F-4FB2-B3AA-97D572BC0181}"/>
              </c:ext>
            </c:extLst>
          </c:dPt>
          <c:dPt>
            <c:idx val="2"/>
            <c:bubble3D val="0"/>
            <c:spPr>
              <a:solidFill>
                <a:schemeClr val="accent2"/>
              </a:solidFill>
              <a:ln w="19050">
                <a:solidFill>
                  <a:schemeClr val="lt1"/>
                </a:solidFill>
              </a:ln>
              <a:effectLst/>
            </c:spPr>
            <c:extLst>
              <c:ext xmlns:c16="http://schemas.microsoft.com/office/drawing/2014/chart" uri="{C3380CC4-5D6E-409C-BE32-E72D297353CC}">
                <c16:uniqueId val="{00000005-F80F-4FB2-B3AA-97D572BC0181}"/>
              </c:ext>
            </c:extLst>
          </c:dPt>
          <c:dPt>
            <c:idx val="3"/>
            <c:bubble3D val="0"/>
            <c:spPr>
              <a:solidFill>
                <a:schemeClr val="accent2">
                  <a:tint val="77000"/>
                </a:schemeClr>
              </a:solidFill>
              <a:ln w="19050">
                <a:solidFill>
                  <a:schemeClr val="lt1"/>
                </a:solidFill>
              </a:ln>
              <a:effectLst/>
            </c:spPr>
            <c:extLst>
              <c:ext xmlns:c16="http://schemas.microsoft.com/office/drawing/2014/chart" uri="{C3380CC4-5D6E-409C-BE32-E72D297353CC}">
                <c16:uniqueId val="{00000007-F80F-4FB2-B3AA-97D572BC0181}"/>
              </c:ext>
            </c:extLst>
          </c:dPt>
          <c:dPt>
            <c:idx val="4"/>
            <c:bubble3D val="0"/>
            <c:spPr>
              <a:solidFill>
                <a:schemeClr val="accent2">
                  <a:tint val="54000"/>
                </a:schemeClr>
              </a:solidFill>
              <a:ln w="19050">
                <a:solidFill>
                  <a:schemeClr val="lt1"/>
                </a:solidFill>
              </a:ln>
              <a:effectLst/>
            </c:spPr>
            <c:extLst>
              <c:ext xmlns:c16="http://schemas.microsoft.com/office/drawing/2014/chart" uri="{C3380CC4-5D6E-409C-BE32-E72D297353CC}">
                <c16:uniqueId val="{00000009-F80F-4FB2-B3AA-97D572BC018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('2. Financial statement'!$A$15,'2. Financial statement'!$A$18,'2. Financial statement'!$A$20,'2. Financial statement'!$A$26,'2. Financial statement'!$A$29)</c:f>
              <c:strCache>
                <c:ptCount val="5"/>
                <c:pt idx="0">
                  <c:v>Cash and Cash Equivalents</c:v>
                </c:pt>
                <c:pt idx="1">
                  <c:v>Short-term Financial Investments</c:v>
                </c:pt>
                <c:pt idx="2">
                  <c:v>Short-term Receivables</c:v>
                </c:pt>
                <c:pt idx="3">
                  <c:v>Inventories</c:v>
                </c:pt>
                <c:pt idx="4">
                  <c:v>Other Current Assets</c:v>
                </c:pt>
              </c:strCache>
            </c:strRef>
          </c:cat>
          <c:val>
            <c:numRef>
              <c:f>('2. Financial statement'!$E$15,'2. Financial statement'!$E$18,'2. Financial statement'!$E$20,'2. Financial statement'!$E$26,'2. Financial statement'!$E$29)</c:f>
              <c:numCache>
                <c:formatCode>0.00%</c:formatCode>
                <c:ptCount val="5"/>
                <c:pt idx="0">
                  <c:v>1.9808033560043431E-2</c:v>
                </c:pt>
                <c:pt idx="1">
                  <c:v>4.0788243480476769E-4</c:v>
                </c:pt>
                <c:pt idx="2">
                  <c:v>0.67831890935853212</c:v>
                </c:pt>
                <c:pt idx="3">
                  <c:v>0.25985148017473453</c:v>
                </c:pt>
                <c:pt idx="4">
                  <c:v>4.1613694471885142E-2</c:v>
                </c:pt>
              </c:numCache>
            </c:numRef>
          </c:val>
          <c:extLst>
            <c:ext xmlns:c16="http://schemas.microsoft.com/office/drawing/2014/chart" uri="{C3380CC4-5D6E-409C-BE32-E72D297353CC}">
              <c16:uniqueId val="{0000000A-F80F-4FB2-B3AA-97D572BC0181}"/>
            </c:ext>
          </c:extLst>
        </c:ser>
        <c:dLbls>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Structure of CA (2023)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pieChart>
        <c:varyColors val="1"/>
        <c:ser>
          <c:idx val="0"/>
          <c:order val="0"/>
          <c:tx>
            <c:strRef>
              <c:f>'2. Financial statement'!$A$12:$D$12</c:f>
              <c:strCache>
                <c:ptCount val="1"/>
                <c:pt idx="0">
                  <c:v>CA structure</c:v>
                </c:pt>
              </c:strCache>
            </c:strRef>
          </c:tx>
          <c:dPt>
            <c:idx val="0"/>
            <c:bubble3D val="0"/>
            <c:spPr>
              <a:solidFill>
                <a:schemeClr val="accent6">
                  <a:shade val="53000"/>
                </a:schemeClr>
              </a:solidFill>
              <a:ln w="19050">
                <a:solidFill>
                  <a:schemeClr val="lt1"/>
                </a:solidFill>
              </a:ln>
              <a:effectLst/>
            </c:spPr>
            <c:extLst>
              <c:ext xmlns:c16="http://schemas.microsoft.com/office/drawing/2014/chart" uri="{C3380CC4-5D6E-409C-BE32-E72D297353CC}">
                <c16:uniqueId val="{00000001-B2A6-48A6-9D8F-C54C796D530F}"/>
              </c:ext>
            </c:extLst>
          </c:dPt>
          <c:dPt>
            <c:idx val="1"/>
            <c:bubble3D val="0"/>
            <c:spPr>
              <a:solidFill>
                <a:schemeClr val="accent6">
                  <a:shade val="76000"/>
                </a:schemeClr>
              </a:solidFill>
              <a:ln w="19050">
                <a:solidFill>
                  <a:schemeClr val="lt1"/>
                </a:solidFill>
              </a:ln>
              <a:effectLst/>
            </c:spPr>
            <c:extLst>
              <c:ext xmlns:c16="http://schemas.microsoft.com/office/drawing/2014/chart" uri="{C3380CC4-5D6E-409C-BE32-E72D297353CC}">
                <c16:uniqueId val="{00000003-B2A6-48A6-9D8F-C54C796D530F}"/>
              </c:ext>
            </c:extLst>
          </c:dPt>
          <c:dPt>
            <c:idx val="2"/>
            <c:bubble3D val="0"/>
            <c:spPr>
              <a:solidFill>
                <a:schemeClr val="accent6"/>
              </a:solidFill>
              <a:ln w="19050">
                <a:solidFill>
                  <a:schemeClr val="lt1"/>
                </a:solidFill>
              </a:ln>
              <a:effectLst/>
            </c:spPr>
            <c:extLst>
              <c:ext xmlns:c16="http://schemas.microsoft.com/office/drawing/2014/chart" uri="{C3380CC4-5D6E-409C-BE32-E72D297353CC}">
                <c16:uniqueId val="{00000005-B2A6-48A6-9D8F-C54C796D530F}"/>
              </c:ext>
            </c:extLst>
          </c:dPt>
          <c:dPt>
            <c:idx val="3"/>
            <c:bubble3D val="0"/>
            <c:spPr>
              <a:solidFill>
                <a:schemeClr val="accent6">
                  <a:tint val="77000"/>
                </a:schemeClr>
              </a:solidFill>
              <a:ln w="19050">
                <a:solidFill>
                  <a:schemeClr val="lt1"/>
                </a:solidFill>
              </a:ln>
              <a:effectLst/>
            </c:spPr>
            <c:extLst>
              <c:ext xmlns:c16="http://schemas.microsoft.com/office/drawing/2014/chart" uri="{C3380CC4-5D6E-409C-BE32-E72D297353CC}">
                <c16:uniqueId val="{00000007-B2A6-48A6-9D8F-C54C796D530F}"/>
              </c:ext>
            </c:extLst>
          </c:dPt>
          <c:dPt>
            <c:idx val="4"/>
            <c:bubble3D val="0"/>
            <c:spPr>
              <a:solidFill>
                <a:schemeClr val="accent6">
                  <a:tint val="54000"/>
                </a:schemeClr>
              </a:solidFill>
              <a:ln w="19050">
                <a:solidFill>
                  <a:schemeClr val="lt1"/>
                </a:solidFill>
              </a:ln>
              <a:effectLst/>
            </c:spPr>
            <c:extLst>
              <c:ext xmlns:c16="http://schemas.microsoft.com/office/drawing/2014/chart" uri="{C3380CC4-5D6E-409C-BE32-E72D297353CC}">
                <c16:uniqueId val="{00000009-B2A6-48A6-9D8F-C54C796D530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('2. Financial statement'!$A$15,'2. Financial statement'!$A$18,'2. Financial statement'!$A$20,'2. Financial statement'!$A$26,'2. Financial statement'!$A$29)</c:f>
              <c:strCache>
                <c:ptCount val="5"/>
                <c:pt idx="0">
                  <c:v>Cash and Cash Equivalents</c:v>
                </c:pt>
                <c:pt idx="1">
                  <c:v>Short-term Financial Investments</c:v>
                </c:pt>
                <c:pt idx="2">
                  <c:v>Short-term Receivables</c:v>
                </c:pt>
                <c:pt idx="3">
                  <c:v>Inventories</c:v>
                </c:pt>
                <c:pt idx="4">
                  <c:v>Other Current Assets</c:v>
                </c:pt>
              </c:strCache>
            </c:strRef>
          </c:cat>
          <c:val>
            <c:numRef>
              <c:f>('2. Financial statement'!$F$15,'2. Financial statement'!$F$18,'2. Financial statement'!$F$20,'2. Financial statement'!$F$26,'2. Financial statement'!$F$29)</c:f>
              <c:numCache>
                <c:formatCode>0.00%</c:formatCode>
                <c:ptCount val="5"/>
                <c:pt idx="0">
                  <c:v>3.80218719814319E-2</c:v>
                </c:pt>
                <c:pt idx="1">
                  <c:v>1.5592070555081529E-3</c:v>
                </c:pt>
                <c:pt idx="2">
                  <c:v>0.63739822868628715</c:v>
                </c:pt>
                <c:pt idx="3">
                  <c:v>0.28433659244425818</c:v>
                </c:pt>
                <c:pt idx="4">
                  <c:v>3.868409983251464E-2</c:v>
                </c:pt>
              </c:numCache>
            </c:numRef>
          </c:val>
          <c:extLst>
            <c:ext xmlns:c16="http://schemas.microsoft.com/office/drawing/2014/chart" uri="{C3380CC4-5D6E-409C-BE32-E72D297353CC}">
              <c16:uniqueId val="{0000000A-B2A6-48A6-9D8F-C54C796D530F}"/>
            </c:ext>
          </c:extLst>
        </c:ser>
        <c:dLbls>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Structure of CA (2024)</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pieChart>
        <c:varyColors val="1"/>
        <c:ser>
          <c:idx val="0"/>
          <c:order val="0"/>
          <c:tx>
            <c:strRef>
              <c:f>'2. Financial statement'!$A$12:$D$12</c:f>
              <c:strCache>
                <c:ptCount val="1"/>
                <c:pt idx="0">
                  <c:v>CA structure</c:v>
                </c:pt>
              </c:strCache>
            </c:strRef>
          </c:tx>
          <c:dPt>
            <c:idx val="0"/>
            <c:bubble3D val="0"/>
            <c:spPr>
              <a:solidFill>
                <a:schemeClr val="accent4">
                  <a:shade val="53000"/>
                </a:schemeClr>
              </a:solidFill>
              <a:ln w="19050">
                <a:solidFill>
                  <a:schemeClr val="lt1"/>
                </a:solidFill>
              </a:ln>
              <a:effectLst/>
            </c:spPr>
            <c:extLst>
              <c:ext xmlns:c16="http://schemas.microsoft.com/office/drawing/2014/chart" uri="{C3380CC4-5D6E-409C-BE32-E72D297353CC}">
                <c16:uniqueId val="{00000001-C7CF-45E8-B3DB-281574E725DD}"/>
              </c:ext>
            </c:extLst>
          </c:dPt>
          <c:dPt>
            <c:idx val="1"/>
            <c:bubble3D val="0"/>
            <c:spPr>
              <a:solidFill>
                <a:schemeClr val="accent4">
                  <a:shade val="76000"/>
                </a:schemeClr>
              </a:solidFill>
              <a:ln w="19050">
                <a:solidFill>
                  <a:schemeClr val="lt1"/>
                </a:solidFill>
              </a:ln>
              <a:effectLst/>
            </c:spPr>
            <c:extLst>
              <c:ext xmlns:c16="http://schemas.microsoft.com/office/drawing/2014/chart" uri="{C3380CC4-5D6E-409C-BE32-E72D297353CC}">
                <c16:uniqueId val="{00000003-C7CF-45E8-B3DB-281574E725DD}"/>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C7CF-45E8-B3DB-281574E725DD}"/>
              </c:ext>
            </c:extLst>
          </c:dPt>
          <c:dPt>
            <c:idx val="3"/>
            <c:bubble3D val="0"/>
            <c:spPr>
              <a:solidFill>
                <a:schemeClr val="accent4">
                  <a:tint val="77000"/>
                </a:schemeClr>
              </a:solidFill>
              <a:ln w="19050">
                <a:solidFill>
                  <a:schemeClr val="lt1"/>
                </a:solidFill>
              </a:ln>
              <a:effectLst/>
            </c:spPr>
            <c:extLst>
              <c:ext xmlns:c16="http://schemas.microsoft.com/office/drawing/2014/chart" uri="{C3380CC4-5D6E-409C-BE32-E72D297353CC}">
                <c16:uniqueId val="{00000007-C7CF-45E8-B3DB-281574E725DD}"/>
              </c:ext>
            </c:extLst>
          </c:dPt>
          <c:dPt>
            <c:idx val="4"/>
            <c:bubble3D val="0"/>
            <c:spPr>
              <a:solidFill>
                <a:schemeClr val="accent4">
                  <a:tint val="54000"/>
                </a:schemeClr>
              </a:solidFill>
              <a:ln w="19050">
                <a:solidFill>
                  <a:schemeClr val="lt1"/>
                </a:solidFill>
              </a:ln>
              <a:effectLst/>
            </c:spPr>
            <c:extLst>
              <c:ext xmlns:c16="http://schemas.microsoft.com/office/drawing/2014/chart" uri="{C3380CC4-5D6E-409C-BE32-E72D297353CC}">
                <c16:uniqueId val="{00000009-C7CF-45E8-B3DB-281574E725D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('2. Financial statement'!$A$15,'2. Financial statement'!$A$18,'2. Financial statement'!$A$20,'2. Financial statement'!$A$26,'2. Financial statement'!$A$29)</c:f>
              <c:strCache>
                <c:ptCount val="5"/>
                <c:pt idx="0">
                  <c:v>Cash and Cash Equivalents</c:v>
                </c:pt>
                <c:pt idx="1">
                  <c:v>Short-term Financial Investments</c:v>
                </c:pt>
                <c:pt idx="2">
                  <c:v>Short-term Receivables</c:v>
                </c:pt>
                <c:pt idx="3">
                  <c:v>Inventories</c:v>
                </c:pt>
                <c:pt idx="4">
                  <c:v>Other Current Assets</c:v>
                </c:pt>
              </c:strCache>
            </c:strRef>
          </c:cat>
          <c:val>
            <c:numRef>
              <c:f>('2. Financial statement'!$G$15,'2. Financial statement'!$G$18,'2. Financial statement'!$G$20,'2. Financial statement'!$G$26,'2. Financial statement'!$G$29)</c:f>
              <c:numCache>
                <c:formatCode>0.00%</c:formatCode>
                <c:ptCount val="5"/>
                <c:pt idx="0">
                  <c:v>2.7513631174210174E-2</c:v>
                </c:pt>
                <c:pt idx="1">
                  <c:v>1.3685935712715131E-3</c:v>
                </c:pt>
                <c:pt idx="2">
                  <c:v>0.68262705791017275</c:v>
                </c:pt>
                <c:pt idx="3">
                  <c:v>0.25361295330414135</c:v>
                </c:pt>
                <c:pt idx="4">
                  <c:v>3.4877764040204193E-2</c:v>
                </c:pt>
              </c:numCache>
            </c:numRef>
          </c:val>
          <c:extLst>
            <c:ext xmlns:c16="http://schemas.microsoft.com/office/drawing/2014/chart" uri="{C3380CC4-5D6E-409C-BE32-E72D297353CC}">
              <c16:uniqueId val="{0000000A-C7CF-45E8-B3DB-281574E725DD}"/>
            </c:ext>
          </c:extLst>
        </c:ser>
        <c:dLbls>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Structure of NCA (2022)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pieChart>
        <c:varyColors val="1"/>
        <c:ser>
          <c:idx val="0"/>
          <c:order val="0"/>
          <c:tx>
            <c:strRef>
              <c:f>'2. Financial statement'!$A$12:$D$12</c:f>
              <c:strCache>
                <c:ptCount val="1"/>
                <c:pt idx="0">
                  <c:v>CA structure</c:v>
                </c:pt>
              </c:strCache>
            </c:strRef>
          </c:tx>
          <c:dPt>
            <c:idx val="0"/>
            <c:bubble3D val="0"/>
            <c:spPr>
              <a:solidFill>
                <a:schemeClr val="accent2">
                  <a:shade val="58000"/>
                </a:schemeClr>
              </a:solidFill>
              <a:ln w="19050">
                <a:solidFill>
                  <a:schemeClr val="lt1"/>
                </a:solidFill>
              </a:ln>
              <a:effectLst/>
            </c:spPr>
            <c:extLst>
              <c:ext xmlns:c16="http://schemas.microsoft.com/office/drawing/2014/chart" uri="{C3380CC4-5D6E-409C-BE32-E72D297353CC}">
                <c16:uniqueId val="{00000001-3062-4D38-9DAE-976798B2C8A6}"/>
              </c:ext>
            </c:extLst>
          </c:dPt>
          <c:dPt>
            <c:idx val="1"/>
            <c:bubble3D val="0"/>
            <c:spPr>
              <a:solidFill>
                <a:schemeClr val="accent2">
                  <a:shade val="86000"/>
                </a:schemeClr>
              </a:solidFill>
              <a:ln w="19050">
                <a:solidFill>
                  <a:schemeClr val="lt1"/>
                </a:solidFill>
              </a:ln>
              <a:effectLst/>
            </c:spPr>
            <c:extLst>
              <c:ext xmlns:c16="http://schemas.microsoft.com/office/drawing/2014/chart" uri="{C3380CC4-5D6E-409C-BE32-E72D297353CC}">
                <c16:uniqueId val="{00000003-3062-4D38-9DAE-976798B2C8A6}"/>
              </c:ext>
            </c:extLst>
          </c:dPt>
          <c:dPt>
            <c:idx val="2"/>
            <c:bubble3D val="0"/>
            <c:spPr>
              <a:solidFill>
                <a:schemeClr val="accent2">
                  <a:tint val="86000"/>
                </a:schemeClr>
              </a:solidFill>
              <a:ln w="19050">
                <a:solidFill>
                  <a:schemeClr val="lt1"/>
                </a:solidFill>
              </a:ln>
              <a:effectLst/>
            </c:spPr>
            <c:extLst>
              <c:ext xmlns:c16="http://schemas.microsoft.com/office/drawing/2014/chart" uri="{C3380CC4-5D6E-409C-BE32-E72D297353CC}">
                <c16:uniqueId val="{00000005-3062-4D38-9DAE-976798B2C8A6}"/>
              </c:ext>
            </c:extLst>
          </c:dPt>
          <c:dPt>
            <c:idx val="3"/>
            <c:bubble3D val="0"/>
            <c:spPr>
              <a:solidFill>
                <a:schemeClr val="accent2">
                  <a:tint val="58000"/>
                </a:schemeClr>
              </a:solidFill>
              <a:ln w="19050">
                <a:solidFill>
                  <a:schemeClr val="lt1"/>
                </a:solidFill>
              </a:ln>
              <a:effectLst/>
            </c:spPr>
            <c:extLst>
              <c:ext xmlns:c16="http://schemas.microsoft.com/office/drawing/2014/chart" uri="{C3380CC4-5D6E-409C-BE32-E72D297353CC}">
                <c16:uniqueId val="{00000007-3062-4D38-9DAE-976798B2C8A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('2. Financial statement'!$A$40,'2. Financial statement'!$A$47,'2. Financial statement'!$A$49,'2. Financial statement'!$A$53)</c:f>
              <c:strCache>
                <c:ptCount val="4"/>
                <c:pt idx="0">
                  <c:v>Fixed Asset</c:v>
                </c:pt>
                <c:pt idx="1">
                  <c:v>Long-term Work in Progress</c:v>
                </c:pt>
                <c:pt idx="2">
                  <c:v>Long-term Financial Investments</c:v>
                </c:pt>
                <c:pt idx="3">
                  <c:v>Other Non-current Assets</c:v>
                </c:pt>
              </c:strCache>
            </c:strRef>
          </c:cat>
          <c:val>
            <c:numRef>
              <c:f>('2. Financial statement'!$E$40,'2. Financial statement'!$E$47,'2. Financial statement'!$E$49,'2. Financial statement'!$E$53)</c:f>
              <c:numCache>
                <c:formatCode>0.00%</c:formatCode>
                <c:ptCount val="4"/>
                <c:pt idx="0">
                  <c:v>0.23413048607306552</c:v>
                </c:pt>
                <c:pt idx="1">
                  <c:v>2.0715670809507251E-2</c:v>
                </c:pt>
                <c:pt idx="2">
                  <c:v>0.66302616685059712</c:v>
                </c:pt>
                <c:pt idx="3">
                  <c:v>3.5007506061323058E-2</c:v>
                </c:pt>
              </c:numCache>
            </c:numRef>
          </c:val>
          <c:extLst>
            <c:ext xmlns:c16="http://schemas.microsoft.com/office/drawing/2014/chart" uri="{C3380CC4-5D6E-409C-BE32-E72D297353CC}">
              <c16:uniqueId val="{00000008-3062-4D38-9DAE-976798B2C8A6}"/>
            </c:ext>
          </c:extLst>
        </c:ser>
        <c:dLbls>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Structure of NCA (2023)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pieChart>
        <c:varyColors val="1"/>
        <c:ser>
          <c:idx val="0"/>
          <c:order val="0"/>
          <c:tx>
            <c:strRef>
              <c:f>'2. Financial statement'!$A$12:$D$12</c:f>
              <c:strCache>
                <c:ptCount val="1"/>
                <c:pt idx="0">
                  <c:v>CA structure</c:v>
                </c:pt>
              </c:strCache>
            </c:strRef>
          </c:tx>
          <c:dPt>
            <c:idx val="0"/>
            <c:bubble3D val="0"/>
            <c:spPr>
              <a:solidFill>
                <a:schemeClr val="accent6">
                  <a:shade val="58000"/>
                </a:schemeClr>
              </a:solidFill>
              <a:ln w="19050">
                <a:solidFill>
                  <a:schemeClr val="lt1"/>
                </a:solidFill>
              </a:ln>
              <a:effectLst/>
            </c:spPr>
            <c:extLst>
              <c:ext xmlns:c16="http://schemas.microsoft.com/office/drawing/2014/chart" uri="{C3380CC4-5D6E-409C-BE32-E72D297353CC}">
                <c16:uniqueId val="{00000001-0DB0-40CD-ADD5-B84BED18F116}"/>
              </c:ext>
            </c:extLst>
          </c:dPt>
          <c:dPt>
            <c:idx val="1"/>
            <c:bubble3D val="0"/>
            <c:spPr>
              <a:solidFill>
                <a:schemeClr val="accent6">
                  <a:shade val="86000"/>
                </a:schemeClr>
              </a:solidFill>
              <a:ln w="19050">
                <a:solidFill>
                  <a:schemeClr val="lt1"/>
                </a:solidFill>
              </a:ln>
              <a:effectLst/>
            </c:spPr>
            <c:extLst>
              <c:ext xmlns:c16="http://schemas.microsoft.com/office/drawing/2014/chart" uri="{C3380CC4-5D6E-409C-BE32-E72D297353CC}">
                <c16:uniqueId val="{00000003-0DB0-40CD-ADD5-B84BED18F116}"/>
              </c:ext>
            </c:extLst>
          </c:dPt>
          <c:dPt>
            <c:idx val="2"/>
            <c:bubble3D val="0"/>
            <c:spPr>
              <a:solidFill>
                <a:schemeClr val="accent6">
                  <a:tint val="86000"/>
                </a:schemeClr>
              </a:solidFill>
              <a:ln w="19050">
                <a:solidFill>
                  <a:schemeClr val="lt1"/>
                </a:solidFill>
              </a:ln>
              <a:effectLst/>
            </c:spPr>
            <c:extLst>
              <c:ext xmlns:c16="http://schemas.microsoft.com/office/drawing/2014/chart" uri="{C3380CC4-5D6E-409C-BE32-E72D297353CC}">
                <c16:uniqueId val="{00000005-0DB0-40CD-ADD5-B84BED18F116}"/>
              </c:ext>
            </c:extLst>
          </c:dPt>
          <c:dPt>
            <c:idx val="3"/>
            <c:bubble3D val="0"/>
            <c:spPr>
              <a:solidFill>
                <a:schemeClr val="accent6">
                  <a:tint val="58000"/>
                </a:schemeClr>
              </a:solidFill>
              <a:ln w="19050">
                <a:solidFill>
                  <a:schemeClr val="lt1"/>
                </a:solidFill>
              </a:ln>
              <a:effectLst/>
            </c:spPr>
            <c:extLst>
              <c:ext xmlns:c16="http://schemas.microsoft.com/office/drawing/2014/chart" uri="{C3380CC4-5D6E-409C-BE32-E72D297353CC}">
                <c16:uniqueId val="{00000007-0DB0-40CD-ADD5-B84BED18F11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('2. Financial statement'!$A$40,'2. Financial statement'!$A$47,'2. Financial statement'!$A$49,'2. Financial statement'!$A$53)</c:f>
              <c:strCache>
                <c:ptCount val="4"/>
                <c:pt idx="0">
                  <c:v>Fixed Asset</c:v>
                </c:pt>
                <c:pt idx="1">
                  <c:v>Long-term Work in Progress</c:v>
                </c:pt>
                <c:pt idx="2">
                  <c:v>Long-term Financial Investments</c:v>
                </c:pt>
                <c:pt idx="3">
                  <c:v>Other Non-current Assets</c:v>
                </c:pt>
              </c:strCache>
            </c:strRef>
          </c:cat>
          <c:val>
            <c:numRef>
              <c:f>('2. Financial statement'!$F$40,'2. Financial statement'!$F$47,'2. Financial statement'!$F$49,'2. Financial statement'!$F$53)</c:f>
              <c:numCache>
                <c:formatCode>0.00%</c:formatCode>
                <c:ptCount val="4"/>
                <c:pt idx="0">
                  <c:v>0.20635832256462239</c:v>
                </c:pt>
                <c:pt idx="1">
                  <c:v>5.5188932347886941E-3</c:v>
                </c:pt>
                <c:pt idx="2">
                  <c:v>0.72890479880406023</c:v>
                </c:pt>
                <c:pt idx="3">
                  <c:v>3.0602398582126884E-2</c:v>
                </c:pt>
              </c:numCache>
            </c:numRef>
          </c:val>
          <c:extLst>
            <c:ext xmlns:c16="http://schemas.microsoft.com/office/drawing/2014/chart" uri="{C3380CC4-5D6E-409C-BE32-E72D297353CC}">
              <c16:uniqueId val="{00000008-0DB0-40CD-ADD5-B84BED18F116}"/>
            </c:ext>
          </c:extLst>
        </c:ser>
        <c:dLbls>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Structure of NCA (2024)</a:t>
            </a:r>
          </a:p>
        </c:rich>
      </c:tx>
      <c:overlay val="0"/>
      <c:spPr>
        <a:noFill/>
        <a:ln>
          <a:noFill/>
        </a:ln>
        <a:effectLst/>
      </c:spPr>
    </c:title>
    <c:autoTitleDeleted val="0"/>
    <c:plotArea>
      <c:layout/>
      <c:pieChart>
        <c:varyColors val="1"/>
        <c:ser>
          <c:idx val="1"/>
          <c:order val="0"/>
          <c:tx>
            <c:strRef>
              <c:f>'2. Financial statement'!$A$12:$D$12</c:f>
              <c:strCache>
                <c:ptCount val="1"/>
                <c:pt idx="0">
                  <c:v>CA structure</c:v>
                </c:pt>
              </c:strCache>
            </c:strRef>
          </c:tx>
          <c:dPt>
            <c:idx val="0"/>
            <c:bubble3D val="0"/>
            <c:spPr>
              <a:solidFill>
                <a:schemeClr val="accent4">
                  <a:shade val="58000"/>
                </a:schemeClr>
              </a:solidFill>
              <a:ln w="19050">
                <a:solidFill>
                  <a:schemeClr val="lt1"/>
                </a:solidFill>
              </a:ln>
              <a:effectLst/>
            </c:spPr>
            <c:extLst>
              <c:ext xmlns:c16="http://schemas.microsoft.com/office/drawing/2014/chart" uri="{C3380CC4-5D6E-409C-BE32-E72D297353CC}">
                <c16:uniqueId val="{00000001-9116-4323-AC82-4F9B03A67026}"/>
              </c:ext>
            </c:extLst>
          </c:dPt>
          <c:dPt>
            <c:idx val="1"/>
            <c:bubble3D val="0"/>
            <c:spPr>
              <a:solidFill>
                <a:schemeClr val="accent4">
                  <a:shade val="86000"/>
                </a:schemeClr>
              </a:solidFill>
              <a:ln w="19050">
                <a:solidFill>
                  <a:schemeClr val="lt1"/>
                </a:solidFill>
              </a:ln>
              <a:effectLst/>
            </c:spPr>
            <c:extLst>
              <c:ext xmlns:c16="http://schemas.microsoft.com/office/drawing/2014/chart" uri="{C3380CC4-5D6E-409C-BE32-E72D297353CC}">
                <c16:uniqueId val="{00000003-9116-4323-AC82-4F9B03A67026}"/>
              </c:ext>
            </c:extLst>
          </c:dPt>
          <c:dPt>
            <c:idx val="2"/>
            <c:bubble3D val="0"/>
            <c:spPr>
              <a:solidFill>
                <a:schemeClr val="accent4">
                  <a:tint val="86000"/>
                </a:schemeClr>
              </a:solidFill>
              <a:ln w="19050">
                <a:solidFill>
                  <a:schemeClr val="lt1"/>
                </a:solidFill>
              </a:ln>
              <a:effectLst/>
            </c:spPr>
            <c:extLst>
              <c:ext xmlns:c16="http://schemas.microsoft.com/office/drawing/2014/chart" uri="{C3380CC4-5D6E-409C-BE32-E72D297353CC}">
                <c16:uniqueId val="{00000005-9116-4323-AC82-4F9B03A67026}"/>
              </c:ext>
            </c:extLst>
          </c:dPt>
          <c:dPt>
            <c:idx val="3"/>
            <c:bubble3D val="0"/>
            <c:spPr>
              <a:solidFill>
                <a:schemeClr val="accent4">
                  <a:tint val="58000"/>
                </a:schemeClr>
              </a:solidFill>
              <a:ln w="19050">
                <a:solidFill>
                  <a:schemeClr val="lt1"/>
                </a:solidFill>
              </a:ln>
              <a:effectLst/>
            </c:spPr>
            <c:extLst>
              <c:ext xmlns:c16="http://schemas.microsoft.com/office/drawing/2014/chart" uri="{C3380CC4-5D6E-409C-BE32-E72D297353CC}">
                <c16:uniqueId val="{00000007-9116-4323-AC82-4F9B03A67026}"/>
              </c:ext>
            </c:extLst>
          </c:dPt>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('2. Financial statement'!$A$40,'2. Financial statement'!$A$47,'2. Financial statement'!$A$49,'2. Financial statement'!$A$53)</c:f>
              <c:strCache>
                <c:ptCount val="4"/>
                <c:pt idx="0">
                  <c:v>Fixed Asset</c:v>
                </c:pt>
                <c:pt idx="1">
                  <c:v>Long-term Work in Progress</c:v>
                </c:pt>
                <c:pt idx="2">
                  <c:v>Long-term Financial Investments</c:v>
                </c:pt>
                <c:pt idx="3">
                  <c:v>Other Non-current Assets</c:v>
                </c:pt>
              </c:strCache>
            </c:strRef>
          </c:cat>
          <c:val>
            <c:numRef>
              <c:f>('2. Financial statement'!$G$40,'2. Financial statement'!$G$47,'2. Financial statement'!$G$49,'2. Financial statement'!$G$53)</c:f>
              <c:numCache>
                <c:formatCode>0.00%</c:formatCode>
                <c:ptCount val="4"/>
                <c:pt idx="0">
                  <c:v>0.17725032705333069</c:v>
                </c:pt>
                <c:pt idx="1">
                  <c:v>1.8948799698743422E-3</c:v>
                </c:pt>
                <c:pt idx="2">
                  <c:v>0.75475915255117054</c:v>
                </c:pt>
                <c:pt idx="3">
                  <c:v>2.9205427392608292E-2</c:v>
                </c:pt>
              </c:numCache>
            </c:numRef>
          </c:val>
          <c:extLst>
            <c:ext xmlns:c16="http://schemas.microsoft.com/office/drawing/2014/chart" uri="{C3380CC4-5D6E-409C-BE32-E72D297353CC}">
              <c16:uniqueId val="{00000008-9116-4323-AC82-4F9B03A67026}"/>
            </c:ext>
          </c:extLst>
        </c:ser>
        <c:ser>
          <c:idx val="0"/>
          <c:order val="1"/>
          <c:tx>
            <c:strRef>
              <c:f>'2. Financial statement'!$A$12:$D$12</c:f>
              <c:strCache>
                <c:ptCount val="1"/>
                <c:pt idx="0">
                  <c:v>CA structure</c:v>
                </c:pt>
              </c:strCache>
            </c:strRef>
          </c:tx>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('2. Financial statement'!$A$40,'2. Financial statement'!$A$47,'2. Financial statement'!$A$49,'2. Financial statement'!$A$53)</c:f>
              <c:strCache>
                <c:ptCount val="4"/>
                <c:pt idx="0">
                  <c:v>Fixed Asset</c:v>
                </c:pt>
                <c:pt idx="1">
                  <c:v>Long-term Work in Progress</c:v>
                </c:pt>
                <c:pt idx="2">
                  <c:v>Long-term Financial Investments</c:v>
                </c:pt>
                <c:pt idx="3">
                  <c:v>Other Non-current Assets</c:v>
                </c:pt>
              </c:strCache>
            </c:strRef>
          </c:cat>
          <c:val>
            <c:numRef>
              <c:f>('2. Financial statement'!$G$40,'2. Financial statement'!$G$47,'2. Financial statement'!$G$49,'2. Financial statement'!$G$53)</c:f>
              <c:numCache>
                <c:formatCode>0.00%</c:formatCode>
                <c:ptCount val="4"/>
                <c:pt idx="0">
                  <c:v>0.17725032705333069</c:v>
                </c:pt>
                <c:pt idx="1">
                  <c:v>1.8948799698743422E-3</c:v>
                </c:pt>
                <c:pt idx="2">
                  <c:v>0.75475915255117054</c:v>
                </c:pt>
                <c:pt idx="3">
                  <c:v>2.9205427392608292E-2</c:v>
                </c:pt>
              </c:numCache>
            </c:numRef>
          </c:val>
          <c:extLst>
            <c:ext xmlns:c16="http://schemas.microsoft.com/office/drawing/2014/chart" uri="{C3380CC4-5D6E-409C-BE32-E72D297353CC}">
              <c16:uniqueId val="{00000009-9116-4323-AC82-4F9B03A67026}"/>
            </c:ext>
          </c:extLst>
        </c:ser>
        <c:dLbls>
          <c:showLegendKey val="0"/>
          <c:showVal val="0"/>
          <c:showCatName val="0"/>
          <c:showSerName val="0"/>
          <c:showPercent val="1"/>
          <c:showBubbleSize val="0"/>
          <c:showLeaderLines val="1"/>
        </c:dLbls>
        <c:firstSliceAng val="0"/>
      </c:pieChart>
    </c:plotArea>
    <c:legend>
      <c:legendPos val="t"/>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VN"/>
        </a:p>
      </c:txPr>
    </c:legend>
    <c:plotVisOnly val="1"/>
    <c:dispBlanksAs val="gap"/>
    <c:showDLblsOverMax val="0"/>
    <c:extLst/>
  </c:chart>
  <c:txPr>
    <a:bodyPr/>
    <a:lstStyle/>
    <a:p>
      <a:pPr>
        <a:defRPr/>
      </a:pPr>
      <a:endParaRPr lang="en-VN"/>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Capital Structure (2022-2024)</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barChart>
        <c:barDir val="col"/>
        <c:grouping val="stacked"/>
        <c:varyColors val="0"/>
        <c:ser>
          <c:idx val="1"/>
          <c:order val="0"/>
          <c:tx>
            <c:strRef>
              <c:f>'2. Financial statement'!$F$58</c:f>
              <c:strCache>
                <c:ptCount val="1"/>
                <c:pt idx="0">
                  <c:v>Debt ratio</c:v>
                </c:pt>
              </c:strCache>
            </c:strRef>
          </c:tx>
          <c:spPr>
            <a:solidFill>
              <a:srgbClr val="FBC1F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 Financial statement'!$G$57:$I$57</c:f>
              <c:numCache>
                <c:formatCode>General</c:formatCode>
                <c:ptCount val="3"/>
                <c:pt idx="0">
                  <c:v>2022</c:v>
                </c:pt>
                <c:pt idx="1">
                  <c:v>2023</c:v>
                </c:pt>
                <c:pt idx="2">
                  <c:v>2024</c:v>
                </c:pt>
              </c:numCache>
            </c:numRef>
          </c:cat>
          <c:val>
            <c:numRef>
              <c:f>'2. Financial statement'!$G$60:$I$60</c:f>
              <c:numCache>
                <c:formatCode>0.00</c:formatCode>
                <c:ptCount val="3"/>
                <c:pt idx="0">
                  <c:v>6.2100333887690002</c:v>
                </c:pt>
                <c:pt idx="1">
                  <c:v>6.8298452987139999</c:v>
                </c:pt>
                <c:pt idx="2">
                  <c:v>8.8788139316860004</c:v>
                </c:pt>
              </c:numCache>
            </c:numRef>
          </c:val>
          <c:extLst>
            <c:ext xmlns:c16="http://schemas.microsoft.com/office/drawing/2014/chart" uri="{C3380CC4-5D6E-409C-BE32-E72D297353CC}">
              <c16:uniqueId val="{00000000-2675-4C0F-890E-A7C2AB9FBDBB}"/>
            </c:ext>
          </c:extLst>
        </c:ser>
        <c:ser>
          <c:idx val="2"/>
          <c:order val="1"/>
          <c:tx>
            <c:strRef>
              <c:f>'2. Financial statement'!$F$59</c:f>
              <c:strCache>
                <c:ptCount val="1"/>
                <c:pt idx="0">
                  <c:v>Equity ratio</c:v>
                </c:pt>
              </c:strCache>
            </c:strRef>
          </c:tx>
          <c:spPr>
            <a:solidFill>
              <a:schemeClr val="accent4">
                <a:lumMod val="40000"/>
                <a:lumOff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 Financial statement'!$G$57:$I$57</c:f>
              <c:numCache>
                <c:formatCode>General</c:formatCode>
                <c:ptCount val="3"/>
                <c:pt idx="0">
                  <c:v>2022</c:v>
                </c:pt>
                <c:pt idx="1">
                  <c:v>2023</c:v>
                </c:pt>
                <c:pt idx="2">
                  <c:v>2024</c:v>
                </c:pt>
              </c:numCache>
            </c:numRef>
          </c:cat>
          <c:val>
            <c:numRef>
              <c:f>'2. Financial statement'!$G$62:$I$62</c:f>
              <c:numCache>
                <c:formatCode>0.00</c:formatCode>
                <c:ptCount val="3"/>
                <c:pt idx="0">
                  <c:v>11.167127927226</c:v>
                </c:pt>
                <c:pt idx="1">
                  <c:v>11.281950970475</c:v>
                </c:pt>
                <c:pt idx="2">
                  <c:v>11.432969984383</c:v>
                </c:pt>
              </c:numCache>
            </c:numRef>
          </c:val>
          <c:extLst>
            <c:ext xmlns:c16="http://schemas.microsoft.com/office/drawing/2014/chart" uri="{C3380CC4-5D6E-409C-BE32-E72D297353CC}">
              <c16:uniqueId val="{00000001-2675-4C0F-890E-A7C2AB9FBDBB}"/>
            </c:ext>
          </c:extLst>
        </c:ser>
        <c:dLbls>
          <c:dLblPos val="ctr"/>
          <c:showLegendKey val="0"/>
          <c:showVal val="1"/>
          <c:showCatName val="0"/>
          <c:showSerName val="0"/>
          <c:showPercent val="0"/>
          <c:showBubbleSize val="0"/>
        </c:dLbls>
        <c:gapWidth val="75"/>
        <c:overlap val="100"/>
        <c:serLines>
          <c:spPr>
            <a:ln w="9525" cap="flat" cmpd="sng" algn="ctr">
              <a:solidFill>
                <a:schemeClr val="tx1">
                  <a:lumMod val="35000"/>
                  <a:lumOff val="65000"/>
                </a:schemeClr>
              </a:solidFill>
              <a:round/>
            </a:ln>
            <a:effectLst/>
          </c:spPr>
        </c:serLines>
        <c:axId val="1107501503"/>
        <c:axId val="1426449727"/>
      </c:barChart>
      <c:catAx>
        <c:axId val="11075015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426449727"/>
        <c:crosses val="autoZero"/>
        <c:auto val="1"/>
        <c:lblAlgn val="ctr"/>
        <c:lblOffset val="100"/>
        <c:noMultiLvlLbl val="0"/>
      </c:catAx>
      <c:valAx>
        <c:axId val="1426449727"/>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107501503"/>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VN"/>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Debt, Equity and D/E Trend (2022-2024)</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barChart>
        <c:barDir val="col"/>
        <c:grouping val="clustered"/>
        <c:varyColors val="0"/>
        <c:ser>
          <c:idx val="0"/>
          <c:order val="0"/>
          <c:tx>
            <c:strRef>
              <c:f>'2. Financial statement'!$F$60</c:f>
              <c:strCache>
                <c:ptCount val="1"/>
                <c:pt idx="0">
                  <c:v>Total Debt (trillion VND)</c:v>
                </c:pt>
              </c:strCache>
            </c:strRef>
          </c:tx>
          <c:spPr>
            <a:solidFill>
              <a:srgbClr val="FBC1F5"/>
            </a:solidFill>
            <a:ln>
              <a:noFill/>
            </a:ln>
            <a:effectLst/>
          </c:spPr>
          <c:invertIfNegative val="0"/>
          <c:dPt>
            <c:idx val="0"/>
            <c:invertIfNegative val="0"/>
            <c:bubble3D val="0"/>
            <c:spPr>
              <a:solidFill>
                <a:srgbClr val="FBC1F5"/>
              </a:solidFill>
              <a:ln>
                <a:noFill/>
              </a:ln>
              <a:effectLst/>
            </c:spPr>
            <c:extLst>
              <c:ext xmlns:c16="http://schemas.microsoft.com/office/drawing/2014/chart" uri="{C3380CC4-5D6E-409C-BE32-E72D297353CC}">
                <c16:uniqueId val="{00000001-073F-4956-92F5-C681F1060DB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 Financial statement'!$G$57:$I$57</c:f>
              <c:numCache>
                <c:formatCode>General</c:formatCode>
                <c:ptCount val="3"/>
                <c:pt idx="0">
                  <c:v>2022</c:v>
                </c:pt>
                <c:pt idx="1">
                  <c:v>2023</c:v>
                </c:pt>
                <c:pt idx="2">
                  <c:v>2024</c:v>
                </c:pt>
              </c:numCache>
            </c:numRef>
          </c:cat>
          <c:val>
            <c:numRef>
              <c:f>'2. Financial statement'!$G$60:$I$60</c:f>
              <c:numCache>
                <c:formatCode>0.00</c:formatCode>
                <c:ptCount val="3"/>
                <c:pt idx="0">
                  <c:v>6.2100333887690002</c:v>
                </c:pt>
                <c:pt idx="1">
                  <c:v>6.8298452987139999</c:v>
                </c:pt>
                <c:pt idx="2">
                  <c:v>8.8788139316860004</c:v>
                </c:pt>
              </c:numCache>
            </c:numRef>
          </c:val>
          <c:extLst>
            <c:ext xmlns:c16="http://schemas.microsoft.com/office/drawing/2014/chart" uri="{C3380CC4-5D6E-409C-BE32-E72D297353CC}">
              <c16:uniqueId val="{00000002-073F-4956-92F5-C681F1060DBE}"/>
            </c:ext>
          </c:extLst>
        </c:ser>
        <c:ser>
          <c:idx val="1"/>
          <c:order val="1"/>
          <c:tx>
            <c:strRef>
              <c:f>'2. Financial statement'!$F$62</c:f>
              <c:strCache>
                <c:ptCount val="1"/>
                <c:pt idx="0">
                  <c:v>Total Equity (trillion VND)</c:v>
                </c:pt>
              </c:strCache>
            </c:strRef>
          </c:tx>
          <c:spPr>
            <a:solidFill>
              <a:schemeClr val="accent4">
                <a:lumMod val="40000"/>
                <a:lumOff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 Financial statement'!$G$57:$I$57</c:f>
              <c:numCache>
                <c:formatCode>General</c:formatCode>
                <c:ptCount val="3"/>
                <c:pt idx="0">
                  <c:v>2022</c:v>
                </c:pt>
                <c:pt idx="1">
                  <c:v>2023</c:v>
                </c:pt>
                <c:pt idx="2">
                  <c:v>2024</c:v>
                </c:pt>
              </c:numCache>
            </c:numRef>
          </c:cat>
          <c:val>
            <c:numRef>
              <c:f>'2. Financial statement'!$G$62:$I$62</c:f>
              <c:numCache>
                <c:formatCode>0.00</c:formatCode>
                <c:ptCount val="3"/>
                <c:pt idx="0">
                  <c:v>11.167127927226</c:v>
                </c:pt>
                <c:pt idx="1">
                  <c:v>11.281950970475</c:v>
                </c:pt>
                <c:pt idx="2">
                  <c:v>11.432969984383</c:v>
                </c:pt>
              </c:numCache>
            </c:numRef>
          </c:val>
          <c:extLst>
            <c:ext xmlns:c16="http://schemas.microsoft.com/office/drawing/2014/chart" uri="{C3380CC4-5D6E-409C-BE32-E72D297353CC}">
              <c16:uniqueId val="{00000003-073F-4956-92F5-C681F1060DBE}"/>
            </c:ext>
          </c:extLst>
        </c:ser>
        <c:dLbls>
          <c:dLblPos val="ctr"/>
          <c:showLegendKey val="0"/>
          <c:showVal val="1"/>
          <c:showCatName val="0"/>
          <c:showSerName val="0"/>
          <c:showPercent val="0"/>
          <c:showBubbleSize val="0"/>
        </c:dLbls>
        <c:gapWidth val="75"/>
        <c:axId val="1346161407"/>
        <c:axId val="1512201727"/>
      </c:barChart>
      <c:lineChart>
        <c:grouping val="standard"/>
        <c:varyColors val="0"/>
        <c:ser>
          <c:idx val="3"/>
          <c:order val="2"/>
          <c:tx>
            <c:strRef>
              <c:f>'2. Financial statement'!$F$63</c:f>
              <c:strCache>
                <c:ptCount val="1"/>
                <c:pt idx="0">
                  <c:v>D/E ratio</c:v>
                </c:pt>
              </c:strCache>
            </c:strRef>
          </c:tx>
          <c:spPr>
            <a:ln w="28575" cap="rnd">
              <a:solidFill>
                <a:schemeClr val="accent2">
                  <a:lumMod val="75000"/>
                </a:schemeClr>
              </a:solidFill>
              <a:round/>
            </a:ln>
            <a:effectLst/>
          </c:spPr>
          <c:marker>
            <c:symbol val="none"/>
          </c:marker>
          <c:dLbls>
            <c:dLbl>
              <c:idx val="0"/>
              <c:layout>
                <c:manualLayout>
                  <c:x val="-8.7369835588115563E-2"/>
                  <c:y val="-4.197070642978003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073F-4956-92F5-C681F1060DBE}"/>
                </c:ext>
              </c:extLst>
            </c:dLbl>
            <c:dLbl>
              <c:idx val="1"/>
              <c:layout>
                <c:manualLayout>
                  <c:x val="-8.4597070256851953E-2"/>
                  <c:y val="-5.129753008084230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73F-4956-92F5-C681F1060DBE}"/>
                </c:ext>
              </c:extLst>
            </c:dLbl>
            <c:dLbl>
              <c:idx val="2"/>
              <c:layout>
                <c:manualLayout>
                  <c:x val="-4.855112095042536E-2"/>
                  <c:y val="-5.5960941906373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73F-4956-92F5-C681F1060DB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 Financial statement'!$G$57:$I$57</c:f>
              <c:numCache>
                <c:formatCode>General</c:formatCode>
                <c:ptCount val="3"/>
                <c:pt idx="0">
                  <c:v>2022</c:v>
                </c:pt>
                <c:pt idx="1">
                  <c:v>2023</c:v>
                </c:pt>
                <c:pt idx="2">
                  <c:v>2024</c:v>
                </c:pt>
              </c:numCache>
            </c:numRef>
          </c:cat>
          <c:val>
            <c:numRef>
              <c:f>'2. Financial statement'!$G$63:$I$63</c:f>
              <c:numCache>
                <c:formatCode>0.00</c:formatCode>
                <c:ptCount val="3"/>
                <c:pt idx="0">
                  <c:v>0.55609942227209896</c:v>
                </c:pt>
                <c:pt idx="1">
                  <c:v>0.60537803404639734</c:v>
                </c:pt>
                <c:pt idx="2">
                  <c:v>0.77659732718743435</c:v>
                </c:pt>
              </c:numCache>
            </c:numRef>
          </c:val>
          <c:smooth val="0"/>
          <c:extLst>
            <c:ext xmlns:c16="http://schemas.microsoft.com/office/drawing/2014/chart" uri="{C3380CC4-5D6E-409C-BE32-E72D297353CC}">
              <c16:uniqueId val="{00000007-073F-4956-92F5-C681F1060DBE}"/>
            </c:ext>
          </c:extLst>
        </c:ser>
        <c:dLbls>
          <c:showLegendKey val="0"/>
          <c:showVal val="0"/>
          <c:showCatName val="0"/>
          <c:showSerName val="0"/>
          <c:showPercent val="0"/>
          <c:showBubbleSize val="0"/>
        </c:dLbls>
        <c:marker val="1"/>
        <c:smooth val="0"/>
        <c:axId val="1115298319"/>
        <c:axId val="1115331935"/>
      </c:lineChart>
      <c:catAx>
        <c:axId val="13461614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512201727"/>
        <c:crosses val="autoZero"/>
        <c:auto val="1"/>
        <c:lblAlgn val="ctr"/>
        <c:lblOffset val="100"/>
        <c:noMultiLvlLbl val="0"/>
      </c:catAx>
      <c:valAx>
        <c:axId val="1512201727"/>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346161407"/>
        <c:crosses val="autoZero"/>
        <c:crossBetween val="between"/>
      </c:valAx>
      <c:valAx>
        <c:axId val="1115331935"/>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115298319"/>
        <c:crosses val="max"/>
        <c:crossBetween val="between"/>
      </c:valAx>
      <c:catAx>
        <c:axId val="1115298319"/>
        <c:scaling>
          <c:orientation val="minMax"/>
        </c:scaling>
        <c:delete val="1"/>
        <c:axPos val="b"/>
        <c:numFmt formatCode="General" sourceLinked="1"/>
        <c:majorTickMark val="out"/>
        <c:minorTickMark val="none"/>
        <c:tickLblPos val="nextTo"/>
        <c:crossAx val="1115331935"/>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Debt Structure (2022-2024)</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barChart>
        <c:barDir val="col"/>
        <c:grouping val="clustered"/>
        <c:varyColors val="0"/>
        <c:ser>
          <c:idx val="0"/>
          <c:order val="0"/>
          <c:tx>
            <c:strRef>
              <c:f>'2. Financial statement'!$F$65</c:f>
              <c:strCache>
                <c:ptCount val="1"/>
                <c:pt idx="0">
                  <c:v>ST Debt (trillion VND)</c:v>
                </c:pt>
              </c:strCache>
            </c:strRef>
          </c:tx>
          <c:spPr>
            <a:solidFill>
              <a:srgbClr val="00B050"/>
            </a:solidFill>
            <a:ln>
              <a:noFill/>
            </a:ln>
            <a:effectLst/>
          </c:spPr>
          <c:invertIfNegative val="0"/>
          <c:cat>
            <c:numRef>
              <c:f>'2. Financial statement'!$G$57:$I$57</c:f>
              <c:numCache>
                <c:formatCode>General</c:formatCode>
                <c:ptCount val="3"/>
                <c:pt idx="0">
                  <c:v>2022</c:v>
                </c:pt>
                <c:pt idx="1">
                  <c:v>2023</c:v>
                </c:pt>
                <c:pt idx="2">
                  <c:v>2024</c:v>
                </c:pt>
              </c:numCache>
            </c:numRef>
          </c:cat>
          <c:val>
            <c:numRef>
              <c:f>'2. Financial statement'!$G$65:$I$65</c:f>
              <c:numCache>
                <c:formatCode>0.00000</c:formatCode>
                <c:ptCount val="3"/>
                <c:pt idx="0">
                  <c:v>6.1957996895819996</c:v>
                </c:pt>
                <c:pt idx="1">
                  <c:v>6.8156094825469999</c:v>
                </c:pt>
                <c:pt idx="2">
                  <c:v>8.8648534205609995</c:v>
                </c:pt>
              </c:numCache>
            </c:numRef>
          </c:val>
          <c:extLst>
            <c:ext xmlns:c16="http://schemas.microsoft.com/office/drawing/2014/chart" uri="{C3380CC4-5D6E-409C-BE32-E72D297353CC}">
              <c16:uniqueId val="{00000000-0877-48B6-AA94-57AE6DFAE7A4}"/>
            </c:ext>
          </c:extLst>
        </c:ser>
        <c:ser>
          <c:idx val="1"/>
          <c:order val="1"/>
          <c:tx>
            <c:strRef>
              <c:f>'2. Financial statement'!$F$66</c:f>
              <c:strCache>
                <c:ptCount val="1"/>
                <c:pt idx="0">
                  <c:v>LT Debt (trillion VND)</c:v>
                </c:pt>
              </c:strCache>
            </c:strRef>
          </c:tx>
          <c:spPr>
            <a:solidFill>
              <a:schemeClr val="accent4"/>
            </a:solidFill>
            <a:ln>
              <a:noFill/>
            </a:ln>
            <a:effectLst/>
          </c:spPr>
          <c:invertIfNegative val="0"/>
          <c:cat>
            <c:numRef>
              <c:f>'2. Financial statement'!$G$57:$I$57</c:f>
              <c:numCache>
                <c:formatCode>General</c:formatCode>
                <c:ptCount val="3"/>
                <c:pt idx="0">
                  <c:v>2022</c:v>
                </c:pt>
                <c:pt idx="1">
                  <c:v>2023</c:v>
                </c:pt>
                <c:pt idx="2">
                  <c:v>2024</c:v>
                </c:pt>
              </c:numCache>
            </c:numRef>
          </c:cat>
          <c:val>
            <c:numRef>
              <c:f>'2. Financial statement'!$G$66:$I$66</c:f>
              <c:numCache>
                <c:formatCode>0.00000</c:formatCode>
                <c:ptCount val="3"/>
                <c:pt idx="0">
                  <c:v>1.4233699187E-2</c:v>
                </c:pt>
                <c:pt idx="1">
                  <c:v>1.4235816167000001E-2</c:v>
                </c:pt>
                <c:pt idx="2">
                  <c:v>1.3960511125E-2</c:v>
                </c:pt>
              </c:numCache>
            </c:numRef>
          </c:val>
          <c:extLst>
            <c:ext xmlns:c16="http://schemas.microsoft.com/office/drawing/2014/chart" uri="{C3380CC4-5D6E-409C-BE32-E72D297353CC}">
              <c16:uniqueId val="{00000001-0877-48B6-AA94-57AE6DFAE7A4}"/>
            </c:ext>
          </c:extLst>
        </c:ser>
        <c:dLbls>
          <c:showLegendKey val="0"/>
          <c:showVal val="0"/>
          <c:showCatName val="0"/>
          <c:showSerName val="0"/>
          <c:showPercent val="0"/>
          <c:showBubbleSize val="0"/>
        </c:dLbls>
        <c:gapWidth val="150"/>
        <c:axId val="1377995600"/>
        <c:axId val="1044843759"/>
      </c:barChart>
      <c:catAx>
        <c:axId val="1377995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044843759"/>
        <c:crosses val="autoZero"/>
        <c:auto val="1"/>
        <c:lblAlgn val="ctr"/>
        <c:lblOffset val="100"/>
        <c:noMultiLvlLbl val="0"/>
      </c:catAx>
      <c:valAx>
        <c:axId val="1044843759"/>
        <c:scaling>
          <c:orientation val="minMax"/>
        </c:scaling>
        <c:delete val="0"/>
        <c:axPos val="l"/>
        <c:majorGridlines>
          <c:spPr>
            <a:ln w="9525" cap="flat" cmpd="sng" algn="ctr">
              <a:solidFill>
                <a:schemeClr val="tx1">
                  <a:lumMod val="15000"/>
                  <a:lumOff val="85000"/>
                </a:schemeClr>
              </a:solidFill>
              <a:round/>
            </a:ln>
            <a:effectLst/>
          </c:spPr>
        </c:majorGridlines>
        <c:numFmt formatCode="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37799560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VN"/>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VN"/>
        </a:p>
      </c:txPr>
    </c:title>
    <c:autoTitleDeleted val="0"/>
    <c:plotArea>
      <c:layout/>
      <c:lineChart>
        <c:grouping val="standard"/>
        <c:varyColors val="0"/>
        <c:ser>
          <c:idx val="0"/>
          <c:order val="0"/>
          <c:tx>
            <c:strRef>
              <c:f>'2. Financial statement'!$G$86</c:f>
              <c:strCache>
                <c:ptCount val="1"/>
                <c:pt idx="0">
                  <c:v>Revenue (trillion VND)</c:v>
                </c:pt>
              </c:strCache>
            </c:strRef>
          </c:tx>
          <c:spPr>
            <a:ln w="22225" cap="rnd">
              <a:solidFill>
                <a:schemeClr val="accent1"/>
              </a:solidFill>
              <a:round/>
            </a:ln>
            <a:effectLst/>
          </c:spPr>
          <c:marker>
            <c:symbol val="none"/>
          </c:marker>
          <c:dLbls>
            <c:dLbl>
              <c:idx val="0"/>
              <c:layout>
                <c:manualLayout>
                  <c:x val="-7.5998463901689739E-2"/>
                  <c:y val="6.476683937823828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DE5-4A24-84E9-31E922B8595F}"/>
                </c:ext>
              </c:extLst>
            </c:dLbl>
            <c:dLbl>
              <c:idx val="1"/>
              <c:layout>
                <c:manualLayout>
                  <c:x val="-7.2158218125960058E-2"/>
                  <c:y val="7.124352331606223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DE5-4A24-84E9-31E922B8595F}"/>
                </c:ext>
              </c:extLst>
            </c:dLbl>
            <c:dLbl>
              <c:idx val="2"/>
              <c:layout>
                <c:manualLayout>
                  <c:x val="-7.2158218125960197E-2"/>
                  <c:y val="-5.18134715025906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DE5-4A24-84E9-31E922B859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V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numRef>
              <c:f>'2. Financial statement'!$H$85:$J$85</c:f>
              <c:numCache>
                <c:formatCode>General</c:formatCode>
                <c:ptCount val="3"/>
                <c:pt idx="0">
                  <c:v>2022</c:v>
                </c:pt>
                <c:pt idx="1">
                  <c:v>2023</c:v>
                </c:pt>
                <c:pt idx="2">
                  <c:v>2024</c:v>
                </c:pt>
              </c:numCache>
            </c:numRef>
          </c:cat>
          <c:val>
            <c:numRef>
              <c:f>'2. Financial statement'!$H$86:$J$86</c:f>
              <c:numCache>
                <c:formatCode>0.00</c:formatCode>
                <c:ptCount val="3"/>
                <c:pt idx="0">
                  <c:v>81.189481215098994</c:v>
                </c:pt>
                <c:pt idx="1">
                  <c:v>52.604763167190001</c:v>
                </c:pt>
                <c:pt idx="2">
                  <c:v>66.712547798751004</c:v>
                </c:pt>
              </c:numCache>
            </c:numRef>
          </c:val>
          <c:smooth val="0"/>
          <c:extLst>
            <c:ext xmlns:c16="http://schemas.microsoft.com/office/drawing/2014/chart" uri="{C3380CC4-5D6E-409C-BE32-E72D297353CC}">
              <c16:uniqueId val="{00000003-6DE5-4A24-84E9-31E922B8595F}"/>
            </c:ext>
          </c:extLst>
        </c:ser>
        <c:dLbls>
          <c:dLblPos val="ctr"/>
          <c:showLegendKey val="0"/>
          <c:showVal val="1"/>
          <c:showCatName val="0"/>
          <c:showSerName val="0"/>
          <c:showPercent val="0"/>
          <c:showBubbleSize val="0"/>
        </c:dLbls>
        <c:smooth val="0"/>
        <c:axId val="1501963055"/>
        <c:axId val="715589871"/>
      </c:lineChart>
      <c:catAx>
        <c:axId val="1501963055"/>
        <c:scaling>
          <c:orientation val="minMax"/>
        </c:scaling>
        <c:delete val="0"/>
        <c:axPos val="b"/>
        <c:majorGridlines>
          <c:spPr>
            <a:ln w="9525" cap="flat" cmpd="sng" algn="ctr">
              <a:solidFill>
                <a:schemeClr val="dk1">
                  <a:lumMod val="15000"/>
                  <a:lumOff val="85000"/>
                  <a:alpha val="54000"/>
                </a:schemeClr>
              </a:solidFill>
              <a:round/>
            </a:ln>
            <a:effectLst/>
          </c:spPr>
        </c:majorGridlines>
        <c:minorGridlines>
          <c:spPr>
            <a:ln w="9525" cap="flat" cmpd="sng" algn="ctr">
              <a:solidFill>
                <a:schemeClr val="dk1">
                  <a:lumMod val="15000"/>
                  <a:lumOff val="85000"/>
                  <a:alpha val="51000"/>
                </a:schemeClr>
              </a:solidFill>
              <a:round/>
            </a:ln>
            <a:effectLst/>
          </c:spPr>
        </c:min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VN"/>
          </a:p>
        </c:txPr>
        <c:crossAx val="715589871"/>
        <c:crosses val="autoZero"/>
        <c:auto val="1"/>
        <c:lblAlgn val="ctr"/>
        <c:lblOffset val="100"/>
        <c:noMultiLvlLbl val="0"/>
      </c:catAx>
      <c:valAx>
        <c:axId val="715589871"/>
        <c:scaling>
          <c:orientation val="minMax"/>
        </c:scaling>
        <c:delete val="0"/>
        <c:axPos val="l"/>
        <c:majorGridlines>
          <c:spPr>
            <a:ln w="9525" cap="flat" cmpd="sng" algn="ctr">
              <a:solidFill>
                <a:schemeClr val="dk1">
                  <a:lumMod val="15000"/>
                  <a:lumOff val="85000"/>
                  <a:alpha val="54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VN"/>
          </a:p>
        </c:txPr>
        <c:crossAx val="1501963055"/>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VN"/>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VN"/>
        </a:p>
      </c:txPr>
    </c:title>
    <c:autoTitleDeleted val="0"/>
    <c:plotArea>
      <c:layout/>
      <c:lineChart>
        <c:grouping val="standard"/>
        <c:varyColors val="0"/>
        <c:ser>
          <c:idx val="0"/>
          <c:order val="0"/>
          <c:tx>
            <c:strRef>
              <c:f>'2. Financial statement'!$G$88</c:f>
              <c:strCache>
                <c:ptCount val="1"/>
                <c:pt idx="0">
                  <c:v>Net profit (trillion VND)</c:v>
                </c:pt>
              </c:strCache>
            </c:strRef>
          </c:tx>
          <c:spPr>
            <a:ln w="22225" cap="rnd">
              <a:solidFill>
                <a:schemeClr val="accent1"/>
              </a:solidFill>
              <a:round/>
            </a:ln>
            <a:effectLst/>
          </c:spPr>
          <c:marker>
            <c:symbol val="none"/>
          </c:marker>
          <c:dLbls>
            <c:dLbl>
              <c:idx val="0"/>
              <c:layout>
                <c:manualLayout>
                  <c:x val="-8.9162754303599379E-2"/>
                  <c:y val="-8.463541666666667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F69-4E47-93CB-97872348431C}"/>
                </c:ext>
              </c:extLst>
            </c:dLbl>
            <c:dLbl>
              <c:idx val="1"/>
              <c:layout>
                <c:manualLayout>
                  <c:x val="-8.1338028169014157E-2"/>
                  <c:y val="-7.161458333333339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F69-4E47-93CB-97872348431C}"/>
                </c:ext>
              </c:extLst>
            </c:dLbl>
            <c:dLbl>
              <c:idx val="2"/>
              <c:layout>
                <c:manualLayout>
                  <c:x val="-7.3513302034428796E-2"/>
                  <c:y val="8.463541666666667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5F69-4E47-93CB-97872348431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V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numRef>
              <c:f>'2. Financial statement'!$H$85:$J$85</c:f>
              <c:numCache>
                <c:formatCode>General</c:formatCode>
                <c:ptCount val="3"/>
                <c:pt idx="0">
                  <c:v>2022</c:v>
                </c:pt>
                <c:pt idx="1">
                  <c:v>2023</c:v>
                </c:pt>
                <c:pt idx="2">
                  <c:v>2024</c:v>
                </c:pt>
              </c:numCache>
            </c:numRef>
          </c:cat>
          <c:val>
            <c:numRef>
              <c:f>'2. Financial statement'!$H$88:$J$88</c:f>
              <c:numCache>
                <c:formatCode>0.000</c:formatCode>
                <c:ptCount val="3"/>
                <c:pt idx="0">
                  <c:v>4.8170557443999999E-2</c:v>
                </c:pt>
                <c:pt idx="1">
                  <c:v>0.248288982544</c:v>
                </c:pt>
                <c:pt idx="2">
                  <c:v>0.52892230716199995</c:v>
                </c:pt>
              </c:numCache>
            </c:numRef>
          </c:val>
          <c:smooth val="0"/>
          <c:extLst>
            <c:ext xmlns:c16="http://schemas.microsoft.com/office/drawing/2014/chart" uri="{C3380CC4-5D6E-409C-BE32-E72D297353CC}">
              <c16:uniqueId val="{00000003-5F69-4E47-93CB-97872348431C}"/>
            </c:ext>
          </c:extLst>
        </c:ser>
        <c:dLbls>
          <c:dLblPos val="ctr"/>
          <c:showLegendKey val="0"/>
          <c:showVal val="1"/>
          <c:showCatName val="0"/>
          <c:showSerName val="0"/>
          <c:showPercent val="0"/>
          <c:showBubbleSize val="0"/>
        </c:dLbls>
        <c:smooth val="0"/>
        <c:axId val="1501963055"/>
        <c:axId val="715589871"/>
      </c:lineChart>
      <c:catAx>
        <c:axId val="1501963055"/>
        <c:scaling>
          <c:orientation val="minMax"/>
        </c:scaling>
        <c:delete val="0"/>
        <c:axPos val="b"/>
        <c:majorGridlines>
          <c:spPr>
            <a:ln w="9525" cap="flat" cmpd="sng" algn="ctr">
              <a:solidFill>
                <a:schemeClr val="dk1">
                  <a:lumMod val="15000"/>
                  <a:lumOff val="85000"/>
                  <a:alpha val="54000"/>
                </a:schemeClr>
              </a:solidFill>
              <a:round/>
            </a:ln>
            <a:effectLst/>
          </c:spPr>
        </c:majorGridlines>
        <c:minorGridlines>
          <c:spPr>
            <a:ln w="9525" cap="flat" cmpd="sng" algn="ctr">
              <a:solidFill>
                <a:schemeClr val="dk1">
                  <a:lumMod val="15000"/>
                  <a:lumOff val="85000"/>
                  <a:alpha val="51000"/>
                </a:schemeClr>
              </a:solidFill>
              <a:round/>
            </a:ln>
            <a:effectLst/>
          </c:spPr>
        </c:min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VN"/>
          </a:p>
        </c:txPr>
        <c:crossAx val="715589871"/>
        <c:crosses val="autoZero"/>
        <c:auto val="1"/>
        <c:lblAlgn val="ctr"/>
        <c:lblOffset val="100"/>
        <c:noMultiLvlLbl val="0"/>
      </c:catAx>
      <c:valAx>
        <c:axId val="715589871"/>
        <c:scaling>
          <c:orientation val="minMax"/>
        </c:scaling>
        <c:delete val="0"/>
        <c:axPos val="l"/>
        <c:majorGridlines>
          <c:spPr>
            <a:ln w="9525" cap="flat" cmpd="sng" algn="ctr">
              <a:solidFill>
                <a:schemeClr val="dk1">
                  <a:lumMod val="15000"/>
                  <a:lumOff val="85000"/>
                  <a:alpha val="54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VN"/>
          </a:p>
        </c:txPr>
        <c:crossAx val="1501963055"/>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VN"/>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Common-size Income Statement (% of Revenue)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percentStacked"/>
        <c:varyColors val="0"/>
        <c:ser>
          <c:idx val="0"/>
          <c:order val="0"/>
          <c:tx>
            <c:strRef>
              <c:f>'2. Financial statement'!$G$97</c:f>
              <c:strCache>
                <c:ptCount val="1"/>
                <c:pt idx="0">
                  <c:v>COGS %</c:v>
                </c:pt>
              </c:strCache>
            </c:strRef>
          </c:tx>
          <c:spPr>
            <a:solidFill>
              <a:srgbClr val="FFC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 Financial statement'!$H$85:$J$85</c:f>
              <c:numCache>
                <c:formatCode>General</c:formatCode>
                <c:ptCount val="3"/>
                <c:pt idx="0">
                  <c:v>2022</c:v>
                </c:pt>
                <c:pt idx="1">
                  <c:v>2023</c:v>
                </c:pt>
                <c:pt idx="2">
                  <c:v>2024</c:v>
                </c:pt>
              </c:numCache>
            </c:numRef>
          </c:cat>
          <c:val>
            <c:numRef>
              <c:f>'2. Financial statement'!$H$97:$J$97</c:f>
              <c:numCache>
                <c:formatCode>0.00%</c:formatCode>
                <c:ptCount val="3"/>
                <c:pt idx="0">
                  <c:v>0.95318287851516537</c:v>
                </c:pt>
                <c:pt idx="1">
                  <c:v>0.95954480954646071</c:v>
                </c:pt>
                <c:pt idx="2">
                  <c:v>0.95145218017698552</c:v>
                </c:pt>
              </c:numCache>
            </c:numRef>
          </c:val>
          <c:extLst>
            <c:ext xmlns:c16="http://schemas.microsoft.com/office/drawing/2014/chart" uri="{C3380CC4-5D6E-409C-BE32-E72D297353CC}">
              <c16:uniqueId val="{00000000-CB6B-4BC8-85CE-0E655CA6CFC4}"/>
            </c:ext>
          </c:extLst>
        </c:ser>
        <c:ser>
          <c:idx val="3"/>
          <c:order val="1"/>
          <c:tx>
            <c:strRef>
              <c:f>'2. Financial statement'!$G$96</c:f>
              <c:strCache>
                <c:ptCount val="1"/>
                <c:pt idx="0">
                  <c:v>Financial Expenses %</c:v>
                </c:pt>
              </c:strCache>
            </c:strRef>
          </c:tx>
          <c:spPr>
            <a:solidFill>
              <a:schemeClr val="accent2">
                <a:lumMod val="60000"/>
              </a:schemeClr>
            </a:solidFill>
            <a:ln>
              <a:noFill/>
            </a:ln>
            <a:effectLst/>
          </c:spPr>
          <c:invertIfNegative val="0"/>
          <c:dLbls>
            <c:spPr>
              <a:solidFill>
                <a:schemeClr val="accent2">
                  <a:lumMod val="60000"/>
                  <a:lumOff val="40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 Financial statement'!$H$85:$J$85</c:f>
              <c:numCache>
                <c:formatCode>General</c:formatCode>
                <c:ptCount val="3"/>
                <c:pt idx="0">
                  <c:v>2022</c:v>
                </c:pt>
                <c:pt idx="1">
                  <c:v>2023</c:v>
                </c:pt>
                <c:pt idx="2">
                  <c:v>2024</c:v>
                </c:pt>
              </c:numCache>
            </c:numRef>
          </c:cat>
          <c:val>
            <c:numRef>
              <c:f>'2. Financial statement'!$H$96:$J$96</c:f>
              <c:numCache>
                <c:formatCode>0.00%</c:formatCode>
                <c:ptCount val="3"/>
                <c:pt idx="0">
                  <c:v>5.1717196286002656E-3</c:v>
                </c:pt>
                <c:pt idx="1">
                  <c:v>5.7070422186454792E-3</c:v>
                </c:pt>
                <c:pt idx="2">
                  <c:v>3.7706553567230052E-3</c:v>
                </c:pt>
              </c:numCache>
            </c:numRef>
          </c:val>
          <c:extLst>
            <c:ext xmlns:c16="http://schemas.microsoft.com/office/drawing/2014/chart" uri="{C3380CC4-5D6E-409C-BE32-E72D297353CC}">
              <c16:uniqueId val="{00000001-CB6B-4BC8-85CE-0E655CA6CFC4}"/>
            </c:ext>
          </c:extLst>
        </c:ser>
        <c:ser>
          <c:idx val="1"/>
          <c:order val="2"/>
          <c:tx>
            <c:strRef>
              <c:f>'2. Financial statement'!$G$95</c:f>
              <c:strCache>
                <c:ptCount val="1"/>
                <c:pt idx="0">
                  <c:v>Selling Expense %</c:v>
                </c:pt>
              </c:strCache>
            </c:strRef>
          </c:tx>
          <c:spPr>
            <a:solidFill>
              <a:schemeClr val="accent4">
                <a:lumMod val="40000"/>
                <a:lumOff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 Financial statement'!$H$85:$J$85</c:f>
              <c:numCache>
                <c:formatCode>General</c:formatCode>
                <c:ptCount val="3"/>
                <c:pt idx="0">
                  <c:v>2022</c:v>
                </c:pt>
                <c:pt idx="1">
                  <c:v>2023</c:v>
                </c:pt>
                <c:pt idx="2">
                  <c:v>2024</c:v>
                </c:pt>
              </c:numCache>
            </c:numRef>
          </c:cat>
          <c:val>
            <c:numRef>
              <c:f>'2. Financial statement'!$H$95:$J$95</c:f>
              <c:numCache>
                <c:formatCode>0.00%</c:formatCode>
                <c:ptCount val="3"/>
                <c:pt idx="0">
                  <c:v>4.2729174675608501E-2</c:v>
                </c:pt>
                <c:pt idx="1">
                  <c:v>4.0335313143704095E-2</c:v>
                </c:pt>
                <c:pt idx="2">
                  <c:v>4.2851141305287117E-2</c:v>
                </c:pt>
              </c:numCache>
            </c:numRef>
          </c:val>
          <c:extLst>
            <c:ext xmlns:c16="http://schemas.microsoft.com/office/drawing/2014/chart" uri="{C3380CC4-5D6E-409C-BE32-E72D297353CC}">
              <c16:uniqueId val="{00000002-CB6B-4BC8-85CE-0E655CA6CFC4}"/>
            </c:ext>
          </c:extLst>
        </c:ser>
        <c:ser>
          <c:idx val="2"/>
          <c:order val="3"/>
          <c:tx>
            <c:strRef>
              <c:f>'2. Financial statement'!$G$94</c:f>
              <c:strCache>
                <c:ptCount val="1"/>
                <c:pt idx="0">
                  <c:v>Administrative Expense %</c:v>
                </c:pt>
              </c:strCache>
            </c:strRef>
          </c:tx>
          <c:spPr>
            <a:solidFill>
              <a:schemeClr val="accent6">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 Financial statement'!$H$85:$J$85</c:f>
              <c:numCache>
                <c:formatCode>General</c:formatCode>
                <c:ptCount val="3"/>
                <c:pt idx="0">
                  <c:v>2022</c:v>
                </c:pt>
                <c:pt idx="1">
                  <c:v>2023</c:v>
                </c:pt>
                <c:pt idx="2">
                  <c:v>2024</c:v>
                </c:pt>
              </c:numCache>
            </c:numRef>
          </c:cat>
          <c:val>
            <c:numRef>
              <c:f>'2. Financial statement'!$H$94:$J$94</c:f>
              <c:numCache>
                <c:formatCode>0.00%</c:formatCode>
                <c:ptCount val="3"/>
                <c:pt idx="0">
                  <c:v>3.9785616606320641E-3</c:v>
                </c:pt>
                <c:pt idx="1">
                  <c:v>4.6108616595061944E-3</c:v>
                </c:pt>
                <c:pt idx="2">
                  <c:v>4.622334330600596E-3</c:v>
                </c:pt>
              </c:numCache>
            </c:numRef>
          </c:val>
          <c:extLst>
            <c:ext xmlns:c16="http://schemas.microsoft.com/office/drawing/2014/chart" uri="{C3380CC4-5D6E-409C-BE32-E72D297353CC}">
              <c16:uniqueId val="{00000003-CB6B-4BC8-85CE-0E655CA6CFC4}"/>
            </c:ext>
          </c:extLst>
        </c:ser>
        <c:dLbls>
          <c:dLblPos val="ctr"/>
          <c:showLegendKey val="0"/>
          <c:showVal val="1"/>
          <c:showCatName val="0"/>
          <c:showSerName val="0"/>
          <c:showPercent val="0"/>
          <c:showBubbleSize val="0"/>
        </c:dLbls>
        <c:gapWidth val="150"/>
        <c:overlap val="100"/>
        <c:serLines>
          <c:spPr>
            <a:ln w="9525" cap="flat" cmpd="sng" algn="ctr">
              <a:solidFill>
                <a:schemeClr val="tx1">
                  <a:lumMod val="35000"/>
                  <a:lumOff val="65000"/>
                </a:schemeClr>
              </a:solidFill>
              <a:round/>
            </a:ln>
            <a:effectLst/>
          </c:spPr>
        </c:serLines>
        <c:axId val="1193119792"/>
        <c:axId val="1062239759"/>
      </c:barChart>
      <c:catAx>
        <c:axId val="1193119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062239759"/>
        <c:crosses val="autoZero"/>
        <c:auto val="1"/>
        <c:lblAlgn val="ctr"/>
        <c:lblOffset val="100"/>
        <c:noMultiLvlLbl val="0"/>
      </c:catAx>
      <c:valAx>
        <c:axId val="106223975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193119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VN"/>
        </a:p>
      </c:txPr>
    </c:title>
    <c:autoTitleDeleted val="0"/>
    <c:plotArea>
      <c:layout/>
      <c:lineChart>
        <c:grouping val="standard"/>
        <c:varyColors val="0"/>
        <c:ser>
          <c:idx val="0"/>
          <c:order val="0"/>
          <c:tx>
            <c:strRef>
              <c:f>'2. Financial statement'!$G$98</c:f>
              <c:strCache>
                <c:ptCount val="1"/>
                <c:pt idx="0">
                  <c:v>Gross Margin %</c:v>
                </c:pt>
              </c:strCache>
            </c:strRef>
          </c:tx>
          <c:spPr>
            <a:ln w="2222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VN"/>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numRef>
              <c:f>'2. Financial statement'!$H$85:$J$85</c:f>
              <c:numCache>
                <c:formatCode>General</c:formatCode>
                <c:ptCount val="3"/>
                <c:pt idx="0">
                  <c:v>2022</c:v>
                </c:pt>
                <c:pt idx="1">
                  <c:v>2023</c:v>
                </c:pt>
                <c:pt idx="2">
                  <c:v>2024</c:v>
                </c:pt>
              </c:numCache>
            </c:numRef>
          </c:cat>
          <c:val>
            <c:numRef>
              <c:f>'2. Financial statement'!$H$98:$J$98</c:f>
              <c:numCache>
                <c:formatCode>0.00%</c:formatCode>
                <c:ptCount val="3"/>
                <c:pt idx="0">
                  <c:v>4.6817121484834634E-2</c:v>
                </c:pt>
                <c:pt idx="1">
                  <c:v>4.0455190453539291E-2</c:v>
                </c:pt>
                <c:pt idx="2">
                  <c:v>4.8547819823014482E-2</c:v>
                </c:pt>
              </c:numCache>
            </c:numRef>
          </c:val>
          <c:smooth val="0"/>
          <c:extLst>
            <c:ext xmlns:c16="http://schemas.microsoft.com/office/drawing/2014/chart" uri="{C3380CC4-5D6E-409C-BE32-E72D297353CC}">
              <c16:uniqueId val="{00000000-DAD4-4879-A26E-9D87E40F29DF}"/>
            </c:ext>
          </c:extLst>
        </c:ser>
        <c:dLbls>
          <c:dLblPos val="b"/>
          <c:showLegendKey val="0"/>
          <c:showVal val="1"/>
          <c:showCatName val="0"/>
          <c:showSerName val="0"/>
          <c:showPercent val="0"/>
          <c:showBubbleSize val="0"/>
        </c:dLbls>
        <c:smooth val="0"/>
        <c:axId val="1122780015"/>
        <c:axId val="1122918799"/>
      </c:lineChart>
      <c:catAx>
        <c:axId val="1122780015"/>
        <c:scaling>
          <c:orientation val="minMax"/>
        </c:scaling>
        <c:delete val="0"/>
        <c:axPos val="b"/>
        <c:majorGridlines>
          <c:spPr>
            <a:ln w="9525" cap="flat" cmpd="sng" algn="ctr">
              <a:solidFill>
                <a:schemeClr val="dk1">
                  <a:lumMod val="15000"/>
                  <a:lumOff val="85000"/>
                  <a:alpha val="54000"/>
                </a:schemeClr>
              </a:solidFill>
              <a:round/>
            </a:ln>
            <a:effectLst/>
          </c:spPr>
        </c:majorGridlines>
        <c:minorGridlines>
          <c:spPr>
            <a:ln w="9525" cap="flat" cmpd="sng" algn="ctr">
              <a:solidFill>
                <a:schemeClr val="dk1">
                  <a:lumMod val="15000"/>
                  <a:lumOff val="85000"/>
                  <a:alpha val="51000"/>
                </a:schemeClr>
              </a:solidFill>
              <a:round/>
            </a:ln>
            <a:effectLst/>
          </c:spPr>
        </c:min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VN"/>
          </a:p>
        </c:txPr>
        <c:crossAx val="1122918799"/>
        <c:crosses val="autoZero"/>
        <c:auto val="1"/>
        <c:lblAlgn val="ctr"/>
        <c:lblOffset val="100"/>
        <c:noMultiLvlLbl val="0"/>
      </c:catAx>
      <c:valAx>
        <c:axId val="1122918799"/>
        <c:scaling>
          <c:orientation val="minMax"/>
        </c:scaling>
        <c:delete val="0"/>
        <c:axPos val="l"/>
        <c:majorGridlines>
          <c:spPr>
            <a:ln w="9525" cap="flat" cmpd="sng" algn="ctr">
              <a:solidFill>
                <a:schemeClr val="dk1">
                  <a:lumMod val="15000"/>
                  <a:lumOff val="85000"/>
                  <a:alpha val="54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VN"/>
          </a:p>
        </c:txPr>
        <c:crossAx val="1122780015"/>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VN"/>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Revenue Structure by Market (2022–2024)</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1"/>
          <c:order val="0"/>
          <c:tx>
            <c:strRef>
              <c:f>'2. Financial statement'!$B$105</c:f>
              <c:strCache>
                <c:ptCount val="1"/>
                <c:pt idx="0">
                  <c:v>International</c:v>
                </c:pt>
              </c:strCache>
            </c:strRef>
          </c:tx>
          <c:spPr>
            <a:solidFill>
              <a:schemeClr val="accent4">
                <a:lumMod val="40000"/>
                <a:lumOff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 Financial statement'!$C$104:$E$104</c:f>
              <c:numCache>
                <c:formatCode>General</c:formatCode>
                <c:ptCount val="3"/>
                <c:pt idx="0">
                  <c:v>2022</c:v>
                </c:pt>
                <c:pt idx="1">
                  <c:v>2023</c:v>
                </c:pt>
                <c:pt idx="2">
                  <c:v>2024</c:v>
                </c:pt>
              </c:numCache>
            </c:numRef>
          </c:cat>
          <c:val>
            <c:numRef>
              <c:f>'2. Financial statement'!$C$107:$E$107</c:f>
              <c:numCache>
                <c:formatCode>0.00%</c:formatCode>
                <c:ptCount val="3"/>
                <c:pt idx="0">
                  <c:v>0.30760794455962637</c:v>
                </c:pt>
                <c:pt idx="1">
                  <c:v>0.2473369697940799</c:v>
                </c:pt>
                <c:pt idx="2">
                  <c:v>0.27983385641473751</c:v>
                </c:pt>
              </c:numCache>
            </c:numRef>
          </c:val>
          <c:extLst>
            <c:ext xmlns:c16="http://schemas.microsoft.com/office/drawing/2014/chart" uri="{C3380CC4-5D6E-409C-BE32-E72D297353CC}">
              <c16:uniqueId val="{00000000-873C-498E-A835-14152C6DB796}"/>
            </c:ext>
          </c:extLst>
        </c:ser>
        <c:ser>
          <c:idx val="2"/>
          <c:order val="1"/>
          <c:tx>
            <c:strRef>
              <c:f>'2. Financial statement'!$B$106</c:f>
              <c:strCache>
                <c:ptCount val="1"/>
                <c:pt idx="0">
                  <c:v>Domestic</c:v>
                </c:pt>
              </c:strCache>
            </c:strRef>
          </c:tx>
          <c:spPr>
            <a:solidFill>
              <a:srgbClr val="FBC1F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 Financial statement'!$C$104:$E$104</c:f>
              <c:numCache>
                <c:formatCode>General</c:formatCode>
                <c:ptCount val="3"/>
                <c:pt idx="0">
                  <c:v>2022</c:v>
                </c:pt>
                <c:pt idx="1">
                  <c:v>2023</c:v>
                </c:pt>
                <c:pt idx="2">
                  <c:v>2024</c:v>
                </c:pt>
              </c:numCache>
            </c:numRef>
          </c:cat>
          <c:val>
            <c:numRef>
              <c:f>'2. Financial statement'!$C$108:$E$108</c:f>
              <c:numCache>
                <c:formatCode>0.00%</c:formatCode>
                <c:ptCount val="3"/>
                <c:pt idx="0">
                  <c:v>0.69239205544037374</c:v>
                </c:pt>
                <c:pt idx="1">
                  <c:v>0.75266303020592007</c:v>
                </c:pt>
                <c:pt idx="2">
                  <c:v>0.72016614358526243</c:v>
                </c:pt>
              </c:numCache>
            </c:numRef>
          </c:val>
          <c:extLst>
            <c:ext xmlns:c16="http://schemas.microsoft.com/office/drawing/2014/chart" uri="{C3380CC4-5D6E-409C-BE32-E72D297353CC}">
              <c16:uniqueId val="{00000001-873C-498E-A835-14152C6DB796}"/>
            </c:ext>
          </c:extLst>
        </c:ser>
        <c:dLbls>
          <c:dLblPos val="ctr"/>
          <c:showLegendKey val="0"/>
          <c:showVal val="1"/>
          <c:showCatName val="0"/>
          <c:showSerName val="0"/>
          <c:showPercent val="0"/>
          <c:showBubbleSize val="0"/>
        </c:dLbls>
        <c:gapWidth val="55"/>
        <c:overlap val="100"/>
        <c:axId val="1237075887"/>
        <c:axId val="1236908495"/>
      </c:barChart>
      <c:catAx>
        <c:axId val="12370758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236908495"/>
        <c:crosses val="autoZero"/>
        <c:auto val="1"/>
        <c:lblAlgn val="ctr"/>
        <c:lblOffset val="100"/>
        <c:noMultiLvlLbl val="0"/>
      </c:catAx>
      <c:valAx>
        <c:axId val="1236908495"/>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2370758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400" b="0" i="0" u="none" strike="noStrike" kern="1200" spc="0" baseline="0">
                <a:solidFill>
                  <a:sysClr val="windowText" lastClr="000000">
                    <a:lumMod val="65000"/>
                    <a:lumOff val="35000"/>
                  </a:sysClr>
                </a:solidFill>
              </a:rPr>
              <a:t>Cash Flow by Activities (trillion VND) (2022-2024)</a:t>
            </a:r>
          </a:p>
        </c:rich>
      </c:tx>
      <c:overlay val="0"/>
    </c:title>
    <c:autoTitleDeleted val="0"/>
    <c:plotArea>
      <c:layout/>
      <c:barChart>
        <c:barDir val="col"/>
        <c:grouping val="clustered"/>
        <c:varyColors val="0"/>
        <c:ser>
          <c:idx val="0"/>
          <c:order val="0"/>
          <c:tx>
            <c:v>Operating Activities</c:v>
          </c:tx>
          <c:spPr>
            <a:solidFill>
              <a:schemeClr val="accent6">
                <a:lumMod val="60000"/>
                <a:lumOff val="40000"/>
              </a:schemeClr>
            </a:solidFill>
          </c:spPr>
          <c:invertIfNegative val="0"/>
          <c:dLbls>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'2. Financial statement'!$B$112:$D$112</c:f>
              <c:numCache>
                <c:formatCode>General</c:formatCode>
                <c:ptCount val="3"/>
                <c:pt idx="0">
                  <c:v>2022</c:v>
                </c:pt>
                <c:pt idx="1">
                  <c:v>2023</c:v>
                </c:pt>
                <c:pt idx="2">
                  <c:v>2024</c:v>
                </c:pt>
              </c:numCache>
            </c:numRef>
          </c:cat>
          <c:val>
            <c:numRef>
              <c:f>'2. Financial statement'!$B$128:$D$128</c:f>
              <c:numCache>
                <c:formatCode>General</c:formatCode>
                <c:ptCount val="3"/>
                <c:pt idx="0">
                  <c:v>1.0720000000000001</c:v>
                </c:pt>
                <c:pt idx="1">
                  <c:v>1.286</c:v>
                </c:pt>
                <c:pt idx="2">
                  <c:v>-1.4510000000000001</c:v>
                </c:pt>
              </c:numCache>
            </c:numRef>
          </c:val>
          <c:extLst>
            <c:ext xmlns:c16="http://schemas.microsoft.com/office/drawing/2014/chart" uri="{C3380CC4-5D6E-409C-BE32-E72D297353CC}">
              <c16:uniqueId val="{00000000-64B0-4CD4-830F-09C7F7C66D39}"/>
            </c:ext>
          </c:extLst>
        </c:ser>
        <c:ser>
          <c:idx val="1"/>
          <c:order val="1"/>
          <c:tx>
            <c:v>Investing Activities</c:v>
          </c:tx>
          <c:spPr>
            <a:solidFill>
              <a:srgbClr val="FFC000"/>
            </a:solidFill>
          </c:spPr>
          <c:invertIfNegative val="0"/>
          <c:dLbls>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'2. Financial statement'!$B$112:$D$112</c:f>
              <c:numCache>
                <c:formatCode>General</c:formatCode>
                <c:ptCount val="3"/>
                <c:pt idx="0">
                  <c:v>2022</c:v>
                </c:pt>
                <c:pt idx="1">
                  <c:v>2023</c:v>
                </c:pt>
                <c:pt idx="2">
                  <c:v>2024</c:v>
                </c:pt>
              </c:numCache>
            </c:numRef>
          </c:cat>
          <c:val>
            <c:numRef>
              <c:f>'2. Financial statement'!$B$137:$D$137</c:f>
              <c:numCache>
                <c:formatCode>General</c:formatCode>
                <c:ptCount val="3"/>
                <c:pt idx="0">
                  <c:v>-7.5999999999999998E-2</c:v>
                </c:pt>
                <c:pt idx="1">
                  <c:v>-0.38800000000000001</c:v>
                </c:pt>
                <c:pt idx="2">
                  <c:v>-0.746</c:v>
                </c:pt>
              </c:numCache>
            </c:numRef>
          </c:val>
          <c:extLst>
            <c:ext xmlns:c16="http://schemas.microsoft.com/office/drawing/2014/chart" uri="{C3380CC4-5D6E-409C-BE32-E72D297353CC}">
              <c16:uniqueId val="{00000001-64B0-4CD4-830F-09C7F7C66D39}"/>
            </c:ext>
          </c:extLst>
        </c:ser>
        <c:ser>
          <c:idx val="2"/>
          <c:order val="2"/>
          <c:tx>
            <c:v>Financing Activities</c:v>
          </c:tx>
          <c:spPr>
            <a:solidFill>
              <a:srgbClr val="50DAFC"/>
            </a:solidFill>
          </c:spPr>
          <c:invertIfNegative val="0"/>
          <c:dLbls>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'2. Financial statement'!$B$112:$D$112</c:f>
              <c:numCache>
                <c:formatCode>General</c:formatCode>
                <c:ptCount val="3"/>
                <c:pt idx="0">
                  <c:v>2022</c:v>
                </c:pt>
                <c:pt idx="1">
                  <c:v>2023</c:v>
                </c:pt>
                <c:pt idx="2">
                  <c:v>2024</c:v>
                </c:pt>
              </c:numCache>
            </c:numRef>
          </c:cat>
          <c:val>
            <c:numRef>
              <c:f>'2. Financial statement'!$B$144:$D$144</c:f>
              <c:numCache>
                <c:formatCode>General</c:formatCode>
                <c:ptCount val="3"/>
                <c:pt idx="0">
                  <c:v>0</c:v>
                </c:pt>
                <c:pt idx="1">
                  <c:v>-0.64200000000000002</c:v>
                </c:pt>
                <c:pt idx="2">
                  <c:v>2.121</c:v>
                </c:pt>
              </c:numCache>
            </c:numRef>
          </c:val>
          <c:extLst>
            <c:ext xmlns:c16="http://schemas.microsoft.com/office/drawing/2014/chart" uri="{C3380CC4-5D6E-409C-BE32-E72D297353CC}">
              <c16:uniqueId val="{00000002-64B0-4CD4-830F-09C7F7C66D39}"/>
            </c:ext>
          </c:extLst>
        </c:ser>
        <c:dLbls>
          <c:dLblPos val="ctr"/>
          <c:showLegendKey val="0"/>
          <c:showVal val="1"/>
          <c:showCatName val="0"/>
          <c:showSerName val="0"/>
          <c:showPercent val="0"/>
          <c:showBubbleSize val="0"/>
        </c:dLbls>
        <c:gapWidth val="150"/>
        <c:axId val="1170169503"/>
        <c:axId val="1169716479"/>
      </c:barChart>
      <c:catAx>
        <c:axId val="1170169503"/>
        <c:scaling>
          <c:orientation val="minMax"/>
        </c:scaling>
        <c:delete val="0"/>
        <c:axPos val="b"/>
        <c:numFmt formatCode="General" sourceLinked="1"/>
        <c:majorTickMark val="none"/>
        <c:minorTickMark val="none"/>
        <c:tickLblPos val="nextTo"/>
        <c:crossAx val="1169716479"/>
        <c:crosses val="autoZero"/>
        <c:auto val="1"/>
        <c:lblAlgn val="ctr"/>
        <c:lblOffset val="100"/>
        <c:noMultiLvlLbl val="0"/>
      </c:catAx>
      <c:valAx>
        <c:axId val="1169716479"/>
        <c:scaling>
          <c:orientation val="minMax"/>
        </c:scaling>
        <c:delete val="0"/>
        <c:axPos val="l"/>
        <c:majorGridlines/>
        <c:numFmt formatCode="General" sourceLinked="1"/>
        <c:majorTickMark val="none"/>
        <c:minorTickMark val="none"/>
        <c:tickLblPos val="nextTo"/>
        <c:crossAx val="1170169503"/>
        <c:crosses val="autoZero"/>
        <c:crossBetween val="between"/>
      </c:valAx>
      <c:dTable>
        <c:showHorzBorder val="1"/>
        <c:showVertBorder val="1"/>
        <c:showOutline val="1"/>
        <c:showKeys val="0"/>
      </c:dTable>
    </c:plotArea>
    <c:legend>
      <c:legendPos val="b"/>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txPr>
    <a:bodyPr/>
    <a:lstStyle/>
    <a:p>
      <a:pPr>
        <a:defRPr/>
      </a:pPr>
      <a:endParaRPr lang="en-VN"/>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400" b="0" i="0" u="none" strike="noStrike" baseline="0"/>
              <a:t>Working Capital Components (2022-2024)</a:t>
            </a:r>
            <a:endParaRPr lang="en-US"/>
          </a:p>
        </c:rich>
      </c:tx>
      <c:overlay val="0"/>
    </c:title>
    <c:autoTitleDeleted val="0"/>
    <c:plotArea>
      <c:layout/>
      <c:barChart>
        <c:barDir val="col"/>
        <c:grouping val="clustered"/>
        <c:varyColors val="0"/>
        <c:ser>
          <c:idx val="0"/>
          <c:order val="0"/>
          <c:tx>
            <c:v>Receivables</c:v>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'2. Financial statement'!$B$112:$D$112</c:f>
              <c:numCache>
                <c:formatCode>General</c:formatCode>
                <c:ptCount val="3"/>
                <c:pt idx="0">
                  <c:v>2022</c:v>
                </c:pt>
                <c:pt idx="1">
                  <c:v>2023</c:v>
                </c:pt>
                <c:pt idx="2">
                  <c:v>2024</c:v>
                </c:pt>
              </c:numCache>
            </c:numRef>
          </c:cat>
          <c:val>
            <c:numRef>
              <c:f>'2. Financial statement'!$B$121:$D$121</c:f>
              <c:numCache>
                <c:formatCode>General</c:formatCode>
                <c:ptCount val="3"/>
                <c:pt idx="0">
                  <c:v>1.8260000000000001</c:v>
                </c:pt>
                <c:pt idx="1">
                  <c:v>0.45600000000000002</c:v>
                </c:pt>
                <c:pt idx="2">
                  <c:v>-1.8</c:v>
                </c:pt>
              </c:numCache>
            </c:numRef>
          </c:val>
          <c:extLst>
            <c:ext xmlns:c16="http://schemas.microsoft.com/office/drawing/2014/chart" uri="{C3380CC4-5D6E-409C-BE32-E72D297353CC}">
              <c16:uniqueId val="{00000000-BE74-443C-8F81-775457CE8258}"/>
            </c:ext>
          </c:extLst>
        </c:ser>
        <c:ser>
          <c:idx val="1"/>
          <c:order val="1"/>
          <c:tx>
            <c:v>Inventories</c:v>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'2. Financial statement'!$B$112:$D$112</c:f>
              <c:numCache>
                <c:formatCode>General</c:formatCode>
                <c:ptCount val="3"/>
                <c:pt idx="0">
                  <c:v>2022</c:v>
                </c:pt>
                <c:pt idx="1">
                  <c:v>2023</c:v>
                </c:pt>
                <c:pt idx="2">
                  <c:v>2024</c:v>
                </c:pt>
              </c:numCache>
            </c:numRef>
          </c:cat>
          <c:val>
            <c:numRef>
              <c:f>'2. Financial statement'!$B$122:$D$122</c:f>
              <c:numCache>
                <c:formatCode>General</c:formatCode>
                <c:ptCount val="3"/>
                <c:pt idx="0">
                  <c:v>3.0870000000000002</c:v>
                </c:pt>
                <c:pt idx="1">
                  <c:v>-0.50900000000000001</c:v>
                </c:pt>
                <c:pt idx="2">
                  <c:v>-0.188</c:v>
                </c:pt>
              </c:numCache>
            </c:numRef>
          </c:val>
          <c:extLst>
            <c:ext xmlns:c16="http://schemas.microsoft.com/office/drawing/2014/chart" uri="{C3380CC4-5D6E-409C-BE32-E72D297353CC}">
              <c16:uniqueId val="{00000001-BE74-443C-8F81-775457CE8258}"/>
            </c:ext>
          </c:extLst>
        </c:ser>
        <c:ser>
          <c:idx val="2"/>
          <c:order val="2"/>
          <c:tx>
            <c:v>Payables</c:v>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'2. Financial statement'!$B$112:$D$112</c:f>
              <c:numCache>
                <c:formatCode>General</c:formatCode>
                <c:ptCount val="3"/>
                <c:pt idx="0">
                  <c:v>2022</c:v>
                </c:pt>
                <c:pt idx="1">
                  <c:v>2023</c:v>
                </c:pt>
                <c:pt idx="2">
                  <c:v>2024</c:v>
                </c:pt>
              </c:numCache>
            </c:numRef>
          </c:cat>
          <c:val>
            <c:numRef>
              <c:f>'2. Financial statement'!$B$123:$D$123</c:f>
              <c:numCache>
                <c:formatCode>General</c:formatCode>
                <c:ptCount val="3"/>
                <c:pt idx="0">
                  <c:v>-3.6779999999999999</c:v>
                </c:pt>
                <c:pt idx="1">
                  <c:v>1.5449999999999999</c:v>
                </c:pt>
                <c:pt idx="2">
                  <c:v>0.27500000000000002</c:v>
                </c:pt>
              </c:numCache>
            </c:numRef>
          </c:val>
          <c:extLst>
            <c:ext xmlns:c16="http://schemas.microsoft.com/office/drawing/2014/chart" uri="{C3380CC4-5D6E-409C-BE32-E72D297353CC}">
              <c16:uniqueId val="{00000002-BE74-443C-8F81-775457CE8258}"/>
            </c:ext>
          </c:extLst>
        </c:ser>
        <c:dLbls>
          <c:dLblPos val="outEnd"/>
          <c:showLegendKey val="0"/>
          <c:showVal val="1"/>
          <c:showCatName val="0"/>
          <c:showSerName val="0"/>
          <c:showPercent val="0"/>
          <c:showBubbleSize val="0"/>
        </c:dLbls>
        <c:gapWidth val="150"/>
        <c:axId val="1339130559"/>
        <c:axId val="1239318079"/>
      </c:barChart>
      <c:catAx>
        <c:axId val="1339130559"/>
        <c:scaling>
          <c:orientation val="minMax"/>
        </c:scaling>
        <c:delete val="0"/>
        <c:axPos val="b"/>
        <c:numFmt formatCode="General" sourceLinked="1"/>
        <c:majorTickMark val="none"/>
        <c:minorTickMark val="none"/>
        <c:tickLblPos val="nextTo"/>
        <c:crossAx val="1239318079"/>
        <c:crosses val="autoZero"/>
        <c:auto val="1"/>
        <c:lblAlgn val="ctr"/>
        <c:lblOffset val="100"/>
        <c:noMultiLvlLbl val="0"/>
      </c:catAx>
      <c:valAx>
        <c:axId val="1239318079"/>
        <c:scaling>
          <c:orientation val="minMax"/>
        </c:scaling>
        <c:delete val="0"/>
        <c:axPos val="l"/>
        <c:majorGridlines/>
        <c:numFmt formatCode="General" sourceLinked="1"/>
        <c:majorTickMark val="none"/>
        <c:minorTickMark val="none"/>
        <c:tickLblPos val="nextTo"/>
        <c:crossAx val="1339130559"/>
        <c:crosses val="autoZero"/>
        <c:crossBetween val="between"/>
      </c:valAx>
      <c:dTable>
        <c:showHorzBorder val="1"/>
        <c:showVertBorder val="1"/>
        <c:showOutline val="1"/>
        <c:showKeys val="0"/>
      </c:dTable>
    </c:plotArea>
    <c:legend>
      <c:legendPos val="t"/>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txPr>
    <a:bodyPr/>
    <a:lstStyle/>
    <a:p>
      <a:pPr>
        <a:defRPr/>
      </a:pPr>
      <a:endParaRPr lang="en-VN"/>
    </a:p>
  </c:tx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VN"/>
        </a:p>
      </c:txPr>
    </c:title>
    <c:autoTitleDeleted val="0"/>
    <c:plotArea>
      <c:layout/>
      <c:lineChart>
        <c:grouping val="standard"/>
        <c:varyColors val="0"/>
        <c:ser>
          <c:idx val="1"/>
          <c:order val="0"/>
          <c:tx>
            <c:strRef>
              <c:f>'2. Financial statement'!$A$128</c:f>
              <c:strCache>
                <c:ptCount val="1"/>
                <c:pt idx="0">
                  <c:v>Net Cash Flows from Operating Activities</c:v>
                </c:pt>
              </c:strCache>
            </c:strRef>
          </c:tx>
          <c:spPr>
            <a:ln w="22225" cap="rnd">
              <a:solidFill>
                <a:schemeClr val="accent1"/>
              </a:solidFill>
              <a:round/>
            </a:ln>
            <a:effectLst/>
          </c:spPr>
          <c:marker>
            <c:symbol val="none"/>
          </c:marker>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VN"/>
              </a:p>
            </c:txPr>
            <c:dLblPos val="ct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1"/>
                <c15:leaderLines>
                  <c:spPr>
                    <a:ln w="9525" cap="flat" cmpd="sng" algn="ctr">
                      <a:solidFill>
                        <a:schemeClr val="dk1">
                          <a:lumMod val="35000"/>
                          <a:lumOff val="65000"/>
                        </a:schemeClr>
                      </a:solidFill>
                      <a:round/>
                    </a:ln>
                    <a:effectLst/>
                  </c:spPr>
                </c15:leaderLines>
              </c:ext>
            </c:extLst>
          </c:dLbls>
          <c:cat>
            <c:numRef>
              <c:f>'2. Financial statement'!$B$112:$D$112</c:f>
              <c:numCache>
                <c:formatCode>General</c:formatCode>
                <c:ptCount val="3"/>
                <c:pt idx="0">
                  <c:v>2022</c:v>
                </c:pt>
                <c:pt idx="1">
                  <c:v>2023</c:v>
                </c:pt>
                <c:pt idx="2">
                  <c:v>2024</c:v>
                </c:pt>
              </c:numCache>
            </c:numRef>
          </c:cat>
          <c:val>
            <c:numRef>
              <c:f>'2. Financial statement'!$B$128:$D$128</c:f>
              <c:numCache>
                <c:formatCode>General</c:formatCode>
                <c:ptCount val="3"/>
                <c:pt idx="0">
                  <c:v>1.0720000000000001</c:v>
                </c:pt>
                <c:pt idx="1">
                  <c:v>1.286</c:v>
                </c:pt>
                <c:pt idx="2">
                  <c:v>-1.4510000000000001</c:v>
                </c:pt>
              </c:numCache>
            </c:numRef>
          </c:val>
          <c:smooth val="0"/>
          <c:extLst>
            <c:ext xmlns:c16="http://schemas.microsoft.com/office/drawing/2014/chart" uri="{C3380CC4-5D6E-409C-BE32-E72D297353CC}">
              <c16:uniqueId val="{00000000-464E-4448-B807-641E24E0FD1E}"/>
            </c:ext>
          </c:extLst>
        </c:ser>
        <c:dLbls>
          <c:showLegendKey val="0"/>
          <c:showVal val="0"/>
          <c:showCatName val="0"/>
          <c:showSerName val="0"/>
          <c:showPercent val="0"/>
          <c:showBubbleSize val="0"/>
        </c:dLbls>
        <c:smooth val="0"/>
        <c:axId val="1174216047"/>
        <c:axId val="1978099087"/>
      </c:lineChart>
      <c:catAx>
        <c:axId val="1174216047"/>
        <c:scaling>
          <c:orientation val="minMax"/>
        </c:scaling>
        <c:delete val="0"/>
        <c:axPos val="b"/>
        <c:majorGridlines>
          <c:spPr>
            <a:ln w="9525" cap="flat" cmpd="sng" algn="ctr">
              <a:solidFill>
                <a:schemeClr val="dk1">
                  <a:lumMod val="15000"/>
                  <a:lumOff val="85000"/>
                  <a:alpha val="54000"/>
                </a:schemeClr>
              </a:solidFill>
              <a:round/>
            </a:ln>
            <a:effectLst/>
          </c:spPr>
        </c:majorGridlines>
        <c:minorGridlines>
          <c:spPr>
            <a:ln w="9525" cap="flat" cmpd="sng" algn="ctr">
              <a:solidFill>
                <a:schemeClr val="dk1">
                  <a:lumMod val="15000"/>
                  <a:lumOff val="85000"/>
                  <a:alpha val="51000"/>
                </a:schemeClr>
              </a:solidFill>
              <a:round/>
            </a:ln>
            <a:effectLst/>
          </c:spPr>
        </c:min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VN"/>
          </a:p>
        </c:txPr>
        <c:crossAx val="1978099087"/>
        <c:crosses val="autoZero"/>
        <c:auto val="1"/>
        <c:lblAlgn val="ctr"/>
        <c:lblOffset val="100"/>
        <c:noMultiLvlLbl val="0"/>
      </c:catAx>
      <c:valAx>
        <c:axId val="1978099087"/>
        <c:scaling>
          <c:orientation val="minMax"/>
        </c:scaling>
        <c:delete val="0"/>
        <c:axPos val="l"/>
        <c:majorGridlines>
          <c:spPr>
            <a:ln w="9525" cap="flat" cmpd="sng" algn="ctr">
              <a:solidFill>
                <a:schemeClr val="dk1">
                  <a:lumMod val="15000"/>
                  <a:lumOff val="85000"/>
                  <a:alpha val="54000"/>
                </a:schemeClr>
              </a:solidFill>
              <a:round/>
            </a:ln>
            <a:effectLst/>
          </c:spPr>
        </c:majorGridlines>
        <c:title>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V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VN"/>
          </a:p>
        </c:txPr>
        <c:crossAx val="1174216047"/>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VN"/>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Investment Components (2022-2024)</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barChart>
        <c:barDir val="col"/>
        <c:grouping val="clustered"/>
        <c:varyColors val="0"/>
        <c:ser>
          <c:idx val="0"/>
          <c:order val="0"/>
          <c:tx>
            <c:v>Fixed Assets</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 Financial statement'!$B$112:$D$112</c:f>
              <c:numCache>
                <c:formatCode>General</c:formatCode>
                <c:ptCount val="3"/>
                <c:pt idx="0">
                  <c:v>2022</c:v>
                </c:pt>
                <c:pt idx="1">
                  <c:v>2023</c:v>
                </c:pt>
                <c:pt idx="2">
                  <c:v>2024</c:v>
                </c:pt>
              </c:numCache>
            </c:numRef>
          </c:cat>
          <c:val>
            <c:numRef>
              <c:f>'2. Financial statement'!$B$131:$D$131</c:f>
              <c:numCache>
                <c:formatCode>General</c:formatCode>
                <c:ptCount val="3"/>
                <c:pt idx="0">
                  <c:v>-0.32900000000000001</c:v>
                </c:pt>
                <c:pt idx="1">
                  <c:v>-0.17899999999999999</c:v>
                </c:pt>
                <c:pt idx="2">
                  <c:v>-0.56100000000000005</c:v>
                </c:pt>
              </c:numCache>
            </c:numRef>
          </c:val>
          <c:extLst>
            <c:ext xmlns:c16="http://schemas.microsoft.com/office/drawing/2014/chart" uri="{C3380CC4-5D6E-409C-BE32-E72D297353CC}">
              <c16:uniqueId val="{00000000-B595-4CCB-9429-F8C01502C9F1}"/>
            </c:ext>
          </c:extLst>
        </c:ser>
        <c:ser>
          <c:idx val="1"/>
          <c:order val="1"/>
          <c:tx>
            <c:v>Disposal</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 Financial statement'!$B$112:$D$112</c:f>
              <c:numCache>
                <c:formatCode>General</c:formatCode>
                <c:ptCount val="3"/>
                <c:pt idx="0">
                  <c:v>2022</c:v>
                </c:pt>
                <c:pt idx="1">
                  <c:v>2023</c:v>
                </c:pt>
                <c:pt idx="2">
                  <c:v>2024</c:v>
                </c:pt>
              </c:numCache>
            </c:numRef>
          </c:cat>
          <c:val>
            <c:numRef>
              <c:f>'2. Financial statement'!$B$132:$D$132</c:f>
              <c:numCache>
                <c:formatCode>General</c:formatCode>
                <c:ptCount val="3"/>
                <c:pt idx="0">
                  <c:v>2.4E-2</c:v>
                </c:pt>
                <c:pt idx="1">
                  <c:v>3.4000000000000002E-2</c:v>
                </c:pt>
                <c:pt idx="2">
                  <c:v>3.6999999999999998E-2</c:v>
                </c:pt>
              </c:numCache>
            </c:numRef>
          </c:val>
          <c:extLst>
            <c:ext xmlns:c16="http://schemas.microsoft.com/office/drawing/2014/chart" uri="{C3380CC4-5D6E-409C-BE32-E72D297353CC}">
              <c16:uniqueId val="{00000001-B595-4CCB-9429-F8C01502C9F1}"/>
            </c:ext>
          </c:extLst>
        </c:ser>
        <c:ser>
          <c:idx val="2"/>
          <c:order val="2"/>
          <c:tx>
            <c:v>Loans &amp; Deposits</c:v>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 Financial statement'!$B$112:$D$112</c:f>
              <c:numCache>
                <c:formatCode>General</c:formatCode>
                <c:ptCount val="3"/>
                <c:pt idx="0">
                  <c:v>2022</c:v>
                </c:pt>
                <c:pt idx="1">
                  <c:v>2023</c:v>
                </c:pt>
                <c:pt idx="2">
                  <c:v>2024</c:v>
                </c:pt>
              </c:numCache>
            </c:numRef>
          </c:cat>
          <c:val>
            <c:numRef>
              <c:f>'2. Financial statement'!$B$133:$D$133</c:f>
              <c:numCache>
                <c:formatCode>General</c:formatCode>
                <c:ptCount val="3"/>
                <c:pt idx="0">
                  <c:v>-3.0000000000000001E-3</c:v>
                </c:pt>
                <c:pt idx="1">
                  <c:v>-0.13600000000000001</c:v>
                </c:pt>
                <c:pt idx="2">
                  <c:v>-0.28799999999999998</c:v>
                </c:pt>
              </c:numCache>
            </c:numRef>
          </c:val>
          <c:extLst>
            <c:ext xmlns:c16="http://schemas.microsoft.com/office/drawing/2014/chart" uri="{C3380CC4-5D6E-409C-BE32-E72D297353CC}">
              <c16:uniqueId val="{00000002-B595-4CCB-9429-F8C01502C9F1}"/>
            </c:ext>
          </c:extLst>
        </c:ser>
        <c:ser>
          <c:idx val="3"/>
          <c:order val="3"/>
          <c:tx>
            <c:v>Interest Received</c:v>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 Financial statement'!$B$112:$D$112</c:f>
              <c:numCache>
                <c:formatCode>General</c:formatCode>
                <c:ptCount val="3"/>
                <c:pt idx="0">
                  <c:v>2022</c:v>
                </c:pt>
                <c:pt idx="1">
                  <c:v>2023</c:v>
                </c:pt>
                <c:pt idx="2">
                  <c:v>2024</c:v>
                </c:pt>
              </c:numCache>
            </c:numRef>
          </c:cat>
          <c:val>
            <c:numRef>
              <c:f>'2. Financial statement'!$B$136:$D$136</c:f>
              <c:numCache>
                <c:formatCode>General</c:formatCode>
                <c:ptCount val="3"/>
                <c:pt idx="0">
                  <c:v>0.23100000000000001</c:v>
                </c:pt>
                <c:pt idx="1">
                  <c:v>8.9999999999999993E-3</c:v>
                </c:pt>
                <c:pt idx="2">
                  <c:v>0.04</c:v>
                </c:pt>
              </c:numCache>
            </c:numRef>
          </c:val>
          <c:extLst>
            <c:ext xmlns:c16="http://schemas.microsoft.com/office/drawing/2014/chart" uri="{C3380CC4-5D6E-409C-BE32-E72D297353CC}">
              <c16:uniqueId val="{00000003-B595-4CCB-9429-F8C01502C9F1}"/>
            </c:ext>
          </c:extLst>
        </c:ser>
        <c:dLbls>
          <c:dLblPos val="outEnd"/>
          <c:showLegendKey val="0"/>
          <c:showVal val="1"/>
          <c:showCatName val="0"/>
          <c:showSerName val="0"/>
          <c:showPercent val="0"/>
          <c:showBubbleSize val="0"/>
        </c:dLbls>
        <c:gapWidth val="219"/>
        <c:overlap val="-27"/>
        <c:axId val="1339130559"/>
        <c:axId val="1239318079"/>
      </c:barChart>
      <c:catAx>
        <c:axId val="13391305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239318079"/>
        <c:crosses val="autoZero"/>
        <c:auto val="1"/>
        <c:lblAlgn val="ctr"/>
        <c:lblOffset val="100"/>
        <c:noMultiLvlLbl val="0"/>
      </c:catAx>
      <c:valAx>
        <c:axId val="12393180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33913055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VN"/>
        </a:p>
      </c:txPr>
    </c:title>
    <c:autoTitleDeleted val="0"/>
    <c:plotArea>
      <c:layout/>
      <c:lineChart>
        <c:grouping val="standard"/>
        <c:varyColors val="0"/>
        <c:ser>
          <c:idx val="1"/>
          <c:order val="0"/>
          <c:tx>
            <c:strRef>
              <c:f>'2. Financial statement'!$A$137</c:f>
              <c:strCache>
                <c:ptCount val="1"/>
                <c:pt idx="0">
                  <c:v>Net Cash Flows from Investing Activities</c:v>
                </c:pt>
              </c:strCache>
            </c:strRef>
          </c:tx>
          <c:spPr>
            <a:ln w="2222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V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numRef>
              <c:f>'2. Financial statement'!$B$112:$D$112</c:f>
              <c:numCache>
                <c:formatCode>General</c:formatCode>
                <c:ptCount val="3"/>
                <c:pt idx="0">
                  <c:v>2022</c:v>
                </c:pt>
                <c:pt idx="1">
                  <c:v>2023</c:v>
                </c:pt>
                <c:pt idx="2">
                  <c:v>2024</c:v>
                </c:pt>
              </c:numCache>
            </c:numRef>
          </c:cat>
          <c:val>
            <c:numRef>
              <c:f>'2. Financial statement'!$B$137:$D$137</c:f>
              <c:numCache>
                <c:formatCode>General</c:formatCode>
                <c:ptCount val="3"/>
                <c:pt idx="0">
                  <c:v>-7.5999999999999998E-2</c:v>
                </c:pt>
                <c:pt idx="1">
                  <c:v>-0.38800000000000001</c:v>
                </c:pt>
                <c:pt idx="2">
                  <c:v>-0.746</c:v>
                </c:pt>
              </c:numCache>
            </c:numRef>
          </c:val>
          <c:smooth val="0"/>
          <c:extLst>
            <c:ext xmlns:c16="http://schemas.microsoft.com/office/drawing/2014/chart" uri="{C3380CC4-5D6E-409C-BE32-E72D297353CC}">
              <c16:uniqueId val="{00000000-EB52-453E-A018-18BA63595A03}"/>
            </c:ext>
          </c:extLst>
        </c:ser>
        <c:dLbls>
          <c:dLblPos val="r"/>
          <c:showLegendKey val="0"/>
          <c:showVal val="1"/>
          <c:showCatName val="0"/>
          <c:showSerName val="0"/>
          <c:showPercent val="0"/>
          <c:showBubbleSize val="0"/>
        </c:dLbls>
        <c:smooth val="0"/>
        <c:axId val="1174216047"/>
        <c:axId val="1978099087"/>
      </c:lineChart>
      <c:catAx>
        <c:axId val="1174216047"/>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VN"/>
          </a:p>
        </c:txPr>
        <c:crossAx val="1978099087"/>
        <c:crosses val="autoZero"/>
        <c:auto val="1"/>
        <c:lblAlgn val="ctr"/>
        <c:lblOffset val="100"/>
        <c:noMultiLvlLbl val="0"/>
      </c:catAx>
      <c:valAx>
        <c:axId val="1978099087"/>
        <c:scaling>
          <c:orientation val="minMax"/>
        </c:scaling>
        <c:delete val="0"/>
        <c:axPos val="l"/>
        <c:majorGridlines>
          <c:spPr>
            <a:ln w="9525" cap="flat" cmpd="sng" algn="ctr">
              <a:solidFill>
                <a:schemeClr val="dk1">
                  <a:lumMod val="15000"/>
                  <a:lumOff val="85000"/>
                  <a:alpha val="54000"/>
                </a:schemeClr>
              </a:solidFill>
              <a:round/>
            </a:ln>
            <a:effectLst/>
          </c:spPr>
        </c:majorGridlines>
        <c:title>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V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VN"/>
          </a:p>
        </c:txPr>
        <c:crossAx val="1174216047"/>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VN"/>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400" b="0" i="0" u="none" strike="noStrike" baseline="0"/>
              <a:t>Financial Components (2023-2024)</a:t>
            </a:r>
            <a:endParaRPr lang="en-US"/>
          </a:p>
        </c:rich>
      </c:tx>
      <c:overlay val="0"/>
    </c:title>
    <c:autoTitleDeleted val="0"/>
    <c:plotArea>
      <c:layout/>
      <c:barChart>
        <c:barDir val="col"/>
        <c:grouping val="clustered"/>
        <c:varyColors val="0"/>
        <c:ser>
          <c:idx val="0"/>
          <c:order val="0"/>
          <c:tx>
            <c:strRef>
              <c:f>'2. Financial statement'!$A$140</c:f>
              <c:strCache>
                <c:ptCount val="1"/>
                <c:pt idx="0">
                  <c:v>Proceeds from Issuance of Shares</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'2. Financial statement'!$C$112:$D$112</c:f>
              <c:numCache>
                <c:formatCode>General</c:formatCode>
                <c:ptCount val="2"/>
                <c:pt idx="0">
                  <c:v>2023</c:v>
                </c:pt>
                <c:pt idx="1">
                  <c:v>2024</c:v>
                </c:pt>
              </c:numCache>
            </c:numRef>
          </c:cat>
          <c:val>
            <c:numRef>
              <c:f>'2. Financial statement'!$C$140:$D$140</c:f>
              <c:numCache>
                <c:formatCode>General</c:formatCode>
                <c:ptCount val="2"/>
                <c:pt idx="0">
                  <c:v>0</c:v>
                </c:pt>
                <c:pt idx="1">
                  <c:v>2.1999999999999999E-2</c:v>
                </c:pt>
              </c:numCache>
            </c:numRef>
          </c:val>
          <c:extLst>
            <c:ext xmlns:c16="http://schemas.microsoft.com/office/drawing/2014/chart" uri="{C3380CC4-5D6E-409C-BE32-E72D297353CC}">
              <c16:uniqueId val="{00000000-DECE-4785-8CFD-54D5A93DBB54}"/>
            </c:ext>
          </c:extLst>
        </c:ser>
        <c:ser>
          <c:idx val="1"/>
          <c:order val="1"/>
          <c:tx>
            <c:v>Proceeds from Borrowings</c:v>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'2. Financial statement'!$C$112:$D$112</c:f>
              <c:numCache>
                <c:formatCode>General</c:formatCode>
                <c:ptCount val="2"/>
                <c:pt idx="0">
                  <c:v>2023</c:v>
                </c:pt>
                <c:pt idx="1">
                  <c:v>2024</c:v>
                </c:pt>
              </c:numCache>
            </c:numRef>
          </c:cat>
          <c:val>
            <c:numRef>
              <c:f>'2. Financial statement'!$C$141:$D$141</c:f>
              <c:numCache>
                <c:formatCode>General</c:formatCode>
                <c:ptCount val="2"/>
                <c:pt idx="0">
                  <c:v>21.42</c:v>
                </c:pt>
                <c:pt idx="1">
                  <c:v>31.260999999999999</c:v>
                </c:pt>
              </c:numCache>
            </c:numRef>
          </c:val>
          <c:extLst>
            <c:ext xmlns:c16="http://schemas.microsoft.com/office/drawing/2014/chart" uri="{C3380CC4-5D6E-409C-BE32-E72D297353CC}">
              <c16:uniqueId val="{00000001-DECE-4785-8CFD-54D5A93DBB54}"/>
            </c:ext>
          </c:extLst>
        </c:ser>
        <c:ser>
          <c:idx val="2"/>
          <c:order val="2"/>
          <c:tx>
            <c:v>Repayment of Borrowings</c:v>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'2. Financial statement'!$C$112:$D$112</c:f>
              <c:numCache>
                <c:formatCode>General</c:formatCode>
                <c:ptCount val="2"/>
                <c:pt idx="0">
                  <c:v>2023</c:v>
                </c:pt>
                <c:pt idx="1">
                  <c:v>2024</c:v>
                </c:pt>
              </c:numCache>
            </c:numRef>
          </c:cat>
          <c:val>
            <c:numRef>
              <c:f>'2. Financial statement'!$C$142:$D$142</c:f>
              <c:numCache>
                <c:formatCode>General</c:formatCode>
                <c:ptCount val="2"/>
                <c:pt idx="0">
                  <c:v>-22.062000000000001</c:v>
                </c:pt>
                <c:pt idx="1">
                  <c:v>-28.853999999999999</c:v>
                </c:pt>
              </c:numCache>
            </c:numRef>
          </c:val>
          <c:extLst>
            <c:ext xmlns:c16="http://schemas.microsoft.com/office/drawing/2014/chart" uri="{C3380CC4-5D6E-409C-BE32-E72D297353CC}">
              <c16:uniqueId val="{00000002-DECE-4785-8CFD-54D5A93DBB54}"/>
            </c:ext>
          </c:extLst>
        </c:ser>
        <c:ser>
          <c:idx val="3"/>
          <c:order val="3"/>
          <c:tx>
            <c:v>Dividend Payment</c:v>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'2. Financial statement'!$C$112:$D$112</c:f>
              <c:numCache>
                <c:formatCode>General</c:formatCode>
                <c:ptCount val="2"/>
                <c:pt idx="0">
                  <c:v>2023</c:v>
                </c:pt>
                <c:pt idx="1">
                  <c:v>2024</c:v>
                </c:pt>
              </c:numCache>
            </c:numRef>
          </c:cat>
          <c:val>
            <c:numRef>
              <c:f>'2. Financial statement'!$C$143:$D$143</c:f>
              <c:numCache>
                <c:formatCode>General</c:formatCode>
                <c:ptCount val="2"/>
                <c:pt idx="0">
                  <c:v>0</c:v>
                </c:pt>
                <c:pt idx="1">
                  <c:v>-0.308</c:v>
                </c:pt>
              </c:numCache>
            </c:numRef>
          </c:val>
          <c:extLst>
            <c:ext xmlns:c16="http://schemas.microsoft.com/office/drawing/2014/chart" uri="{C3380CC4-5D6E-409C-BE32-E72D297353CC}">
              <c16:uniqueId val="{00000003-DECE-4785-8CFD-54D5A93DBB54}"/>
            </c:ext>
          </c:extLst>
        </c:ser>
        <c:dLbls>
          <c:showLegendKey val="0"/>
          <c:showVal val="1"/>
          <c:showCatName val="0"/>
          <c:showSerName val="0"/>
          <c:showPercent val="0"/>
          <c:showBubbleSize val="0"/>
        </c:dLbls>
        <c:gapWidth val="150"/>
        <c:overlap val="-25"/>
        <c:axId val="1339130559"/>
        <c:axId val="1239318079"/>
      </c:barChart>
      <c:catAx>
        <c:axId val="1339130559"/>
        <c:scaling>
          <c:orientation val="minMax"/>
        </c:scaling>
        <c:delete val="0"/>
        <c:axPos val="b"/>
        <c:numFmt formatCode="General" sourceLinked="1"/>
        <c:majorTickMark val="none"/>
        <c:minorTickMark val="none"/>
        <c:tickLblPos val="nextTo"/>
        <c:crossAx val="1239318079"/>
        <c:crosses val="autoZero"/>
        <c:auto val="1"/>
        <c:lblAlgn val="ctr"/>
        <c:lblOffset val="100"/>
        <c:noMultiLvlLbl val="0"/>
      </c:catAx>
      <c:valAx>
        <c:axId val="1239318079"/>
        <c:scaling>
          <c:orientation val="minMax"/>
        </c:scaling>
        <c:delete val="1"/>
        <c:axPos val="l"/>
        <c:majorGridlines/>
        <c:minorGridlines/>
        <c:numFmt formatCode="General" sourceLinked="1"/>
        <c:majorTickMark val="none"/>
        <c:minorTickMark val="none"/>
        <c:tickLblPos val="nextTo"/>
        <c:crossAx val="1339130559"/>
        <c:crosses val="autoZero"/>
        <c:crossBetween val="between"/>
      </c:valAx>
    </c:plotArea>
    <c:legend>
      <c:legendPos val="t"/>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txPr>
    <a:bodyPr/>
    <a:lstStyle/>
    <a:p>
      <a:pPr>
        <a:defRPr/>
      </a:pPr>
      <a:endParaRPr lang="en-VN"/>
    </a:p>
  </c:txPr>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VN"/>
        </a:p>
      </c:txPr>
    </c:title>
    <c:autoTitleDeleted val="0"/>
    <c:plotArea>
      <c:layout/>
      <c:lineChart>
        <c:grouping val="standard"/>
        <c:varyColors val="0"/>
        <c:ser>
          <c:idx val="1"/>
          <c:order val="0"/>
          <c:tx>
            <c:strRef>
              <c:f>'2. Financial statement'!$A$144</c:f>
              <c:strCache>
                <c:ptCount val="1"/>
                <c:pt idx="0">
                  <c:v>Net Cash Flows from Financing Activities</c:v>
                </c:pt>
              </c:strCache>
            </c:strRef>
          </c:tx>
          <c:spPr>
            <a:ln w="2222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V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numRef>
              <c:f>'2. Financial statement'!$C$112:$D$112</c:f>
              <c:numCache>
                <c:formatCode>General</c:formatCode>
                <c:ptCount val="2"/>
                <c:pt idx="0">
                  <c:v>2023</c:v>
                </c:pt>
                <c:pt idx="1">
                  <c:v>2024</c:v>
                </c:pt>
              </c:numCache>
            </c:numRef>
          </c:cat>
          <c:val>
            <c:numRef>
              <c:f>'2. Financial statement'!$C$144:$D$144</c:f>
              <c:numCache>
                <c:formatCode>General</c:formatCode>
                <c:ptCount val="2"/>
                <c:pt idx="0">
                  <c:v>-0.64200000000000002</c:v>
                </c:pt>
                <c:pt idx="1">
                  <c:v>2.121</c:v>
                </c:pt>
              </c:numCache>
            </c:numRef>
          </c:val>
          <c:smooth val="0"/>
          <c:extLst>
            <c:ext xmlns:c16="http://schemas.microsoft.com/office/drawing/2014/chart" uri="{C3380CC4-5D6E-409C-BE32-E72D297353CC}">
              <c16:uniqueId val="{00000000-FDAA-4915-A65E-38B905D88731}"/>
            </c:ext>
          </c:extLst>
        </c:ser>
        <c:dLbls>
          <c:dLblPos val="r"/>
          <c:showLegendKey val="0"/>
          <c:showVal val="1"/>
          <c:showCatName val="0"/>
          <c:showSerName val="0"/>
          <c:showPercent val="0"/>
          <c:showBubbleSize val="0"/>
        </c:dLbls>
        <c:smooth val="0"/>
        <c:axId val="1174216047"/>
        <c:axId val="1978099087"/>
      </c:lineChart>
      <c:catAx>
        <c:axId val="1174216047"/>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VN"/>
          </a:p>
        </c:txPr>
        <c:crossAx val="1978099087"/>
        <c:crosses val="autoZero"/>
        <c:auto val="1"/>
        <c:lblAlgn val="ctr"/>
        <c:lblOffset val="100"/>
        <c:noMultiLvlLbl val="0"/>
      </c:catAx>
      <c:valAx>
        <c:axId val="1978099087"/>
        <c:scaling>
          <c:orientation val="minMax"/>
        </c:scaling>
        <c:delete val="0"/>
        <c:axPos val="l"/>
        <c:majorGridlines>
          <c:spPr>
            <a:ln w="9525" cap="flat" cmpd="sng" algn="ctr">
              <a:solidFill>
                <a:schemeClr val="dk1">
                  <a:lumMod val="15000"/>
                  <a:lumOff val="85000"/>
                  <a:alpha val="54000"/>
                </a:schemeClr>
              </a:solidFill>
              <a:round/>
            </a:ln>
            <a:effectLst/>
          </c:spPr>
        </c:majorGridlines>
        <c:title>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V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VN"/>
          </a:p>
        </c:txPr>
        <c:crossAx val="1174216047"/>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VN"/>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Comparison</a:t>
            </a:r>
            <a:r>
              <a:rPr lang="en-US" baseline="0"/>
              <a:t> of NCA and LT funding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barChart>
        <c:barDir val="col"/>
        <c:grouping val="clustered"/>
        <c:varyColors val="0"/>
        <c:ser>
          <c:idx val="0"/>
          <c:order val="0"/>
          <c:tx>
            <c:strRef>
              <c:f>'3. Financing'!$D$46</c:f>
              <c:strCache>
                <c:ptCount val="1"/>
                <c:pt idx="0">
                  <c:v>Non-current assets</c:v>
                </c:pt>
              </c:strCache>
            </c:strRef>
          </c:tx>
          <c:spPr>
            <a:solidFill>
              <a:schemeClr val="accent1"/>
            </a:solidFill>
            <a:ln>
              <a:noFill/>
            </a:ln>
            <a:effectLst/>
          </c:spPr>
          <c:invertIfNegative val="0"/>
          <c:cat>
            <c:numRef>
              <c:f>'3. Financing'!$E$45:$G$45</c:f>
              <c:numCache>
                <c:formatCode>General</c:formatCode>
                <c:ptCount val="3"/>
                <c:pt idx="0">
                  <c:v>2022</c:v>
                </c:pt>
                <c:pt idx="1">
                  <c:v>2023</c:v>
                </c:pt>
                <c:pt idx="2">
                  <c:v>2024</c:v>
                </c:pt>
              </c:numCache>
            </c:numRef>
          </c:cat>
          <c:val>
            <c:numRef>
              <c:f>'3. Financing'!$E$46:$G$46</c:f>
              <c:numCache>
                <c:formatCode>_(* #,##0_);_(* \(#,##0\);_(* "-"??_);_(@_)</c:formatCode>
                <c:ptCount val="3"/>
                <c:pt idx="0">
                  <c:v>5118727087531</c:v>
                </c:pt>
                <c:pt idx="1">
                  <c:v>4924991584484</c:v>
                </c:pt>
                <c:pt idx="2">
                  <c:v>4763897298254</c:v>
                </c:pt>
              </c:numCache>
            </c:numRef>
          </c:val>
          <c:extLst>
            <c:ext xmlns:c16="http://schemas.microsoft.com/office/drawing/2014/chart" uri="{C3380CC4-5D6E-409C-BE32-E72D297353CC}">
              <c16:uniqueId val="{00000000-86C7-494F-A86A-53B15F046253}"/>
            </c:ext>
          </c:extLst>
        </c:ser>
        <c:ser>
          <c:idx val="1"/>
          <c:order val="1"/>
          <c:tx>
            <c:strRef>
              <c:f>'3. Financing'!$D$47</c:f>
              <c:strCache>
                <c:ptCount val="1"/>
                <c:pt idx="0">
                  <c:v>Long-term funding</c:v>
                </c:pt>
              </c:strCache>
            </c:strRef>
          </c:tx>
          <c:spPr>
            <a:solidFill>
              <a:schemeClr val="accent2"/>
            </a:solidFill>
            <a:ln>
              <a:noFill/>
            </a:ln>
            <a:effectLst/>
          </c:spPr>
          <c:invertIfNegative val="0"/>
          <c:cat>
            <c:numRef>
              <c:f>'3. Financing'!$E$45:$G$45</c:f>
              <c:numCache>
                <c:formatCode>General</c:formatCode>
                <c:ptCount val="3"/>
                <c:pt idx="0">
                  <c:v>2022</c:v>
                </c:pt>
                <c:pt idx="1">
                  <c:v>2023</c:v>
                </c:pt>
                <c:pt idx="2">
                  <c:v>2024</c:v>
                </c:pt>
              </c:numCache>
            </c:numRef>
          </c:cat>
          <c:val>
            <c:numRef>
              <c:f>'3. Financing'!$E$47:$G$47</c:f>
              <c:numCache>
                <c:formatCode>_(* #,##0_);_(* \(#,##0\);_(* "-"??_);_(@_)</c:formatCode>
                <c:ptCount val="3"/>
                <c:pt idx="0">
                  <c:v>11181361626413</c:v>
                </c:pt>
                <c:pt idx="1">
                  <c:v>11296186786642</c:v>
                </c:pt>
                <c:pt idx="2">
                  <c:v>11446930495508</c:v>
                </c:pt>
              </c:numCache>
            </c:numRef>
          </c:val>
          <c:extLst>
            <c:ext xmlns:c16="http://schemas.microsoft.com/office/drawing/2014/chart" uri="{C3380CC4-5D6E-409C-BE32-E72D297353CC}">
              <c16:uniqueId val="{00000001-86C7-494F-A86A-53B15F046253}"/>
            </c:ext>
          </c:extLst>
        </c:ser>
        <c:dLbls>
          <c:showLegendKey val="0"/>
          <c:showVal val="0"/>
          <c:showCatName val="0"/>
          <c:showSerName val="0"/>
          <c:showPercent val="0"/>
          <c:showBubbleSize val="0"/>
        </c:dLbls>
        <c:gapWidth val="219"/>
        <c:overlap val="-27"/>
        <c:axId val="1718878368"/>
        <c:axId val="1718874048"/>
      </c:barChart>
      <c:catAx>
        <c:axId val="17188783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718874048"/>
        <c:crosses val="autoZero"/>
        <c:auto val="1"/>
        <c:lblAlgn val="ctr"/>
        <c:lblOffset val="100"/>
        <c:noMultiLvlLbl val="0"/>
      </c:catAx>
      <c:valAx>
        <c:axId val="1718874048"/>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71887836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VN"/>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Working</a:t>
            </a:r>
            <a:r>
              <a:rPr lang="en-US" baseline="0"/>
              <a:t> Capital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lineChart>
        <c:grouping val="standard"/>
        <c:varyColors val="0"/>
        <c:ser>
          <c:idx val="0"/>
          <c:order val="0"/>
          <c:tx>
            <c:strRef>
              <c:f>'3. Financing'!$J$46</c:f>
              <c:strCache>
                <c:ptCount val="1"/>
                <c:pt idx="0">
                  <c:v>WC</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V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'3. Financing'!$K$45:$M$45</c:f>
              <c:numCache>
                <c:formatCode>General</c:formatCode>
                <c:ptCount val="3"/>
                <c:pt idx="0">
                  <c:v>2022</c:v>
                </c:pt>
                <c:pt idx="1">
                  <c:v>2023</c:v>
                </c:pt>
                <c:pt idx="2">
                  <c:v>2024</c:v>
                </c:pt>
              </c:numCache>
            </c:numRef>
          </c:cat>
          <c:val>
            <c:numRef>
              <c:f>'3. Financing'!$K$46:$M$46</c:f>
              <c:numCache>
                <c:formatCode>_(* #,##0_);_(* \(#,##0\);_(* "-"??_);_(@_)</c:formatCode>
                <c:ptCount val="3"/>
                <c:pt idx="0">
                  <c:v>6062634538882</c:v>
                </c:pt>
                <c:pt idx="1">
                  <c:v>6371195202158</c:v>
                </c:pt>
                <c:pt idx="2">
                  <c:v>6683033197254</c:v>
                </c:pt>
              </c:numCache>
            </c:numRef>
          </c:val>
          <c:smooth val="0"/>
          <c:extLst>
            <c:ext xmlns:c16="http://schemas.microsoft.com/office/drawing/2014/chart" uri="{C3380CC4-5D6E-409C-BE32-E72D297353CC}">
              <c16:uniqueId val="{00000000-3C6F-4D17-AD96-F312888E4D31}"/>
            </c:ext>
          </c:extLst>
        </c:ser>
        <c:dLbls>
          <c:dLblPos val="t"/>
          <c:showLegendKey val="0"/>
          <c:showVal val="1"/>
          <c:showCatName val="0"/>
          <c:showSerName val="0"/>
          <c:showPercent val="0"/>
          <c:showBubbleSize val="0"/>
        </c:dLbls>
        <c:smooth val="0"/>
        <c:axId val="1707673200"/>
        <c:axId val="1707651600"/>
      </c:lineChart>
      <c:catAx>
        <c:axId val="1707673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707651600"/>
        <c:crosses val="autoZero"/>
        <c:auto val="1"/>
        <c:lblAlgn val="ctr"/>
        <c:lblOffset val="100"/>
        <c:noMultiLvlLbl val="0"/>
      </c:catAx>
      <c:valAx>
        <c:axId val="1707651600"/>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70767320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VN"/>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5">
  <a:schemeClr val="accent2"/>
</cs:colorStyle>
</file>

<file path=word/charts/colors4.xml><?xml version="1.0" encoding="utf-8"?>
<cs:colorStyle xmlns:cs="http://schemas.microsoft.com/office/drawing/2012/chartStyle" xmlns:a="http://schemas.openxmlformats.org/drawingml/2006/main" meth="withinLinear" id="19">
  <a:schemeClr val="accent6"/>
</cs:colorStyle>
</file>

<file path=word/charts/colors5.xml><?xml version="1.0" encoding="utf-8"?>
<cs:colorStyle xmlns:cs="http://schemas.microsoft.com/office/drawing/2012/chartStyle" xmlns:a="http://schemas.openxmlformats.org/drawingml/2006/main" meth="withinLinear" id="17">
  <a:schemeClr val="accent4"/>
</cs:colorStyle>
</file>

<file path=word/charts/colors6.xml><?xml version="1.0" encoding="utf-8"?>
<cs:colorStyle xmlns:cs="http://schemas.microsoft.com/office/drawing/2012/chartStyle" xmlns:a="http://schemas.openxmlformats.org/drawingml/2006/main" meth="withinLinear" id="15">
  <a:schemeClr val="accent2"/>
</cs:colorStyle>
</file>

<file path=word/charts/colors7.xml><?xml version="1.0" encoding="utf-8"?>
<cs:colorStyle xmlns:cs="http://schemas.microsoft.com/office/drawing/2012/chartStyle" xmlns:a="http://schemas.openxmlformats.org/drawingml/2006/main" meth="withinLinear" id="19">
  <a:schemeClr val="accent6"/>
</cs:colorStyle>
</file>

<file path=word/charts/colors8.xml><?xml version="1.0" encoding="utf-8"?>
<cs:colorStyle xmlns:cs="http://schemas.microsoft.com/office/drawing/2012/chartStyle" xmlns:a="http://schemas.openxmlformats.org/drawingml/2006/main" meth="withinLinear" id="18">
  <a:schemeClr val="accent5"/>
</cs:colorStyle>
</file>

<file path=word/charts/colors9.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32">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alpha val="54000"/>
          </a:schemeClr>
        </a:solidFill>
        <a:round/>
      </a:ln>
    </cs:spPr>
  </cs:gridlineMajor>
  <cs:gridlineMinor>
    <cs:lnRef idx="0"/>
    <cs:fillRef idx="0"/>
    <cs:effectRef idx="0"/>
    <cs:fontRef idx="minor">
      <a:schemeClr val="dk1"/>
    </cs:fontRef>
    <cs:spPr>
      <a:ln w="9525" cap="flat" cmpd="sng" algn="ctr">
        <a:solidFill>
          <a:schemeClr val="dk1">
            <a:lumMod val="15000"/>
            <a:lumOff val="85000"/>
            <a:alpha val="51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2.xml><?xml version="1.0" encoding="utf-8"?>
<cs:chartStyle xmlns:cs="http://schemas.microsoft.com/office/drawing/2012/chartStyle" xmlns:a="http://schemas.openxmlformats.org/drawingml/2006/main" id="232">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alpha val="54000"/>
          </a:schemeClr>
        </a:solidFill>
        <a:round/>
      </a:ln>
    </cs:spPr>
  </cs:gridlineMajor>
  <cs:gridlineMinor>
    <cs:lnRef idx="0"/>
    <cs:fillRef idx="0"/>
    <cs:effectRef idx="0"/>
    <cs:fontRef idx="minor">
      <a:schemeClr val="dk1"/>
    </cs:fontRef>
    <cs:spPr>
      <a:ln w="9525" cap="flat" cmpd="sng" algn="ctr">
        <a:solidFill>
          <a:schemeClr val="dk1">
            <a:lumMod val="15000"/>
            <a:lumOff val="85000"/>
            <a:alpha val="51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32">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alpha val="54000"/>
          </a:schemeClr>
        </a:solidFill>
        <a:round/>
      </a:ln>
    </cs:spPr>
  </cs:gridlineMajor>
  <cs:gridlineMinor>
    <cs:lnRef idx="0"/>
    <cs:fillRef idx="0"/>
    <cs:effectRef idx="0"/>
    <cs:fontRef idx="minor">
      <a:schemeClr val="dk1"/>
    </cs:fontRef>
    <cs:spPr>
      <a:ln w="9525" cap="flat" cmpd="sng" algn="ctr">
        <a:solidFill>
          <a:schemeClr val="dk1">
            <a:lumMod val="15000"/>
            <a:lumOff val="85000"/>
            <a:alpha val="51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32">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alpha val="54000"/>
          </a:schemeClr>
        </a:solidFill>
        <a:round/>
      </a:ln>
    </cs:spPr>
  </cs:gridlineMajor>
  <cs:gridlineMinor>
    <cs:lnRef idx="0"/>
    <cs:fillRef idx="0"/>
    <cs:effectRef idx="0"/>
    <cs:fontRef idx="minor">
      <a:schemeClr val="dk1"/>
    </cs:fontRef>
    <cs:spPr>
      <a:ln w="9525" cap="flat" cmpd="sng" algn="ctr">
        <a:solidFill>
          <a:schemeClr val="dk1">
            <a:lumMod val="15000"/>
            <a:lumOff val="85000"/>
            <a:alpha val="51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32">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alpha val="54000"/>
          </a:schemeClr>
        </a:solidFill>
        <a:round/>
      </a:ln>
    </cs:spPr>
  </cs:gridlineMajor>
  <cs:gridlineMinor>
    <cs:lnRef idx="0"/>
    <cs:fillRef idx="0"/>
    <cs:effectRef idx="0"/>
    <cs:fontRef idx="minor">
      <a:schemeClr val="dk1"/>
    </cs:fontRef>
    <cs:spPr>
      <a:ln w="9525" cap="flat" cmpd="sng" algn="ctr">
        <a:solidFill>
          <a:schemeClr val="dk1">
            <a:lumMod val="15000"/>
            <a:lumOff val="85000"/>
            <a:alpha val="51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9.xml><?xml version="1.0" encoding="utf-8"?>
<cs:chartStyle xmlns:cs="http://schemas.microsoft.com/office/drawing/2012/chartStyle" xmlns:a="http://schemas.openxmlformats.org/drawingml/2006/main" id="232">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alpha val="54000"/>
          </a:schemeClr>
        </a:solidFill>
        <a:round/>
      </a:ln>
    </cs:spPr>
  </cs:gridlineMajor>
  <cs:gridlineMinor>
    <cs:lnRef idx="0"/>
    <cs:fillRef idx="0"/>
    <cs:effectRef idx="0"/>
    <cs:fontRef idx="minor">
      <a:schemeClr val="dk1"/>
    </cs:fontRef>
    <cs:spPr>
      <a:ln w="9525" cap="flat" cmpd="sng" algn="ctr">
        <a:solidFill>
          <a:schemeClr val="dk1">
            <a:lumMod val="15000"/>
            <a:lumOff val="85000"/>
            <a:alpha val="51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64CC2-A3AA-47C3-AAD7-74A90B567A98}">
  <ds:schemaRefs>
    <ds:schemaRef ds:uri="http://schemas.openxmlformats.org/officeDocument/2006/bibliography"/>
  </ds:schemaRefs>
</ds:datastoreItem>
</file>

<file path=docMetadata/LabelInfo.xml><?xml version="1.0" encoding="utf-8"?>
<clbl:labelList xmlns:clbl="http://schemas.microsoft.com/office/2020/mipLabelMetadata">
  <clbl:label id="{06f1b89f-07e8-464f-b408-ec1b45703f31}" enabled="0" method="" siteId="{06f1b89f-07e8-464f-b408-ec1b45703f31}" removed="1"/>
</clbl:labelList>
</file>

<file path=docProps/app.xml><?xml version="1.0" encoding="utf-8"?>
<Properties xmlns="http://schemas.openxmlformats.org/officeDocument/2006/extended-properties" xmlns:vt="http://schemas.openxmlformats.org/officeDocument/2006/docPropsVTypes">
  <Template>Normal</Template>
  <TotalTime>3</TotalTime>
  <Pages>38</Pages>
  <Words>11354</Words>
  <Characters>64724</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Microsoft Word</vt:lpstr>
    </vt:vector>
  </TitlesOfParts>
  <Company/>
  <LinksUpToDate>false</LinksUpToDate>
  <CharactersWithSpaces>75927</CharactersWithSpaces>
  <SharedDoc>false</SharedDoc>
  <HLinks>
    <vt:vector size="96" baseType="variant">
      <vt:variant>
        <vt:i4>262237</vt:i4>
      </vt:variant>
      <vt:variant>
        <vt:i4>93</vt:i4>
      </vt:variant>
      <vt:variant>
        <vt:i4>0</vt:i4>
      </vt:variant>
      <vt:variant>
        <vt:i4>5</vt:i4>
      </vt:variant>
      <vt:variant>
        <vt:lpwstr>https://corporatefinanceinstitute.com/resources/accounting/what-is-accounts-payable/</vt:lpwstr>
      </vt:variant>
      <vt:variant>
        <vt:lpwstr/>
      </vt:variant>
      <vt:variant>
        <vt:i4>1769526</vt:i4>
      </vt:variant>
      <vt:variant>
        <vt:i4>86</vt:i4>
      </vt:variant>
      <vt:variant>
        <vt:i4>0</vt:i4>
      </vt:variant>
      <vt:variant>
        <vt:i4>5</vt:i4>
      </vt:variant>
      <vt:variant>
        <vt:lpwstr/>
      </vt:variant>
      <vt:variant>
        <vt:lpwstr>_Toc186783903</vt:lpwstr>
      </vt:variant>
      <vt:variant>
        <vt:i4>1769526</vt:i4>
      </vt:variant>
      <vt:variant>
        <vt:i4>80</vt:i4>
      </vt:variant>
      <vt:variant>
        <vt:i4>0</vt:i4>
      </vt:variant>
      <vt:variant>
        <vt:i4>5</vt:i4>
      </vt:variant>
      <vt:variant>
        <vt:lpwstr/>
      </vt:variant>
      <vt:variant>
        <vt:lpwstr>_Toc186783902</vt:lpwstr>
      </vt:variant>
      <vt:variant>
        <vt:i4>1769526</vt:i4>
      </vt:variant>
      <vt:variant>
        <vt:i4>74</vt:i4>
      </vt:variant>
      <vt:variant>
        <vt:i4>0</vt:i4>
      </vt:variant>
      <vt:variant>
        <vt:i4>5</vt:i4>
      </vt:variant>
      <vt:variant>
        <vt:lpwstr/>
      </vt:variant>
      <vt:variant>
        <vt:lpwstr>_Toc186783901</vt:lpwstr>
      </vt:variant>
      <vt:variant>
        <vt:i4>1769526</vt:i4>
      </vt:variant>
      <vt:variant>
        <vt:i4>68</vt:i4>
      </vt:variant>
      <vt:variant>
        <vt:i4>0</vt:i4>
      </vt:variant>
      <vt:variant>
        <vt:i4>5</vt:i4>
      </vt:variant>
      <vt:variant>
        <vt:lpwstr/>
      </vt:variant>
      <vt:variant>
        <vt:lpwstr>_Toc186783900</vt:lpwstr>
      </vt:variant>
      <vt:variant>
        <vt:i4>1179703</vt:i4>
      </vt:variant>
      <vt:variant>
        <vt:i4>62</vt:i4>
      </vt:variant>
      <vt:variant>
        <vt:i4>0</vt:i4>
      </vt:variant>
      <vt:variant>
        <vt:i4>5</vt:i4>
      </vt:variant>
      <vt:variant>
        <vt:lpwstr/>
      </vt:variant>
      <vt:variant>
        <vt:lpwstr>_Toc186783899</vt:lpwstr>
      </vt:variant>
      <vt:variant>
        <vt:i4>1179703</vt:i4>
      </vt:variant>
      <vt:variant>
        <vt:i4>56</vt:i4>
      </vt:variant>
      <vt:variant>
        <vt:i4>0</vt:i4>
      </vt:variant>
      <vt:variant>
        <vt:i4>5</vt:i4>
      </vt:variant>
      <vt:variant>
        <vt:lpwstr/>
      </vt:variant>
      <vt:variant>
        <vt:lpwstr>_Toc186783898</vt:lpwstr>
      </vt:variant>
      <vt:variant>
        <vt:i4>1179703</vt:i4>
      </vt:variant>
      <vt:variant>
        <vt:i4>50</vt:i4>
      </vt:variant>
      <vt:variant>
        <vt:i4>0</vt:i4>
      </vt:variant>
      <vt:variant>
        <vt:i4>5</vt:i4>
      </vt:variant>
      <vt:variant>
        <vt:lpwstr/>
      </vt:variant>
      <vt:variant>
        <vt:lpwstr>_Toc186783897</vt:lpwstr>
      </vt:variant>
      <vt:variant>
        <vt:i4>1179703</vt:i4>
      </vt:variant>
      <vt:variant>
        <vt:i4>44</vt:i4>
      </vt:variant>
      <vt:variant>
        <vt:i4>0</vt:i4>
      </vt:variant>
      <vt:variant>
        <vt:i4>5</vt:i4>
      </vt:variant>
      <vt:variant>
        <vt:lpwstr/>
      </vt:variant>
      <vt:variant>
        <vt:lpwstr>_Toc186783896</vt:lpwstr>
      </vt:variant>
      <vt:variant>
        <vt:i4>1179703</vt:i4>
      </vt:variant>
      <vt:variant>
        <vt:i4>38</vt:i4>
      </vt:variant>
      <vt:variant>
        <vt:i4>0</vt:i4>
      </vt:variant>
      <vt:variant>
        <vt:i4>5</vt:i4>
      </vt:variant>
      <vt:variant>
        <vt:lpwstr/>
      </vt:variant>
      <vt:variant>
        <vt:lpwstr>_Toc186783895</vt:lpwstr>
      </vt:variant>
      <vt:variant>
        <vt:i4>1179703</vt:i4>
      </vt:variant>
      <vt:variant>
        <vt:i4>32</vt:i4>
      </vt:variant>
      <vt:variant>
        <vt:i4>0</vt:i4>
      </vt:variant>
      <vt:variant>
        <vt:i4>5</vt:i4>
      </vt:variant>
      <vt:variant>
        <vt:lpwstr/>
      </vt:variant>
      <vt:variant>
        <vt:lpwstr>_Toc186783894</vt:lpwstr>
      </vt:variant>
      <vt:variant>
        <vt:i4>1179703</vt:i4>
      </vt:variant>
      <vt:variant>
        <vt:i4>26</vt:i4>
      </vt:variant>
      <vt:variant>
        <vt:i4>0</vt:i4>
      </vt:variant>
      <vt:variant>
        <vt:i4>5</vt:i4>
      </vt:variant>
      <vt:variant>
        <vt:lpwstr/>
      </vt:variant>
      <vt:variant>
        <vt:lpwstr>_Toc186783893</vt:lpwstr>
      </vt:variant>
      <vt:variant>
        <vt:i4>1179703</vt:i4>
      </vt:variant>
      <vt:variant>
        <vt:i4>20</vt:i4>
      </vt:variant>
      <vt:variant>
        <vt:i4>0</vt:i4>
      </vt:variant>
      <vt:variant>
        <vt:i4>5</vt:i4>
      </vt:variant>
      <vt:variant>
        <vt:lpwstr/>
      </vt:variant>
      <vt:variant>
        <vt:lpwstr>_Toc186783892</vt:lpwstr>
      </vt:variant>
      <vt:variant>
        <vt:i4>1179703</vt:i4>
      </vt:variant>
      <vt:variant>
        <vt:i4>14</vt:i4>
      </vt:variant>
      <vt:variant>
        <vt:i4>0</vt:i4>
      </vt:variant>
      <vt:variant>
        <vt:i4>5</vt:i4>
      </vt:variant>
      <vt:variant>
        <vt:lpwstr/>
      </vt:variant>
      <vt:variant>
        <vt:lpwstr>_Toc186783891</vt:lpwstr>
      </vt:variant>
      <vt:variant>
        <vt:i4>1179703</vt:i4>
      </vt:variant>
      <vt:variant>
        <vt:i4>8</vt:i4>
      </vt:variant>
      <vt:variant>
        <vt:i4>0</vt:i4>
      </vt:variant>
      <vt:variant>
        <vt:i4>5</vt:i4>
      </vt:variant>
      <vt:variant>
        <vt:lpwstr/>
      </vt:variant>
      <vt:variant>
        <vt:lpwstr>_Toc186783890</vt:lpwstr>
      </vt:variant>
      <vt:variant>
        <vt:i4>1245239</vt:i4>
      </vt:variant>
      <vt:variant>
        <vt:i4>2</vt:i4>
      </vt:variant>
      <vt:variant>
        <vt:i4>0</vt:i4>
      </vt:variant>
      <vt:variant>
        <vt:i4>5</vt:i4>
      </vt:variant>
      <vt:variant>
        <vt:lpwstr/>
      </vt:variant>
      <vt:variant>
        <vt:lpwstr>_Toc186783889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dc:title>
  <dc:subject/>
  <dc:creator>Vu Tien Lam</dc:creator>
  <cp:keywords/>
  <dc:description/>
  <cp:lastModifiedBy>Phan Nhat Minh 20233076</cp:lastModifiedBy>
  <cp:revision>3</cp:revision>
  <cp:lastPrinted>2025-05-20T17:02:00Z</cp:lastPrinted>
  <dcterms:created xsi:type="dcterms:W3CDTF">2026-07-08T07:54:00Z</dcterms:created>
  <dcterms:modified xsi:type="dcterms:W3CDTF">2026-07-08T07:55:00Z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(#S1.#E1)</vt:lpwstr>
  </property>
  <property fmtid="{D5CDD505-2E9C-101B-9397-08002B2CF9AE}" pid="4" name="MTCustomEquationNumber">
    <vt:lpwstr>1</vt:lpwstr>
  </property>
  <property fmtid="{D5CDD505-2E9C-101B-9397-08002B2CF9AE}" pid="5" name="MTWinEqns">
    <vt:bool>true</vt:bool>
  </property>
</Properties>
</file>