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color w:val="000000"/>
          <w:sz w:val="48"/>
        </w:rPr>
        <w:t>星桥科技员工手册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475569"/>
          <w:sz w:val="18"/>
        </w:rPr>
        <w:t>文档编号 KB-PUB-003    版本 1.0    适用范围 公司内公开    生效日期 2026-09-01</w:t>
      </w:r>
    </w:p>
    <w:p>
      <w:r>
        <w:t>本文件为星桥科技教学项目使用的虚构制度资料，用于知识库检索、权限过滤和 Agent 流程验证，不代表任何真实公司的制度。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一 手册用途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本手册帮助员工了解日常工作中的基本规则和办理入口。员工遇到具体问题时，应同时查看当前有效的专项制度和业务系统记录。手册中的说明不能替代业务系统的真实状态，也不能替代需要本人确认的审批操作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二 工作时间与协作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公司工作日为周一至周五。北京总部和上海研发中心的标准办公时段为 9:30 至 18:30，核心协作时段为 10:30 至 16:30。员工可以根据部门安排使用弹性到岗时间，但应确保核心协作时段内能够联系，并完成部门约定的会议和交付。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迟到、早退和临时离岗应按照考勤系统记录。向同事发送消息只能说明情况，不能代替请假或考勤申请。系统故障时应保留错误提示，并在系统恢复后补充记录。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75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员工应做什么</w:t>
            </w:r>
          </w:p>
        </w:tc>
        <w:tc>
          <w:tcPr>
            <w:tcW w:type="dxa" w:w="259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正式记录位置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计划请假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提前与直属负责人沟通并提交申请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考勤系统</w:t>
            </w:r>
          </w:p>
        </w:tc>
      </w:tr>
      <w:tr>
        <w:tc>
          <w:tcPr>
            <w:tcW w:type="dxa" w:w="1728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临时病假</w:t>
            </w:r>
          </w:p>
        </w:tc>
        <w:tc>
          <w:tcPr>
            <w:tcW w:type="dxa" w:w="475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尽快通知负责人并在可操作时补充材料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考勤系统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远程协作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确认当天任务、可联系时间和数据访问条件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项目系统</w:t>
            </w:r>
          </w:p>
        </w:tc>
      </w:tr>
      <w:tr>
        <w:tc>
          <w:tcPr>
            <w:tcW w:type="dxa" w:w="1728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外出办事</w:t>
            </w:r>
          </w:p>
        </w:tc>
        <w:tc>
          <w:tcPr>
            <w:tcW w:type="dxa" w:w="475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说明事由、预计返回时间和紧急联系人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考勤或项目记录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三 休假与缺勤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年假、病假、婚假和其他假期按照当前有效制度执行。员工查询剩余假期时，应以考勤系统显示的数据为准。知识库可以解释办理条件和所需材料，但不保存每名员工的实时剩余额度。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请假材料可能包含健康或家庭信息，只能提交到指定系统，不得放入公共知识库或项目群。直属负责人只查看完成排班和工作交接所需的信息，不应在团队内传播无关细节。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四 费用和差旅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员工发生业务费用前，应确认费用目的、预算归属和必要审批。报销时填写发生日期、金额、用途、项目或客户归属，并上传清晰、完整的票据。票据模糊、抬头不符或内容缺失时，应先联系财务部确认处理方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出差前提交出差申请，说明地点、时间、事由和预计费用。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出差结束后整理行程和票据，不把私人消费混入业务报销。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聊天中的口头同意不等于报销系统已经批准。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报销状态以费用系统为准，Agent 只能解释制度或查询已有记录。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五 办公设备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标准办公设备由公司按岗位配置。额外显示器、高性能电脑、摄像头、绘图板和测试设备需要提交申请。员工先查询设备制度，再通过设备目录 Tool 查看当前可以申请的设备、适用部门和数量限制。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申请时填写设备、数量和真实工作理由。提交成功后状态为 pending，表示等待审批；approved 表示审批通过，但设备是否已经领取仍需查看交付记录；rejected 表示申请被拒绝，应先阅读审批意见再决定是否重新提交。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普通员工只能查看本人申请。HR 因审批职责可以查看全部申请，但仍应按工作需要使用这些信息。任何人都不能通过修改对话内容绕过系统角色和状态检查。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六 账号与信息安全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员工首次登录公司账号后，应立即修改初始密码并开启多因素认证。密码、验证码、恢复代码和长期令牌不得分享。信息技术部不会要求员工通过聊天消息发送密码。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464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正确处理</w:t>
            </w:r>
          </w:p>
        </w:tc>
        <w:tc>
          <w:tcPr>
            <w:tcW w:type="dxa" w:w="259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禁止操作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收到异常登录提醒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停止操作并通过公开通讯录联系 IT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点击消息中的陌生链接</w:t>
            </w:r>
          </w:p>
        </w:tc>
      </w:tr>
      <w:tr>
        <w:tc>
          <w:tcPr>
            <w:tcW w:type="dxa" w:w="2160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需要外发文件</w:t>
            </w:r>
          </w:p>
        </w:tc>
        <w:tc>
          <w:tcPr>
            <w:tcW w:type="dxa" w:w="4464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核对接收人、范围、有效期和审批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上传个人网盘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离开工位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锁定屏幕并带走敏感材料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让账号保持登录</w:t>
            </w:r>
          </w:p>
        </w:tc>
      </w:tr>
      <w:tr>
        <w:tc>
          <w:tcPr>
            <w:tcW w:type="dxa" w:w="2160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怀疑钓鱼消息</w:t>
            </w:r>
          </w:p>
        </w:tc>
        <w:tc>
          <w:tcPr>
            <w:tcW w:type="dxa" w:w="4464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保留最小必要证据并报告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继续回复或转发给无关人员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七 会议与文档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会议邀请应说明议题、参加人和预期结果。需要形成业务决定的会议，应记录结论、责任人和预计完成时间。文档标题和版本应清楚，过期制度应停止作为当前依据，但可以保留在历史区用于审计。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公共知识库只能保存允许全体员工查看的内容。招聘材料、员工申诉、薪酬讨论和个人人事记录不得进入公共知识库。文档权限应在入库前确定，并随 Chunk 一起保存。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八 工作场所行为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员工应尊重同事，避免侮辱、威胁、骚扰和歧视性表达。发现冲突时，优先停止升级矛盾，保留与问题有关的事实，并根据严重程度向直属负责人或 HR 反映。涉及人身安全、持续骚扰或明显违法风险时，应立即升级处理。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反映问题时应区分事实、个人感受和推测。HR 会根据职责收集最小必要信息，不应要求员工在公开群组中重复敏感经历。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九 离职与资产归还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员工离职前应完成工作交接、文件归档、客户事项转交和公司资产归还。设备归还后由负责人员记录资产状态；员工自行删除本地文件不能替代正式归还和账号回收。离职生效时间、证明和结算以正式流程记录为准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十 获取帮助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账号、邮箱、VPN 和设备技术问题联系信息技术部；门禁、工位和办公用品联系行政部；报销和发票联系财务部；合同、证明、异动和员工关系问题联系人力资源部。找不到负责人时，先查询公开部门目录和人员目录，不要让 Agent 编造联系人。</w:t>
      </w:r>
    </w:p>
    <w:sectPr w:rsidR="00FC693F" w:rsidRPr="0006063C" w:rsidSect="00034616">
      <w:footerReference w:type="default" r:id="rId9"/>
      <w:pgSz w:w="12240" w:h="15840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4748B"/>
        <w:sz w:val="16"/>
      </w:rPr>
      <w:t>星桥科技教学知识库  KB-PUB-003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