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模型矩阵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(3个垂直大模型 + 1个通用大模型 + 11个专业小模型)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垂直大模型（3）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应急救援知识推理模型：融合行业规范、历史案例与作战条令，进行规则化推理与经验迁移，输出可执行要点与约束。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灾害预测评估模型：融合气象/水文/地质与历史事件数据，进行风险等级评估与发展态-势预测，给出阈值预警与时间窗。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救援方案生成模型：将灾情态势与可用资源综合建模，生成“一线救援行动方案”（任务拆解、力量编组、路径与时序）。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通用大模型（1）</w:t>
      </w:r>
    </w:p>
    <w:p w14:paraId="000000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语义理解与决策推理：承担自然语言指挥沟通、复杂问答、多轮对话、跨域知识联想，协助人机指挥与资料检索归纳。</w:t>
      </w:r>
    </w:p>
    <w:p w14:paraId="000000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专业小模型（11）</w:t>
      </w:r>
    </w:p>
    <w:p w14:paraId="0000000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highlight w:val="green"/>
        </w:rPr>
      </w:pPr>
      <w:r>
        <w:rPr>
          <w:rFonts w:ascii="Google Sans Text" w:hAnsi="Google Sans Text" w:eastAsia="Google Sans Text" w:cs="Google Sans Text"/>
          <w:color w:val="1B1C1D"/>
          <w:highlight w:val="green"/>
          <w:rtl w:val="0"/>
        </w:rPr>
        <w:t>多模态视觉识别：可见光/红外/雷达图像目标检测与分割（人员、火点、烟雾、障碍、道路/桥梁/建筑损伤等）。</w:t>
      </w:r>
    </w:p>
    <w:p w14:paraId="0000000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多源数据融合：实时融合视频、点云、GNSS/IMU、气象/水文传感与外部平台数据，消除偏差、提升稳健性。</w:t>
      </w:r>
    </w:p>
    <w:p w14:paraId="0000000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动态路径规划：基于道路通行性、灾害扩散、临时封控与救援优先级，输出最优/备选路径与避险策略。</w:t>
      </w:r>
    </w:p>
    <w:p w14:paraId="0000000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智能资源调度：联动人装物资、无人装备、电量与补给窗口，进行多目标优化与滚动重规划。</w:t>
      </w:r>
    </w:p>
    <w:p w14:paraId="0000000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态势发展预测：对火势、水情、次生灾害进行短时/临近预测，输出关键阈值与拐点提示。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风险评估量化：对构筑物稳定性、道路塌陷、危化品外溢等进行概率量化与分区热力图表达。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cyan"/>
        </w:rPr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任务智能分解：将“总体方案”自动拆解为岗位级任务卡与到点清单，绑定地图要素与时序约束。</w:t>
      </w:r>
    </w:p>
    <w:p w14:paraId="0000001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多机协同控制：无人机/无人艇/无人车/机器人集群协同，编队、避障、频谱协调与载荷调度。</w:t>
      </w:r>
    </w:p>
    <w:p w14:paraId="0000001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ASR 语音识别：嘈杂环境抗噪识别口令、报情与口述记录，支持多口音/方言适配与关键词触发。</w:t>
      </w:r>
    </w:p>
    <w:p w14:paraId="0000001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TTS 语音合成：实时语音播报预警、方案关键信息与任务变更，降低屏幕依赖，提升操作安全性。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知识图谱推理：将实体-关系网络化，支持相似案例检索、证据链拼接与合规性校验。</w:t>
      </w:r>
    </w:p>
    <w:p w14:paraId="0000001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智能体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(15个，按职责解耦)</w:t>
      </w:r>
    </w:p>
    <w:p w14:paraId="0000001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bookmarkStart w:id="0" w:name="_GoBack"/>
      <w:r>
        <w:rPr>
          <w:rFonts w:ascii="Google Sans Text" w:hAnsi="Google Sans Text" w:eastAsia="Google Sans Text" w:cs="Google Sans Text"/>
          <w:color w:val="1B1C1D"/>
          <w:rtl w:val="0"/>
        </w:rPr>
        <w:t>空中侦察智能体：规划航线、盲区补侦、载荷切换、成果回传与合规审查。</w:t>
      </w:r>
    </w:p>
    <w:p w14:paraId="0000001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地面侦察智能体：无人车/机器狗穿越狭窄/烟尘/低通视环境，低速精细探查。</w:t>
      </w:r>
    </w:p>
    <w:p w14:paraId="0000001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水域侦察智能体：无人艇溯源巡查、水流/涌浪评估与水面搜救协同。</w:t>
      </w:r>
    </w:p>
    <w:bookmarkEnd w:id="0"/>
    <w:p w14:paraId="0000001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动态路径规划智能体：道路状态更新、限行/管制与风险避让的持续最优路径输出。</w:t>
      </w:r>
    </w:p>
    <w:p w14:paraId="0000001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智能资源调度智能体：跨人装物多维度的编组与再分配，满足时效与安全约束。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cyan"/>
        </w:rPr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实时风险评估智能体：生成分区风险等级与演进趋势，触发阈值告警与控险建议。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yellow"/>
        </w:rPr>
      </w:pPr>
      <w:r>
        <w:rPr>
          <w:rFonts w:ascii="Google Sans Text" w:hAnsi="Google Sans Text" w:eastAsia="Google Sans Text" w:cs="Google Sans Text"/>
          <w:color w:val="1B1C1D"/>
          <w:highlight w:val="yellow"/>
          <w:rtl w:val="0"/>
        </w:rPr>
        <w:t>救援方案生成智能体：从目标-能力-约束出发，给出多方案对比与选择理由。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cyan"/>
        </w:rPr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任务智能分发智能体：将方案映射为岗位任务卡，绑定地理要素与到点指令。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green"/>
        </w:rPr>
      </w:pPr>
      <w:r>
        <w:rPr>
          <w:rFonts w:ascii="Google Sans Text" w:hAnsi="Google Sans Text" w:eastAsia="Google Sans Text" w:cs="Google Sans Text"/>
          <w:color w:val="1B1C1D"/>
          <w:highlight w:val="green"/>
          <w:rtl w:val="0"/>
        </w:rPr>
        <w:t>态势自动标绘智能体：自动抽取实体与事件，持续维护“一张图”与战术图层。</w:t>
      </w:r>
    </w:p>
    <w:p w14:paraId="0000002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效果评估智能体：采集行动闭环数据，形成量化评估与复盘要点。</w:t>
      </w:r>
    </w:p>
    <w:p w14:paraId="0000002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多机协同控制智能体：无人装备的编队队形、角色分工、频谱与链路调度。</w:t>
      </w:r>
    </w:p>
    <w:p w14:paraId="0000002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green"/>
        </w:rPr>
      </w:pPr>
      <w:r>
        <w:rPr>
          <w:rFonts w:ascii="Google Sans Text" w:hAnsi="Google Sans Text" w:eastAsia="Google Sans Text" w:cs="Google Sans Text"/>
          <w:color w:val="1B1C1D"/>
          <w:highlight w:val="green"/>
          <w:rtl w:val="0"/>
        </w:rPr>
        <w:t>预警监测智能体：对关键风险点进行定点守望，异常趋势提前通报。</w:t>
      </w:r>
    </w:p>
    <w:p w14:paraId="0000002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通信协调智能体：多链路（卫星/5G/专网/中继）切换策略与带宽分配。</w:t>
      </w:r>
    </w:p>
    <w:p w14:paraId="0000002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highlight w:val="cyan"/>
        </w:rPr>
      </w:pPr>
      <w:r>
        <w:rPr>
          <w:rFonts w:ascii="Google Sans Text" w:hAnsi="Google Sans Text" w:eastAsia="Google Sans Text" w:cs="Google Sans Text"/>
          <w:color w:val="1B1C1D"/>
          <w:highlight w:val="cyan"/>
          <w:rtl w:val="0"/>
        </w:rPr>
        <w:t>知识推理智能体：基于知识图谱进行因果/约束推理与相似案例引用。</w:t>
      </w:r>
    </w:p>
    <w:p w14:paraId="0000002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模拟推演智能体：在虚拟地理与资源约束中快速沙盘，评估方案鲁棒性。</w:t>
      </w:r>
    </w:p>
    <w:p w14:paraId="00000026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智能功能点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(58个，按流程分组)</w:t>
      </w:r>
    </w:p>
    <w:p w14:paraId="000000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应急响应阶段（6）</w:t>
      </w:r>
    </w:p>
    <w:p w14:paraId="0000002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装备智能推荐</w:t>
      </w:r>
    </w:p>
    <w:p w14:paraId="0000002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物资智能推荐</w:t>
      </w:r>
    </w:p>
    <w:p w14:paraId="0000002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路线预规划</w:t>
      </w:r>
    </w:p>
    <w:p w14:paraId="0000002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人员编组建议</w:t>
      </w:r>
    </w:p>
    <w:p w14:paraId="0000002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装备自检与健康诊断</w:t>
      </w:r>
    </w:p>
    <w:p w14:paraId="0000002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历史案例快速比对</w:t>
      </w:r>
    </w:p>
    <w:p w14:paraId="0000002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机动前出阶段（8）</w:t>
      </w:r>
    </w:p>
    <w:p w14:paraId="00000030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实时路线优化</w:t>
      </w:r>
    </w:p>
    <w:p w14:paraId="00000031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风险动态规避</w:t>
      </w:r>
    </w:p>
    <w:p w14:paraId="0000003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指挥所智能选址</w:t>
      </w:r>
    </w:p>
    <w:p w14:paraId="0000003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态势实时标绘</w:t>
      </w:r>
    </w:p>
    <w:p w14:paraId="0000003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灾情自动报送</w:t>
      </w:r>
    </w:p>
    <w:p w14:paraId="0000003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油耗/续航优化</w:t>
      </w:r>
    </w:p>
    <w:p w14:paraId="0000003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通信链路保障</w:t>
      </w:r>
    </w:p>
    <w:p w14:paraId="0000003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沿途风险预警</w:t>
      </w:r>
    </w:p>
    <w:p w14:paraId="0000003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灾情获取阶段（12）</w:t>
      </w:r>
    </w:p>
    <w:p w14:paraId="0000003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多维任务规划（空/地/水）</w:t>
      </w:r>
    </w:p>
    <w:p w14:paraId="0000003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边飞边建增量建模</w:t>
      </w:r>
    </w:p>
    <w:p w14:paraId="0000003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多模态目标识别与标注</w:t>
      </w:r>
    </w:p>
    <w:p w14:paraId="0000003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盲区补侦与轨迹校正</w:t>
      </w:r>
    </w:p>
    <w:p w14:paraId="0000003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热源/烟雾/火点识别</w:t>
      </w:r>
    </w:p>
    <w:p w14:paraId="0000003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人员检测与定位</w:t>
      </w:r>
    </w:p>
    <w:p w14:paraId="0000003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建筑损伤评估</w:t>
      </w:r>
    </w:p>
    <w:p w14:paraId="0000004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道路/桥涵通行性判别</w:t>
      </w:r>
    </w:p>
    <w:p w14:paraId="0000004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水势/涌浪研判</w:t>
      </w:r>
    </w:p>
    <w:p w14:paraId="0000004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多机集群控制</w:t>
      </w:r>
    </w:p>
    <w:p w14:paraId="0000004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装备状态与电量监控</w:t>
      </w:r>
    </w:p>
    <w:p w14:paraId="0000004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数据融合与误差消解</w:t>
      </w:r>
    </w:p>
    <w:p w14:paraId="0000004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主体救援阶段（10）</w:t>
      </w:r>
    </w:p>
    <w:p w14:paraId="0000004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一线救援行动方案生成</w:t>
      </w:r>
    </w:p>
    <w:p w14:paraId="0000004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任务智能分解与到点清单</w:t>
      </w:r>
    </w:p>
    <w:p w14:paraId="0000004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资源动态调度</w:t>
      </w:r>
    </w:p>
    <w:p w14:paraId="0000004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增援需求智能分析</w:t>
      </w:r>
    </w:p>
    <w:p w14:paraId="0000004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进度实时跟踪</w:t>
      </w:r>
    </w:p>
    <w:p w14:paraId="0000004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风险动态评估与策略调整</w:t>
      </w:r>
    </w:p>
    <w:p w14:paraId="0000004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路径与编组优化</w:t>
      </w:r>
    </w:p>
    <w:p w14:paraId="0000004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人员安全监控与越界提醒</w:t>
      </w:r>
    </w:p>
    <w:p w14:paraId="0000004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物资消耗预测</w:t>
      </w:r>
    </w:p>
    <w:p w14:paraId="0000004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预案切换与应急处置指引</w:t>
      </w:r>
    </w:p>
    <w:p w14:paraId="0000005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效果评估阶段（5）</w:t>
      </w:r>
    </w:p>
    <w:p w14:paraId="0000005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数据自动提取</w:t>
      </w:r>
    </w:p>
    <w:p w14:paraId="0000005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评估报告智能生成</w:t>
      </w:r>
    </w:p>
    <w:p w14:paraId="00000053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复盘分析与薄弱环节定位</w:t>
      </w:r>
    </w:p>
    <w:p w14:paraId="00000054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知识沉淀与经验条目化</w:t>
      </w:r>
    </w:p>
    <w:p w14:paraId="0000005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能力画像与改进建议</w:t>
      </w:r>
    </w:p>
    <w:p w14:paraId="0000005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基础支撑能力（17）</w:t>
      </w:r>
    </w:p>
    <w:p w14:paraId="0000005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多网通信管理（卫星/5G/专网/中继）</w:t>
      </w:r>
    </w:p>
    <w:p w14:paraId="00000058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安全域与访问控制</w:t>
      </w:r>
    </w:p>
    <w:p w14:paraId="0000005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审计追溯与合规校验</w:t>
      </w:r>
    </w:p>
    <w:p w14:paraId="0000005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日志与指标全链路采集</w:t>
      </w:r>
    </w:p>
    <w:p w14:paraId="0000005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性能与容量监控</w:t>
      </w:r>
    </w:p>
    <w:p w14:paraId="0000005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故障自诊断与自愈</w:t>
      </w:r>
    </w:p>
    <w:p w14:paraId="0000005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任务/算力/带宽编排</w:t>
      </w:r>
    </w:p>
    <w:p w14:paraId="0000005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数据备份与容灾</w:t>
      </w:r>
    </w:p>
    <w:p w14:paraId="0000005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接口开放与生态接入</w:t>
      </w:r>
    </w:p>
    <w:p w14:paraId="00000060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数字孪生底座对接</w:t>
      </w:r>
    </w:p>
    <w:p w14:paraId="00000061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OTA 升级与灰度发布</w:t>
      </w:r>
    </w:p>
    <w:p w14:paraId="00000062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车载掉线离线运行</w:t>
      </w:r>
    </w:p>
    <w:p w14:paraId="0000006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权限分级分域</w:t>
      </w:r>
    </w:p>
    <w:p w14:paraId="0000006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地理编码与标准化适配</w:t>
      </w:r>
    </w:p>
    <w:p w14:paraId="0000006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多语种/方言 ASR</w:t>
      </w:r>
    </w:p>
    <w:p w14:paraId="0000006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关键事件 TTS 语音播报</w:t>
      </w:r>
    </w:p>
    <w:p w14:paraId="0000006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可视化大屏与指控台联动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42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37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7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5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2183CF9"/>
    <w:multiLevelType w:val="multilevel"/>
    <w:tmpl w:val="72183CF9"/>
    <w:lvl w:ilvl="0" w:tentative="0">
      <w:start w:val="27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B3F3282"/>
    <w:rsid w:val="17942BA8"/>
    <w:rsid w:val="48A00AFD"/>
    <w:rsid w:val="52680CF7"/>
    <w:rsid w:val="67DF6F78"/>
    <w:rsid w:val="6F481423"/>
    <w:rsid w:val="72B0324A"/>
    <w:rsid w:val="74822A98"/>
    <w:rsid w:val="76CA69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1792</Words>
  <Characters>1825</Characters>
  <TotalTime>34</TotalTime>
  <ScaleCrop>false</ScaleCrop>
  <LinksUpToDate>false</LinksUpToDate>
  <CharactersWithSpaces>1835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2025-11-27T00:47:36Z</dcterms:created>
  <dc:creator>cykj</dc:creator>
  <cp:lastModifiedBy>星辰</cp:lastModifiedBy>
  <dcterms:modified xsi:type="dcterms:W3CDTF">2025-11-27T01:24:48Z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eyJoZGlkIjoiNWQ0NjBiNTI2ZjAwYmM5ODZkZDdlMTNkMzI0ZDFiYTQiLCJ1c2VySWQiOiIyNzcxNjg2MTQifQ==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33F73DC445DE4CD49E22EAEFB528DAE2_12</vt:lpwstr>
  </property>
</Properties>
</file>