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发明专利技术交底书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发明创造名称</w:t>
            </w:r>
          </w:p>
        </w:tc>
        <w:tc>
          <w:tcPr>
            <w:tcW w:type="dxa" w:w="4320"/>
          </w:tcPr>
          <w:p>
            <w:r>
              <w:t>见下文"一、建议专利名称"</w:t>
            </w:r>
          </w:p>
        </w:tc>
      </w:tr>
      <w:tr>
        <w:tc>
          <w:tcPr>
            <w:tcW w:type="dxa" w:w="4320"/>
          </w:tcPr>
          <w:p>
            <w:r>
              <w:t>发明人</w:t>
            </w:r>
          </w:p>
        </w:tc>
        <w:tc>
          <w:tcPr>
            <w:tcW w:type="dxa" w:w="4320"/>
          </w:tcPr>
          <w:p>
            <w:r>
              <w:t>曾欣宇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上海眸深智能科技有限公司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91310110MAE92P3T6M</w:t>
            </w:r>
          </w:p>
        </w:tc>
      </w:tr>
      <w:tr>
        <w:tc>
          <w:tcPr>
            <w:tcW w:type="dxa" w:w="4320"/>
          </w:tcPr>
          <w:p>
            <w:r>
              <w:t>联系地址</w:t>
            </w:r>
          </w:p>
        </w:tc>
        <w:tc>
          <w:tcPr>
            <w:tcW w:type="dxa" w:w="4320"/>
          </w:tcPr>
          <w:p>
            <w:r>
              <w:t>上海眸深智能科技有限公司（详细地址【待补充】）</w:t>
            </w:r>
          </w:p>
        </w:tc>
      </w:tr>
      <w:tr>
        <w:tc>
          <w:tcPr>
            <w:tcW w:type="dxa" w:w="4320"/>
          </w:tcPr>
          <w:p>
            <w:r>
              <w:t>技术交底书撰写人及技术联系人</w:t>
            </w:r>
          </w:p>
        </w:tc>
        <w:tc>
          <w:tcPr>
            <w:tcW w:type="dxa" w:w="4320"/>
          </w:tcPr>
          <w:p>
            <w:r>
              <w:t>曾欣宇</w:t>
            </w:r>
          </w:p>
        </w:tc>
      </w:tr>
      <w:tr>
        <w:tc>
          <w:tcPr>
            <w:tcW w:type="dxa" w:w="4320"/>
          </w:tcPr>
          <w:p>
            <w:r>
              <w:t>电话 / 传真</w:t>
            </w:r>
          </w:p>
        </w:tc>
        <w:tc>
          <w:tcPr>
            <w:tcW w:type="dxa" w:w="4320"/>
          </w:tcPr>
          <w:p>
            <w:r>
              <w:t>15700050433 / 【待补充】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zengxy@moushen.ai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一、建议专利名称</w:t>
      </w:r>
    </w:p>
    <w:p>
      <w:pPr>
        <w:ind w:firstLine="420"/>
      </w:pPr>
      <w:r>
        <w:rPr>
          <w:rFonts w:ascii="宋体" w:hAnsi="宋体" w:eastAsia="宋体"/>
        </w:rPr>
        <w:t>一种基于地图质量评分的多机器人局部子图自适应上传与融合方法</w:t>
      </w:r>
    </w:p>
    <w:p>
      <w:pPr>
        <w:pStyle w:val="Heading1"/>
      </w:pPr>
      <w:r>
        <w:rPr>
          <w:rFonts w:ascii="黑体" w:hAnsi="黑体" w:eastAsia="黑体"/>
        </w:rPr>
        <w:t>二、技术领域</w:t>
      </w:r>
    </w:p>
    <w:p>
      <w:pPr>
        <w:ind w:firstLine="420"/>
      </w:pPr>
      <w:r>
        <w:rPr>
          <w:rFonts w:ascii="宋体" w:hAnsi="宋体" w:eastAsia="宋体"/>
        </w:rPr>
        <w:t>本发明涉及机器人同步定位与建图、多机器人协同建图、边缘计算、弱网通信、地图融合和机器人数据传输技术领域，尤其涉及一种基于地图质量评分、网络状态和任务优先级的多机器人局部子图自适应上传与融合方法。</w:t>
      </w:r>
    </w:p>
    <w:p>
      <w:pPr>
        <w:pStyle w:val="Heading1"/>
      </w:pPr>
      <w:r>
        <w:rPr>
          <w:rFonts w:ascii="黑体" w:hAnsi="黑体" w:eastAsia="黑体"/>
        </w:rPr>
        <w:t>三、背景技术</w:t>
      </w:r>
    </w:p>
    <w:p>
      <w:pPr>
        <w:ind w:firstLine="420"/>
      </w:pPr>
      <w:r>
        <w:rPr>
          <w:rFonts w:ascii="宋体" w:hAnsi="宋体" w:eastAsia="宋体"/>
        </w:rPr>
        <w:t>多机器人协同 SLAM 系统中，每个机器人通常在本地运行前端里程计或 SLAM 模块，并周期性生成关键帧、局部点云或子图。边缘端或服务器端根据多个机器人上传的数据进行跨机器人匹配、回环检测、位姿图优化和全局地图构建。</w:t>
      </w:r>
    </w:p>
    <w:p>
      <w:pPr>
        <w:ind w:firstLine="420"/>
      </w:pPr>
      <w:r>
        <w:rPr>
          <w:rFonts w:ascii="宋体" w:hAnsi="宋体" w:eastAsia="宋体"/>
        </w:rPr>
        <w:t>现有方法通常存在以下问题：</w:t>
      </w:r>
    </w:p>
    <w:p>
      <w:pPr>
        <w:pStyle w:val="ListNumber"/>
      </w:pPr>
      <w:r>
        <w:rPr>
          <w:rFonts w:ascii="宋体" w:hAnsi="宋体" w:eastAsia="宋体"/>
        </w:rPr>
        <w:t>固定频率上传子图，容易在网络带宽受限时造成拥塞，导致关键子图延迟或丢失。</w:t>
      </w:r>
    </w:p>
    <w:p>
      <w:pPr>
        <w:pStyle w:val="ListNumber"/>
      </w:pPr>
      <w:r>
        <w:rPr>
          <w:rFonts w:ascii="宋体" w:hAnsi="宋体" w:eastAsia="宋体"/>
        </w:rPr>
        <w:t>单纯根据时间或位移阈值生成子图，不能反映局部地图质量、场景退化程度和位姿不确定性。</w:t>
      </w:r>
    </w:p>
    <w:p>
      <w:pPr>
        <w:pStyle w:val="ListNumber"/>
      </w:pPr>
      <w:r>
        <w:rPr>
          <w:rFonts w:ascii="宋体" w:hAnsi="宋体" w:eastAsia="宋体"/>
        </w:rPr>
        <w:t>弱网或边缘计算负载较高时，缺乏对上传内容的分级降级策略。</w:t>
      </w:r>
    </w:p>
    <w:p>
      <w:pPr>
        <w:pStyle w:val="ListNumber"/>
      </w:pPr>
      <w:r>
        <w:rPr>
          <w:rFonts w:ascii="宋体" w:hAnsi="宋体" w:eastAsia="宋体"/>
        </w:rPr>
        <w:t>子图是否参与融合往往在边缘端被动决定，机器人端缺少基于自身状态的主动上传判断。</w:t>
      </w:r>
    </w:p>
    <w:p>
      <w:pPr>
        <w:pStyle w:val="ListNumber"/>
      </w:pPr>
      <w:r>
        <w:rPr>
          <w:rFonts w:ascii="宋体" w:hAnsi="宋体" w:eastAsia="宋体"/>
        </w:rPr>
        <w:t>不同机器人平台产生的数据质量差异较大，缺少统一地图质量评分和融合优先级机制。</w:t>
      </w:r>
    </w:p>
    <w:p>
      <w:pPr>
        <w:ind w:firstLine="420"/>
      </w:pPr>
      <w:r>
        <w:rPr>
          <w:rFonts w:ascii="宋体" w:hAnsi="宋体" w:eastAsia="宋体"/>
        </w:rPr>
        <w:t>在已公开的现有技术中，CN110119144B 公开了一种基于子地图特征匹配的多机器人 SLAM 算法，CN106272423A 公开了一种针对大尺度环境的多机器人协同制图与定位方法，二者均能实现子图匹配与全局地图融合，是与本发明较为接近的现有技术。但上述方案的子图生成与上传通常基于固定周期或位移阈值，未根据局部地图质量、位姿不确定性、网络状态、边缘负载与任务优先级自适应地决定上传时机与上传内容，也未提供弱网环境下的分级降级传输与恢复后补传机制。</w:t>
      </w:r>
    </w:p>
    <w:p>
      <w:pPr>
        <w:ind w:firstLine="420"/>
      </w:pPr>
      <w:r>
        <w:rPr>
          <w:rFonts w:ascii="宋体" w:hAnsi="宋体" w:eastAsia="宋体"/>
        </w:rPr>
        <w:t>因此，需要一种能够综合地图质量、位姿不确定性、网络状态、机器人任务优先级和边缘端负载的自适应子图上传与融合方法。</w:t>
      </w:r>
    </w:p>
    <w:p>
      <w:pPr>
        <w:pStyle w:val="Heading1"/>
      </w:pPr>
      <w:r>
        <w:rPr>
          <w:rFonts w:ascii="黑体" w:hAnsi="黑体" w:eastAsia="黑体"/>
        </w:rPr>
        <w:t>四、发明目的</w:t>
      </w:r>
    </w:p>
    <w:p>
      <w:pPr>
        <w:ind w:firstLine="420"/>
      </w:pPr>
      <w:r>
        <w:rPr>
          <w:rFonts w:ascii="宋体" w:hAnsi="宋体" w:eastAsia="宋体"/>
        </w:rPr>
        <w:t>本发明旨在提出一种多机器人局部子图自适应上传与融合方法，使机器人端能够根据自身 SLAM 状态、地图质量和网络条件动态决定上传时机和上传内容，边缘端能够根据子图质量和全局融合需求进行分级处理，从而提高多机器人协同建图在弱网、资源受限和复杂环境下的稳定性和效率。</w:t>
      </w:r>
    </w:p>
    <w:p>
      <w:pPr>
        <w:pStyle w:val="Heading1"/>
      </w:pPr>
      <w:r>
        <w:rPr>
          <w:rFonts w:ascii="黑体" w:hAnsi="黑体" w:eastAsia="黑体"/>
        </w:rPr>
        <w:t>五、技术方案</w:t>
      </w:r>
    </w:p>
    <w:p>
      <w:pPr>
        <w:ind w:firstLine="420"/>
      </w:pPr>
      <w:r>
        <w:rPr>
          <w:rFonts w:ascii="宋体" w:hAnsi="宋体" w:eastAsia="宋体"/>
        </w:rPr>
        <w:t>本技术方案结合附图说明如下。参见图 1，本方法总体流程包括：机器人端传感器采集（101）、本地里程计与局部建图及候选子图生成（102）、地图质量评分计算（103）、系统状态评分获取（104）、综合评分与上传策略选择（105）、多级上传执行（106）、边缘端完整性校验与质量复评（107）以及跨机器人匹配与全局地图更新（108）。其中地图质量评分的构成参见图 2（各质量分量 201～206、加权融合 207、平台相关指标 208），多级上传策略的状态转移参见图 3（完整/轻量/摘要/请求边缘确认 301～305、延迟上传 306、补传 307），边缘端融合队列处理参见图 4（步骤 401～407），弱网降级与补传机制参见图 5（监测 501、分级判定 502、分级策略 503～506、补传 507）。下文各小节沿用上述附图标记。</w:t>
      </w:r>
    </w:p>
    <w:p>
      <w:pPr>
        <w:pStyle w:val="Heading2"/>
      </w:pPr>
      <w:r>
        <w:rPr>
          <w:rFonts w:ascii="黑体" w:hAnsi="黑体" w:eastAsia="黑体"/>
        </w:rPr>
        <w:t>5.1 方法总体流程</w:t>
      </w:r>
    </w:p>
    <w:p>
      <w:pPr>
        <w:ind w:firstLine="420"/>
      </w:pPr>
      <w:r>
        <w:rPr>
          <w:rFonts w:ascii="宋体" w:hAnsi="宋体" w:eastAsia="宋体"/>
        </w:rPr>
        <w:t>本方法包括以下步骤：</w:t>
      </w:r>
    </w:p>
    <w:p>
      <w:pPr>
        <w:pStyle w:val="Heading2"/>
      </w:pPr>
      <w:r>
        <w:rPr>
          <w:rFonts w:ascii="黑体" w:hAnsi="黑体" w:eastAsia="黑体"/>
        </w:rPr>
        <w:t>5.2 机器人端局部子图生成</w:t>
      </w:r>
    </w:p>
    <w:p>
      <w:pPr>
        <w:ind w:firstLine="420"/>
      </w:pPr>
      <w:r>
        <w:rPr>
          <w:rFonts w:ascii="宋体" w:hAnsi="宋体" w:eastAsia="宋体"/>
        </w:rPr>
        <w:t>机器人端基于 LiDAR、Camera、IMU、GNSS、关节状态或轮速等传感器数据运行本地 SLAM 前端。当满足以下任一条件时，生成候选局部子图：</w:t>
      </w:r>
    </w:p>
    <w:p>
      <w:pPr>
        <w:pStyle w:val="ListNumber"/>
      </w:pPr>
      <w:r>
        <w:rPr>
          <w:rFonts w:ascii="宋体" w:hAnsi="宋体" w:eastAsia="宋体"/>
        </w:rPr>
        <w:t>机器人移动距离超过预设阈值；</w:t>
      </w:r>
    </w:p>
    <w:p>
      <w:pPr>
        <w:pStyle w:val="ListNumber"/>
      </w:pPr>
      <w:r>
        <w:rPr>
          <w:rFonts w:ascii="宋体" w:hAnsi="宋体" w:eastAsia="宋体"/>
        </w:rPr>
        <w:t>机器人转角超过预设阈值；</w:t>
      </w:r>
    </w:p>
    <w:p>
      <w:pPr>
        <w:pStyle w:val="ListNumber"/>
      </w:pPr>
      <w:r>
        <w:rPr>
          <w:rFonts w:ascii="宋体" w:hAnsi="宋体" w:eastAsia="宋体"/>
        </w:rPr>
        <w:t>累积关键帧数量超过阈值；</w:t>
      </w:r>
    </w:p>
    <w:p>
      <w:pPr>
        <w:pStyle w:val="ListNumber"/>
      </w:pPr>
      <w:r>
        <w:rPr>
          <w:rFonts w:ascii="宋体" w:hAnsi="宋体" w:eastAsia="宋体"/>
        </w:rPr>
        <w:t>位姿协方差超过阈值；</w:t>
      </w:r>
    </w:p>
    <w:p>
      <w:pPr>
        <w:pStyle w:val="ListNumber"/>
      </w:pPr>
      <w:r>
        <w:rPr>
          <w:rFonts w:ascii="宋体" w:hAnsi="宋体" w:eastAsia="宋体"/>
        </w:rPr>
        <w:t>检测到潜在回环区域；</w:t>
      </w:r>
    </w:p>
    <w:p>
      <w:pPr>
        <w:pStyle w:val="ListNumber"/>
      </w:pPr>
      <w:r>
        <w:rPr>
          <w:rFonts w:ascii="宋体" w:hAnsi="宋体" w:eastAsia="宋体"/>
        </w:rPr>
        <w:t>任务进入关键区域，例如门口、楼梯、设备点、狭窄通道或高风险区域；</w:t>
      </w:r>
    </w:p>
    <w:p>
      <w:pPr>
        <w:pStyle w:val="ListNumber"/>
      </w:pPr>
      <w:r>
        <w:rPr>
          <w:rFonts w:ascii="宋体" w:hAnsi="宋体" w:eastAsia="宋体"/>
        </w:rPr>
        <w:t>边缘端主动请求补充数据。</w:t>
      </w:r>
    </w:p>
    <w:p>
      <w:pPr>
        <w:pStyle w:val="Heading2"/>
      </w:pPr>
      <w:r>
        <w:rPr>
          <w:rFonts w:ascii="黑体" w:hAnsi="黑体" w:eastAsia="黑体"/>
        </w:rPr>
        <w:t>5.3 地图质量评分</w:t>
      </w:r>
    </w:p>
    <w:p>
      <w:pPr>
        <w:ind w:firstLine="420"/>
      </w:pPr>
      <w:r>
        <w:rPr>
          <w:rFonts w:ascii="宋体" w:hAnsi="宋体" w:eastAsia="宋体"/>
        </w:rPr>
        <w:t>对候选局部子图计算地图质量评分 Q_map。该评分可由以下指标加权得到：</w:t>
      </w:r>
    </w:p>
    <w:p>
      <w:pPr>
        <w:ind w:firstLine="420"/>
      </w:pPr>
      <w:r>
        <w:rPr>
          <w:rFonts w:ascii="宋体" w:hAnsi="宋体" w:eastAsia="宋体"/>
        </w:rPr>
        <w:t>其中：</w:t>
      </w:r>
    </w:p>
    <w:p>
      <w:pPr>
        <w:pStyle w:val="ListBullet"/>
      </w:pPr>
      <w:r>
        <w:rPr>
          <w:rFonts w:ascii="宋体" w:hAnsi="宋体" w:eastAsia="宋体"/>
        </w:rPr>
        <w:t>Q_overlap 表示与历史地图或邻近子图的重叠质量；</w:t>
      </w:r>
    </w:p>
    <w:p>
      <w:pPr>
        <w:pStyle w:val="ListBullet"/>
      </w:pPr>
      <w:r>
        <w:rPr>
          <w:rFonts w:ascii="宋体" w:hAnsi="宋体" w:eastAsia="宋体"/>
        </w:rPr>
        <w:t>Q_geometry 表示局部几何结构丰富度，例如平面、边缘、角点或点云分布均匀性；</w:t>
      </w:r>
    </w:p>
    <w:p>
      <w:pPr>
        <w:pStyle w:val="ListBullet"/>
      </w:pPr>
      <w:r>
        <w:rPr>
          <w:rFonts w:ascii="宋体" w:hAnsi="宋体" w:eastAsia="宋体"/>
        </w:rPr>
        <w:t>Q_uncertainty 表示位姿不确定性，协方差越小评分越高；</w:t>
      </w:r>
    </w:p>
    <w:p>
      <w:pPr>
        <w:pStyle w:val="ListBullet"/>
      </w:pPr>
      <w:r>
        <w:rPr>
          <w:rFonts w:ascii="宋体" w:hAnsi="宋体" w:eastAsia="宋体"/>
        </w:rPr>
        <w:t>Q_feature 表示图像特征、点云特征或回环描述子的有效性；</w:t>
      </w:r>
    </w:p>
    <w:p>
      <w:pPr>
        <w:pStyle w:val="ListBullet"/>
      </w:pPr>
      <w:r>
        <w:rPr>
          <w:rFonts w:ascii="宋体" w:hAnsi="宋体" w:eastAsia="宋体"/>
        </w:rPr>
        <w:t>Q_semantic 表示语义目标或任务关键对象的观测价值；</w:t>
      </w:r>
    </w:p>
    <w:p>
      <w:pPr>
        <w:pStyle w:val="ListBullet"/>
      </w:pPr>
      <w:r>
        <w:rPr>
          <w:rFonts w:ascii="宋体" w:hAnsi="宋体" w:eastAsia="宋体"/>
        </w:rPr>
        <w:t>Q_motion 表示机器人运动状态稳定性，例如急停、震动或足端冲击越强评分越低。</w:t>
      </w:r>
    </w:p>
    <w:p>
      <w:pPr>
        <w:ind w:firstLine="420"/>
      </w:pPr>
      <w:r>
        <w:rPr>
          <w:rFonts w:ascii="宋体" w:hAnsi="宋体" w:eastAsia="宋体"/>
        </w:rPr>
        <w:t>在一种实施方式中，地图质量评分还可引入平台相关指标：</w:t>
      </w:r>
    </w:p>
    <w:p>
      <w:pPr>
        <w:pStyle w:val="ListBullet"/>
      </w:pPr>
      <w:r>
        <w:rPr>
          <w:rFonts w:ascii="宋体" w:hAnsi="宋体" w:eastAsia="宋体"/>
        </w:rPr>
        <w:t>对四足机器人，引入足端接触置信度、支撑面高度变化和地形粗糙度；</w:t>
      </w:r>
    </w:p>
    <w:p>
      <w:pPr>
        <w:pStyle w:val="ListBullet"/>
      </w:pPr>
      <w:r>
        <w:rPr>
          <w:rFonts w:ascii="宋体" w:hAnsi="宋体" w:eastAsia="宋体"/>
        </w:rPr>
        <w:t>对无人机，引入飞行姿态稳定性、视觉模糊程度和高度变化；</w:t>
      </w:r>
    </w:p>
    <w:p>
      <w:pPr>
        <w:pStyle w:val="ListBullet"/>
      </w:pPr>
      <w:r>
        <w:rPr>
          <w:rFonts w:ascii="宋体" w:hAnsi="宋体" w:eastAsia="宋体"/>
        </w:rPr>
        <w:t>对 AGV 或 AMR，引入轮速里程计一致性、载荷状态和地面路径约束。</w:t>
      </w:r>
    </w:p>
    <w:p>
      <w:pPr>
        <w:pStyle w:val="Heading2"/>
      </w:pPr>
      <w:r>
        <w:rPr>
          <w:rFonts w:ascii="黑体" w:hAnsi="黑体" w:eastAsia="黑体"/>
        </w:rPr>
        <w:t>5.4 系统状态评分</w:t>
      </w:r>
    </w:p>
    <w:p>
      <w:pPr>
        <w:ind w:firstLine="420"/>
      </w:pPr>
      <w:r>
        <w:rPr>
          <w:rFonts w:ascii="宋体" w:hAnsi="宋体" w:eastAsia="宋体"/>
        </w:rPr>
        <w:t>机器人端同时获取网络状态评分 Q_net、边缘负载评分 Q_edge 和任务优先级评分 Q_task。</w:t>
      </w:r>
    </w:p>
    <w:p>
      <w:pPr>
        <w:ind w:firstLine="420"/>
      </w:pPr>
      <w:r>
        <w:rPr>
          <w:rFonts w:ascii="宋体" w:hAnsi="宋体" w:eastAsia="宋体"/>
        </w:rPr>
        <w:t>网络状态评分包括：</w:t>
      </w:r>
    </w:p>
    <w:p>
      <w:pPr>
        <w:pStyle w:val="ListBullet"/>
      </w:pPr>
      <w:r>
        <w:rPr>
          <w:rFonts w:ascii="宋体" w:hAnsi="宋体" w:eastAsia="宋体"/>
        </w:rPr>
        <w:t>当前带宽；</w:t>
      </w:r>
    </w:p>
    <w:p>
      <w:pPr>
        <w:pStyle w:val="ListBullet"/>
      </w:pPr>
      <w:r>
        <w:rPr>
          <w:rFonts w:ascii="宋体" w:hAnsi="宋体" w:eastAsia="宋体"/>
        </w:rPr>
        <w:t>往返延迟；</w:t>
      </w:r>
    </w:p>
    <w:p>
      <w:pPr>
        <w:pStyle w:val="ListBullet"/>
      </w:pPr>
      <w:r>
        <w:rPr>
          <w:rFonts w:ascii="宋体" w:hAnsi="宋体" w:eastAsia="宋体"/>
        </w:rPr>
        <w:t>抖动；</w:t>
      </w:r>
    </w:p>
    <w:p>
      <w:pPr>
        <w:pStyle w:val="ListBullet"/>
      </w:pPr>
      <w:r>
        <w:rPr>
          <w:rFonts w:ascii="宋体" w:hAnsi="宋体" w:eastAsia="宋体"/>
        </w:rPr>
        <w:t>丢包率；</w:t>
      </w:r>
    </w:p>
    <w:p>
      <w:pPr>
        <w:pStyle w:val="ListBullet"/>
      </w:pPr>
      <w:r>
        <w:rPr>
          <w:rFonts w:ascii="宋体" w:hAnsi="宋体" w:eastAsia="宋体"/>
        </w:rPr>
        <w:t>发送队列长度。</w:t>
      </w:r>
    </w:p>
    <w:p>
      <w:pPr>
        <w:ind w:firstLine="420"/>
      </w:pPr>
      <w:r>
        <w:rPr>
          <w:rFonts w:ascii="宋体" w:hAnsi="宋体" w:eastAsia="宋体"/>
        </w:rPr>
        <w:t>边缘负载评分包括：</w:t>
      </w:r>
    </w:p>
    <w:p>
      <w:pPr>
        <w:pStyle w:val="ListBullet"/>
      </w:pPr>
      <w:r>
        <w:rPr>
          <w:rFonts w:ascii="宋体" w:hAnsi="宋体" w:eastAsia="宋体"/>
        </w:rPr>
        <w:t>边缘端 CPU、GPU、内存负载；</w:t>
      </w:r>
    </w:p>
    <w:p>
      <w:pPr>
        <w:pStyle w:val="ListBullet"/>
      </w:pPr>
      <w:r>
        <w:rPr>
          <w:rFonts w:ascii="宋体" w:hAnsi="宋体" w:eastAsia="宋体"/>
        </w:rPr>
        <w:t>待处理子图队列长度；</w:t>
      </w:r>
    </w:p>
    <w:p>
      <w:pPr>
        <w:pStyle w:val="ListBullet"/>
      </w:pPr>
      <w:r>
        <w:rPr>
          <w:rFonts w:ascii="宋体" w:hAnsi="宋体" w:eastAsia="宋体"/>
        </w:rPr>
        <w:t>当前优化任务数量；</w:t>
      </w:r>
    </w:p>
    <w:p>
      <w:pPr>
        <w:pStyle w:val="ListBullet"/>
      </w:pPr>
      <w:r>
        <w:rPr>
          <w:rFonts w:ascii="宋体" w:hAnsi="宋体" w:eastAsia="宋体"/>
        </w:rPr>
        <w:t>子图融合延迟。</w:t>
      </w:r>
    </w:p>
    <w:p>
      <w:pPr>
        <w:ind w:firstLine="420"/>
      </w:pPr>
      <w:r>
        <w:rPr>
          <w:rFonts w:ascii="宋体" w:hAnsi="宋体" w:eastAsia="宋体"/>
        </w:rPr>
        <w:t>任务优先级评分包括：</w:t>
      </w:r>
    </w:p>
    <w:p>
      <w:pPr>
        <w:pStyle w:val="ListBullet"/>
      </w:pPr>
      <w:r>
        <w:rPr>
          <w:rFonts w:ascii="宋体" w:hAnsi="宋体" w:eastAsia="宋体"/>
        </w:rPr>
        <w:t>是否处于关键任务区域；</w:t>
      </w:r>
    </w:p>
    <w:p>
      <w:pPr>
        <w:pStyle w:val="ListBullet"/>
      </w:pPr>
      <w:r>
        <w:rPr>
          <w:rFonts w:ascii="宋体" w:hAnsi="宋体" w:eastAsia="宋体"/>
        </w:rPr>
        <w:t>是否接近任务目标；</w:t>
      </w:r>
    </w:p>
    <w:p>
      <w:pPr>
        <w:pStyle w:val="ListBullet"/>
      </w:pPr>
      <w:r>
        <w:rPr>
          <w:rFonts w:ascii="宋体" w:hAnsi="宋体" w:eastAsia="宋体"/>
        </w:rPr>
        <w:t>是否为异常事件或高风险区域；</w:t>
      </w:r>
    </w:p>
    <w:p>
      <w:pPr>
        <w:pStyle w:val="ListBullet"/>
      </w:pPr>
      <w:r>
        <w:rPr>
          <w:rFonts w:ascii="宋体" w:hAnsi="宋体" w:eastAsia="宋体"/>
        </w:rPr>
        <w:t>是否需要实时决策支持。</w:t>
      </w:r>
    </w:p>
    <w:p>
      <w:pPr>
        <w:pStyle w:val="Heading2"/>
      </w:pPr>
      <w:r>
        <w:rPr>
          <w:rFonts w:ascii="黑体" w:hAnsi="黑体" w:eastAsia="黑体"/>
        </w:rPr>
        <w:t>5.5 子图上传决策</w:t>
      </w:r>
    </w:p>
    <w:p>
      <w:pPr>
        <w:ind w:firstLine="420"/>
      </w:pPr>
      <w:r>
        <w:rPr>
          <w:rFonts w:ascii="宋体" w:hAnsi="宋体" w:eastAsia="宋体"/>
        </w:rPr>
        <w:t>机器人端根据综合评分 S_upload 决定上传策略：</w:t>
      </w:r>
    </w:p>
    <w:p>
      <w:pPr>
        <w:ind w:firstLine="420"/>
      </w:pPr>
      <w:r>
        <w:rPr>
          <w:rFonts w:ascii="宋体" w:hAnsi="宋体" w:eastAsia="宋体"/>
        </w:rPr>
        <w:t>其中 C_data 表示上传数据量成本，a、b、c、d、e 为权重系数。</w:t>
      </w:r>
    </w:p>
    <w:p>
      <w:pPr>
        <w:ind w:firstLine="420"/>
      </w:pPr>
      <w:r>
        <w:rPr>
          <w:rFonts w:ascii="宋体" w:hAnsi="宋体" w:eastAsia="宋体"/>
        </w:rPr>
        <w:t>根据 S_upload 和各项阈值，选择以下策略之一：</w:t>
      </w:r>
    </w:p>
    <w:p>
      <w:pPr>
        <w:pStyle w:val="ListNumber"/>
      </w:pPr>
      <w:r>
        <w:rPr>
          <w:rFonts w:ascii="宋体" w:hAnsi="宋体" w:eastAsia="宋体"/>
        </w:rPr>
        <w:t>完整上传：上传完整点云、关键帧、描述子、协方差和语义观测。</w:t>
      </w:r>
    </w:p>
    <w:p>
      <w:pPr>
        <w:pStyle w:val="ListNumber"/>
      </w:pPr>
      <w:r>
        <w:rPr>
          <w:rFonts w:ascii="宋体" w:hAnsi="宋体" w:eastAsia="宋体"/>
        </w:rPr>
        <w:t>轻量上传：上传降采样点云、关键帧位姿、局部描述子和质量评分。</w:t>
      </w:r>
    </w:p>
    <w:p>
      <w:pPr>
        <w:pStyle w:val="ListNumber"/>
      </w:pPr>
      <w:r>
        <w:rPr>
          <w:rFonts w:ascii="宋体" w:hAnsi="宋体" w:eastAsia="宋体"/>
        </w:rPr>
        <w:t>摘要上传：仅上传描述子、关键帧位姿、地图质量评分和语义摘要。</w:t>
      </w:r>
    </w:p>
    <w:p>
      <w:pPr>
        <w:pStyle w:val="ListNumber"/>
      </w:pPr>
      <w:r>
        <w:rPr>
          <w:rFonts w:ascii="宋体" w:hAnsi="宋体" w:eastAsia="宋体"/>
        </w:rPr>
        <w:t>延迟上传：本地缓存完整子图，待网络或边缘负载恢复后再上传。</w:t>
      </w:r>
    </w:p>
    <w:p>
      <w:pPr>
        <w:pStyle w:val="ListNumber"/>
      </w:pPr>
      <w:r>
        <w:rPr>
          <w:rFonts w:ascii="宋体" w:hAnsi="宋体" w:eastAsia="宋体"/>
        </w:rPr>
        <w:t>请求边缘确认：当地图质量较高但网络状态较差时，先上传摘要，由边缘端决定是否请求完整子图。</w:t>
      </w:r>
    </w:p>
    <w:p>
      <w:pPr>
        <w:pStyle w:val="Heading2"/>
      </w:pPr>
      <w:r>
        <w:rPr>
          <w:rFonts w:ascii="黑体" w:hAnsi="黑体" w:eastAsia="黑体"/>
        </w:rPr>
        <w:t>5.6 边缘端融合处理</w:t>
      </w:r>
    </w:p>
    <w:p>
      <w:pPr>
        <w:ind w:firstLine="420"/>
      </w:pPr>
      <w:r>
        <w:rPr>
          <w:rFonts w:ascii="宋体" w:hAnsi="宋体" w:eastAsia="宋体"/>
        </w:rPr>
        <w:t>边缘端接收子图后执行以下步骤：</w:t>
      </w:r>
    </w:p>
    <w:p>
      <w:pPr>
        <w:pStyle w:val="ListNumber"/>
      </w:pPr>
      <w:r>
        <w:rPr>
          <w:rFonts w:ascii="宋体" w:hAnsi="宋体" w:eastAsia="宋体"/>
        </w:rPr>
        <w:t>检查子图 ID、机器人 ID、时间戳、坐标系、数据版本和完整性。</w:t>
      </w:r>
    </w:p>
    <w:p>
      <w:pPr>
        <w:pStyle w:val="ListNumber"/>
      </w:pPr>
      <w:r>
        <w:rPr>
          <w:rFonts w:ascii="宋体" w:hAnsi="宋体" w:eastAsia="宋体"/>
        </w:rPr>
        <w:t>对机器人端上传的地图质量评分进行复评。</w:t>
      </w:r>
    </w:p>
    <w:p>
      <w:pPr>
        <w:pStyle w:val="ListNumber"/>
      </w:pPr>
      <w:r>
        <w:rPr>
          <w:rFonts w:ascii="宋体" w:hAnsi="宋体" w:eastAsia="宋体"/>
        </w:rPr>
        <w:t>根据全局地图需求、区域覆盖情况和任务优先级确定融合队列顺序。</w:t>
      </w:r>
    </w:p>
    <w:p>
      <w:pPr>
        <w:pStyle w:val="ListNumber"/>
      </w:pPr>
      <w:r>
        <w:rPr>
          <w:rFonts w:ascii="宋体" w:hAnsi="宋体" w:eastAsia="宋体"/>
        </w:rPr>
        <w:t>对候选子图进行跨机器人重叠检索。</w:t>
      </w:r>
    </w:p>
    <w:p>
      <w:pPr>
        <w:pStyle w:val="ListNumber"/>
      </w:pPr>
      <w:r>
        <w:rPr>
          <w:rFonts w:ascii="宋体" w:hAnsi="宋体" w:eastAsia="宋体"/>
        </w:rPr>
        <w:t>使用 ICP、GICP、NDT、Scan Context、图像特征匹配、语义匹配或其他方法生成子图间约束。</w:t>
      </w:r>
    </w:p>
    <w:p>
      <w:pPr>
        <w:pStyle w:val="ListNumber"/>
      </w:pPr>
      <w:r>
        <w:rPr>
          <w:rFonts w:ascii="宋体" w:hAnsi="宋体" w:eastAsia="宋体"/>
        </w:rPr>
        <w:t>根据约束置信度和子图质量，决定是否加入全局位姿图。</w:t>
      </w:r>
    </w:p>
    <w:p>
      <w:pPr>
        <w:pStyle w:val="ListNumber"/>
      </w:pPr>
      <w:r>
        <w:rPr>
          <w:rFonts w:ascii="宋体" w:hAnsi="宋体" w:eastAsia="宋体"/>
        </w:rPr>
        <w:t>对低置信度约束使用鲁棒核函数或延迟验证机制。</w:t>
      </w:r>
    </w:p>
    <w:p>
      <w:pPr>
        <w:pStyle w:val="ListNumber"/>
      </w:pPr>
      <w:r>
        <w:rPr>
          <w:rFonts w:ascii="宋体" w:hAnsi="宋体" w:eastAsia="宋体"/>
        </w:rPr>
        <w:t>更新全局地图、地图质量图层和子图索引。</w:t>
      </w:r>
    </w:p>
    <w:p>
      <w:pPr>
        <w:pStyle w:val="Heading2"/>
      </w:pPr>
      <w:r>
        <w:rPr>
          <w:rFonts w:ascii="黑体" w:hAnsi="黑体" w:eastAsia="黑体"/>
        </w:rPr>
        <w:t>5.7 弱网降级机制</w:t>
      </w:r>
    </w:p>
    <w:p>
      <w:pPr>
        <w:ind w:firstLine="420"/>
      </w:pPr>
      <w:r>
        <w:rPr>
          <w:rFonts w:ascii="宋体" w:hAnsi="宋体" w:eastAsia="宋体"/>
        </w:rPr>
        <w:t>在弱网环境下，本方法采用分级降级策略：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网络状态</w:t>
            </w:r>
          </w:p>
        </w:tc>
        <w:tc>
          <w:tcPr>
            <w:tcW w:type="dxa" w:w="2880"/>
          </w:tcPr>
          <w:p>
            <w:r>
              <w:t>上传内容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良好</w:t>
            </w:r>
          </w:p>
        </w:tc>
        <w:tc>
          <w:tcPr>
            <w:tcW w:type="dxa" w:w="2880"/>
          </w:tcPr>
          <w:p>
            <w:r>
              <w:t>完整子图</w:t>
            </w:r>
          </w:p>
        </w:tc>
        <w:tc>
          <w:tcPr>
            <w:tcW w:type="dxa" w:w="2880"/>
          </w:tcPr>
          <w:p>
            <w:r>
              <w:t>支持实时融合</w:t>
            </w:r>
          </w:p>
        </w:tc>
      </w:tr>
      <w:tr>
        <w:tc>
          <w:tcPr>
            <w:tcW w:type="dxa" w:w="2880"/>
          </w:tcPr>
          <w:p>
            <w:r>
              <w:t>一般</w:t>
            </w:r>
          </w:p>
        </w:tc>
        <w:tc>
          <w:tcPr>
            <w:tcW w:type="dxa" w:w="2880"/>
          </w:tcPr>
          <w:p>
            <w:r>
              <w:t>降采样点云 + 关键帧</w:t>
            </w:r>
          </w:p>
        </w:tc>
        <w:tc>
          <w:tcPr>
            <w:tcW w:type="dxa" w:w="2880"/>
          </w:tcPr>
          <w:p>
            <w:r>
              <w:t>降低带宽占用</w:t>
            </w:r>
          </w:p>
        </w:tc>
      </w:tr>
      <w:tr>
        <w:tc>
          <w:tcPr>
            <w:tcW w:type="dxa" w:w="2880"/>
          </w:tcPr>
          <w:p>
            <w:r>
              <w:t>较差</w:t>
            </w:r>
          </w:p>
        </w:tc>
        <w:tc>
          <w:tcPr>
            <w:tcW w:type="dxa" w:w="2880"/>
          </w:tcPr>
          <w:p>
            <w:r>
              <w:t>描述子 + 位姿 + 质量评分</w:t>
            </w:r>
          </w:p>
        </w:tc>
        <w:tc>
          <w:tcPr>
            <w:tcW w:type="dxa" w:w="2880"/>
          </w:tcPr>
          <w:p>
            <w:r>
              <w:t>支持候选检索</w:t>
            </w:r>
          </w:p>
        </w:tc>
      </w:tr>
      <w:tr>
        <w:tc>
          <w:tcPr>
            <w:tcW w:type="dxa" w:w="2880"/>
          </w:tcPr>
          <w:p>
            <w:r>
              <w:t>极差</w:t>
            </w:r>
          </w:p>
        </w:tc>
        <w:tc>
          <w:tcPr>
            <w:tcW w:type="dxa" w:w="2880"/>
          </w:tcPr>
          <w:p>
            <w:r>
              <w:t>本地缓存，周期性心跳</w:t>
            </w:r>
          </w:p>
        </w:tc>
        <w:tc>
          <w:tcPr>
            <w:tcW w:type="dxa" w:w="2880"/>
          </w:tcPr>
          <w:p>
            <w:r>
              <w:t>等待恢复后补传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当网络恢复后，机器人端根据边缘端缺失子图列表进行补传。</w:t>
      </w:r>
    </w:p>
    <w:p>
      <w:pPr>
        <w:pStyle w:val="Heading1"/>
      </w:pPr>
      <w:r>
        <w:rPr>
          <w:rFonts w:ascii="黑体" w:hAnsi="黑体" w:eastAsia="黑体"/>
        </w:rPr>
        <w:t>六、关键创新点</w:t>
      </w:r>
    </w:p>
    <w:p>
      <w:pPr>
        <w:pStyle w:val="ListNumber"/>
      </w:pPr>
      <w:r>
        <w:rPr>
          <w:rFonts w:ascii="宋体" w:hAnsi="宋体" w:eastAsia="宋体"/>
        </w:rPr>
        <w:t>提出基于地图质量、网络状态、边缘负载和任务优先级的综合子图上传决策方法。</w:t>
      </w:r>
    </w:p>
    <w:p>
      <w:pPr>
        <w:pStyle w:val="ListNumber"/>
      </w:pPr>
      <w:r>
        <w:rPr>
          <w:rFonts w:ascii="宋体" w:hAnsi="宋体" w:eastAsia="宋体"/>
        </w:rPr>
        <w:t>将局部地图质量评分引入机器人端上传策略，使上传行为从固定周期变为事件驱动和质量驱动。</w:t>
      </w:r>
    </w:p>
    <w:p>
      <w:pPr>
        <w:pStyle w:val="ListNumber"/>
      </w:pPr>
      <w:r>
        <w:rPr>
          <w:rFonts w:ascii="宋体" w:hAnsi="宋体" w:eastAsia="宋体"/>
        </w:rPr>
        <w:t>针对不同机器人平台引入平台相关质量指标，例如足端接触置信度、飞行姿态稳定性和轮速一致性。</w:t>
      </w:r>
    </w:p>
    <w:p>
      <w:pPr>
        <w:pStyle w:val="ListNumber"/>
      </w:pPr>
      <w:r>
        <w:rPr>
          <w:rFonts w:ascii="宋体" w:hAnsi="宋体" w:eastAsia="宋体"/>
        </w:rPr>
        <w:t>提出完整上传、轻量上传、摘要上传、延迟上传和边缘确认的多级上传策略。</w:t>
      </w:r>
    </w:p>
    <w:p>
      <w:pPr>
        <w:pStyle w:val="ListNumber"/>
      </w:pPr>
      <w:r>
        <w:rPr>
          <w:rFonts w:ascii="宋体" w:hAnsi="宋体" w:eastAsia="宋体"/>
        </w:rPr>
        <w:t>在边缘端根据子图质量、任务优先级和全局地图需求进行融合队列排序，提高关键数据处理优先级。</w:t>
      </w:r>
    </w:p>
    <w:p>
      <w:pPr>
        <w:pStyle w:val="ListNumber"/>
      </w:pPr>
      <w:r>
        <w:rPr>
          <w:rFonts w:ascii="宋体" w:hAnsi="宋体" w:eastAsia="宋体"/>
        </w:rPr>
        <w:t>支持弱网下的子图摘要传输和恢复后补传机制，提高多机器人协同 SLAM 系统鲁棒性。</w:t>
      </w:r>
    </w:p>
    <w:p>
      <w:pPr>
        <w:pStyle w:val="Heading1"/>
      </w:pPr>
      <w:r>
        <w:rPr>
          <w:rFonts w:ascii="黑体" w:hAnsi="黑体" w:eastAsia="黑体"/>
        </w:rPr>
        <w:t>七、有益效果</w:t>
      </w:r>
    </w:p>
    <w:p>
      <w:pPr>
        <w:ind w:firstLine="420"/>
      </w:pPr>
      <w:r>
        <w:rPr>
          <w:rFonts w:ascii="宋体" w:hAnsi="宋体" w:eastAsia="宋体"/>
        </w:rPr>
        <w:t>本发明具有以下有益效果：</w:t>
      </w:r>
    </w:p>
    <w:p>
      <w:pPr>
        <w:pStyle w:val="ListNumber"/>
      </w:pPr>
      <w:r>
        <w:rPr>
          <w:rFonts w:ascii="宋体" w:hAnsi="宋体" w:eastAsia="宋体"/>
        </w:rPr>
        <w:t>降低弱网环境下多机器人子图传输带宽占用。</w:t>
      </w:r>
    </w:p>
    <w:p>
      <w:pPr>
        <w:pStyle w:val="ListNumber"/>
      </w:pPr>
      <w:r>
        <w:rPr>
          <w:rFonts w:ascii="宋体" w:hAnsi="宋体" w:eastAsia="宋体"/>
        </w:rPr>
        <w:t>提高高价值子图的上传优先级，减少低质量冗余数据对边缘端的影响。</w:t>
      </w:r>
    </w:p>
    <w:p>
      <w:pPr>
        <w:pStyle w:val="ListNumber"/>
      </w:pPr>
      <w:r>
        <w:rPr>
          <w:rFonts w:ascii="宋体" w:hAnsi="宋体" w:eastAsia="宋体"/>
        </w:rPr>
        <w:t>提高全局地图融合质量，降低错误约束和地图重影概率。</w:t>
      </w:r>
    </w:p>
    <w:p>
      <w:pPr>
        <w:pStyle w:val="ListNumber"/>
      </w:pPr>
      <w:r>
        <w:rPr>
          <w:rFonts w:ascii="宋体" w:hAnsi="宋体" w:eastAsia="宋体"/>
        </w:rPr>
        <w:t>支持四足机器人、无人机、AGV 等不同平台根据自身状态自适应上传数据。</w:t>
      </w:r>
    </w:p>
    <w:p>
      <w:pPr>
        <w:pStyle w:val="ListNumber"/>
      </w:pPr>
      <w:r>
        <w:rPr>
          <w:rFonts w:ascii="宋体" w:hAnsi="宋体" w:eastAsia="宋体"/>
        </w:rPr>
        <w:t>提高边缘端资源利用率，避免大量低价值子图同时触发全局优化。</w:t>
      </w:r>
    </w:p>
    <w:p>
      <w:pPr>
        <w:pStyle w:val="ListNumber"/>
      </w:pPr>
      <w:r>
        <w:rPr>
          <w:rFonts w:ascii="宋体" w:hAnsi="宋体" w:eastAsia="宋体"/>
        </w:rPr>
        <w:t>为后续 World Model 更新、任务回放和数据训练提供质量标注基础。</w:t>
      </w:r>
    </w:p>
    <w:p>
      <w:pPr>
        <w:pStyle w:val="Heading1"/>
      </w:pPr>
      <w:r>
        <w:rPr>
          <w:rFonts w:ascii="黑体" w:hAnsi="黑体" w:eastAsia="黑体"/>
        </w:rPr>
        <w:t>八、可选实施例</w:t>
      </w:r>
    </w:p>
    <w:p>
      <w:pPr>
        <w:pStyle w:val="Heading2"/>
      </w:pPr>
      <w:r>
        <w:rPr>
          <w:rFonts w:ascii="黑体" w:hAnsi="黑体" w:eastAsia="黑体"/>
        </w:rPr>
        <w:t>实施例一：四足机器人楼梯巡检</w:t>
      </w:r>
    </w:p>
    <w:p>
      <w:pPr>
        <w:ind w:firstLine="420"/>
      </w:pPr>
      <w:r>
        <w:rPr>
          <w:rFonts w:ascii="宋体" w:hAnsi="宋体" w:eastAsia="宋体"/>
        </w:rPr>
        <w:t>四足机器人在楼梯环境中运行时，IMU 冲击和足端接触切换频繁。本方法将足端接触置信度、支撑面高度变化和 Z 轴位姿不确定性纳入地图质量评分。当机器人进入楼梯转角或检测到高质量几何结构时，系统提高子图上传优先级。</w:t>
      </w:r>
    </w:p>
    <w:p>
      <w:pPr>
        <w:pStyle w:val="Heading2"/>
      </w:pPr>
      <w:r>
        <w:rPr>
          <w:rFonts w:ascii="黑体" w:hAnsi="黑体" w:eastAsia="黑体"/>
        </w:rPr>
        <w:t>实施例二：无人机弱网巡检</w:t>
      </w:r>
    </w:p>
    <w:p>
      <w:pPr>
        <w:ind w:firstLine="420"/>
      </w:pPr>
      <w:r>
        <w:rPr>
          <w:rFonts w:ascii="宋体" w:hAnsi="宋体" w:eastAsia="宋体"/>
        </w:rPr>
        <w:t>无人机在厂区高处巡检时，网络信号不稳定。系统检测到丢包率上升后，从完整点云上传切换为关键帧位姿、图像描述子和低分辨率局部地图摘要上传。边缘端根据摘要判断该区域具有高任务价值后，下发完整子图补传请求。</w:t>
      </w:r>
    </w:p>
    <w:p>
      <w:pPr>
        <w:pStyle w:val="Heading2"/>
      </w:pPr>
      <w:r>
        <w:rPr>
          <w:rFonts w:ascii="黑体" w:hAnsi="黑体" w:eastAsia="黑体"/>
        </w:rPr>
        <w:t>实施例三：AGV 仓储物流</w:t>
      </w:r>
    </w:p>
    <w:p>
      <w:pPr>
        <w:ind w:firstLine="420"/>
      </w:pPr>
      <w:r>
        <w:rPr>
          <w:rFonts w:ascii="宋体" w:hAnsi="宋体" w:eastAsia="宋体"/>
        </w:rPr>
        <w:t>AGV 在仓储环境中按固定路线运行，部分区域已被充分建图。系统根据地图覆盖率和重叠度降低重复子图上传频率，仅在货架布局变化、障碍物变化或定位不确定性升高时上传完整子图。</w:t>
      </w:r>
    </w:p>
    <w:p>
      <w:pPr>
        <w:pStyle w:val="Heading1"/>
      </w:pPr>
      <w:r>
        <w:rPr>
          <w:rFonts w:ascii="黑体" w:hAnsi="黑体" w:eastAsia="黑体"/>
        </w:rPr>
        <w:t>九、替代方案</w:t>
      </w:r>
    </w:p>
    <w:p>
      <w:pPr>
        <w:ind w:firstLine="420"/>
      </w:pPr>
      <w:r>
        <w:rPr>
          <w:rFonts w:ascii="宋体" w:hAnsi="宋体" w:eastAsia="宋体"/>
        </w:rPr>
        <w:t>本发明多个环节均可采用替代实现，而不脱离本发明的保护范围：</w:t>
      </w:r>
    </w:p>
    <w:p>
      <w:pPr>
        <w:pStyle w:val="ListNumber"/>
      </w:pPr>
      <w:r>
        <w:rPr>
          <w:rFonts w:ascii="宋体" w:hAnsi="宋体" w:eastAsia="宋体"/>
        </w:rPr>
        <w:t>地图质量评分 Q_map 的各项指标、权重及计算方式可替代，例如采用线性加权、非线性映射或基于机器学习的评分模型；</w:t>
      </w:r>
    </w:p>
    <w:p>
      <w:pPr>
        <w:pStyle w:val="ListNumber"/>
      </w:pPr>
      <w:r>
        <w:rPr>
          <w:rFonts w:ascii="宋体" w:hAnsi="宋体" w:eastAsia="宋体"/>
        </w:rPr>
        <w:t>子图上传决策可采用固定阈值规则、效用函数、启发式策略或强化学习策略替代；</w:t>
      </w:r>
    </w:p>
    <w:p>
      <w:pPr>
        <w:pStyle w:val="ListNumber"/>
      </w:pPr>
      <w:r>
        <w:rPr>
          <w:rFonts w:ascii="宋体" w:hAnsi="宋体" w:eastAsia="宋体"/>
        </w:rPr>
        <w:t>多级上传策略的分级数量与内容可调整，例如增设中间等级或合并部分等级；</w:t>
      </w:r>
    </w:p>
    <w:p>
      <w:pPr>
        <w:pStyle w:val="ListNumber"/>
      </w:pPr>
      <w:r>
        <w:rPr>
          <w:rFonts w:ascii="宋体" w:hAnsi="宋体" w:eastAsia="宋体"/>
        </w:rPr>
        <w:t>子图配准与匹配可采用 ICP、GICP、NDT、Scan Context、特征匹配或语义匹配替代；全局优化可采用位姿图优化（如 g2o、Ceres）或因子图优化（如 GTSAM、iSAM2）替代；</w:t>
      </w:r>
    </w:p>
    <w:p>
      <w:pPr>
        <w:pStyle w:val="ListNumber"/>
      </w:pPr>
      <w:r>
        <w:rPr>
          <w:rFonts w:ascii="宋体" w:hAnsi="宋体" w:eastAsia="宋体"/>
        </w:rPr>
        <w:t>网络状态评估可采用主动探测、被动统计或基于历史数据的预测方法替代；</w:t>
      </w:r>
    </w:p>
    <w:p>
      <w:pPr>
        <w:pStyle w:val="ListNumber"/>
      </w:pPr>
      <w:r>
        <w:rPr>
          <w:rFonts w:ascii="宋体" w:hAnsi="宋体" w:eastAsia="宋体"/>
        </w:rPr>
        <w:t>平台相关质量指标可依据机器人类型（四足、无人机、AGV/AMR 等）增减；</w:t>
      </w:r>
    </w:p>
    <w:p>
      <w:pPr>
        <w:pStyle w:val="ListNumber"/>
      </w:pPr>
      <w:r>
        <w:rPr>
          <w:rFonts w:ascii="宋体" w:hAnsi="宋体" w:eastAsia="宋体"/>
        </w:rPr>
        <w:t>承载链路可采用 5G/5G-TSN、TSN、Wi-Fi（含 IEEE 802.11s）、IEEE 802.15.4 或移动自组网等替代。</w:t>
      </w:r>
    </w:p>
    <w:p>
      <w:pPr>
        <w:ind w:firstLine="420"/>
      </w:pPr>
      <w:r>
        <w:rPr>
          <w:rFonts w:ascii="宋体" w:hAnsi="宋体" w:eastAsia="宋体"/>
        </w:rPr>
        <w:t>上述替代方案可单独或组合使用，均能实现本发明目的。</w:t>
      </w:r>
    </w:p>
    <w:p>
      <w:pPr>
        <w:pStyle w:val="Heading1"/>
      </w:pPr>
      <w:r>
        <w:rPr>
          <w:rFonts w:ascii="黑体" w:hAnsi="黑体" w:eastAsia="黑体"/>
        </w:rPr>
        <w:t>十、建议权利要求保护方向</w:t>
      </w:r>
    </w:p>
    <w:p>
      <w:pPr>
        <w:ind w:firstLine="420"/>
      </w:pPr>
      <w:r>
        <w:rPr>
          <w:rFonts w:ascii="宋体" w:hAnsi="宋体" w:eastAsia="宋体"/>
        </w:rPr>
        <w:t>后续撰写权利要求时，建议覆盖：</w:t>
      </w:r>
    </w:p>
    <w:p>
      <w:pPr>
        <w:pStyle w:val="ListNumber"/>
      </w:pPr>
      <w:r>
        <w:rPr>
          <w:rFonts w:ascii="宋体" w:hAnsi="宋体" w:eastAsia="宋体"/>
        </w:rPr>
        <w:t>一种基于地图质量评分的局部子图上传决策方法；</w:t>
      </w:r>
    </w:p>
    <w:p>
      <w:pPr>
        <w:pStyle w:val="ListNumber"/>
      </w:pPr>
      <w:r>
        <w:rPr>
          <w:rFonts w:ascii="宋体" w:hAnsi="宋体" w:eastAsia="宋体"/>
        </w:rPr>
        <w:t>一种结合网络状态、边缘负载和任务优先级的上传策略选择方法；</w:t>
      </w:r>
    </w:p>
    <w:p>
      <w:pPr>
        <w:pStyle w:val="ListNumber"/>
      </w:pPr>
      <w:r>
        <w:rPr>
          <w:rFonts w:ascii="宋体" w:hAnsi="宋体" w:eastAsia="宋体"/>
        </w:rPr>
        <w:t>一种支持完整、轻量、摘要和延迟多级上传的机器人子图传输方法；</w:t>
      </w:r>
    </w:p>
    <w:p>
      <w:pPr>
        <w:pStyle w:val="ListNumber"/>
      </w:pPr>
      <w:r>
        <w:rPr>
          <w:rFonts w:ascii="宋体" w:hAnsi="宋体" w:eastAsia="宋体"/>
        </w:rPr>
        <w:t>一种边缘端基于子图质量进行融合队列排序和鲁棒融合的方法；</w:t>
      </w:r>
    </w:p>
    <w:p>
      <w:pPr>
        <w:pStyle w:val="ListNumber"/>
      </w:pPr>
      <w:r>
        <w:rPr>
          <w:rFonts w:ascii="宋体" w:hAnsi="宋体" w:eastAsia="宋体"/>
        </w:rPr>
        <w:t>一种面向四足机器人、无人机和 AGV 的平台相关地图质量评分方法。</w:t>
      </w:r>
    </w:p>
    <w:p>
      <w:pPr>
        <w:pStyle w:val="Heading1"/>
      </w:pPr>
      <w:r>
        <w:rPr>
          <w:rFonts w:ascii="黑体" w:hAnsi="黑体" w:eastAsia="黑体"/>
        </w:rPr>
        <w:t>十一、附图说明</w:t>
      </w:r>
    </w:p>
    <w:p>
      <w:pPr>
        <w:ind w:firstLine="420"/>
      </w:pPr>
      <w:r>
        <w:rPr>
          <w:rFonts w:ascii="宋体" w:hAnsi="宋体" w:eastAsia="宋体"/>
        </w:rPr>
        <w:t>本发明附图均为黑白线条示意图，方框表示功能模块或处理步骤，箭头表示数据流向或调用关系；图中阿拉伯数字为附图标记，与说明书具体实施方式中的部件/步骤编号一一对应。</w:t>
      </w:r>
    </w:p>
    <w:p>
      <w:r>
        <w:rPr>
          <w:rFonts w:ascii="宋体" w:hAnsi="宋体" w:eastAsia="宋体"/>
          <w:b/>
        </w:rPr>
        <w:t>图 1 子图自适应上传方法总体流程图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268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1-子图自适应上传方法总体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68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图1子图自适应上传方法总体流程图</w:t>
      </w:r>
    </w:p>
    <w:p>
      <w:r>
        <w:rPr>
          <w:rFonts w:ascii="宋体" w:hAnsi="宋体" w:eastAsia="宋体"/>
          <w:b/>
        </w:rPr>
        <w:t>图 2 地图质量评分计算模块图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50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2-地图质量评分计算模块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5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图2地图质量评分计算模块图</w:t>
      </w:r>
    </w:p>
    <w:p>
      <w:r>
        <w:rPr>
          <w:rFonts w:ascii="宋体" w:hAnsi="宋体" w:eastAsia="宋体"/>
          <w:b/>
        </w:rPr>
        <w:t>图 3 多级上传策略状态转换图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30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3-多级上传策略状态转换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图3多级上传策略状态转换图</w:t>
      </w:r>
    </w:p>
    <w:p>
      <w:r>
        <w:rPr>
          <w:rFonts w:ascii="宋体" w:hAnsi="宋体" w:eastAsia="宋体"/>
          <w:b/>
        </w:rPr>
        <w:t>图 4 边缘端融合队列处理流程图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727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4-边缘端融合队列处理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图4边缘端融合队列处理流程图</w:t>
      </w:r>
    </w:p>
    <w:p>
      <w:r>
        <w:rPr>
          <w:rFonts w:ascii="宋体" w:hAnsi="宋体" w:eastAsia="宋体"/>
          <w:b/>
        </w:rPr>
        <w:t>图 5 弱网环境下摘要上传与补传流程图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383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5-弱网环境摘要上传与补传流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8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图5弱网环境下摘要上传与补传流程图</w:t>
      </w:r>
    </w:p>
    <w:p>
      <w:pPr>
        <w:pStyle w:val="Heading1"/>
      </w:pPr>
      <w:r>
        <w:rPr>
          <w:rFonts w:ascii="黑体" w:hAnsi="黑体" w:eastAsia="黑体"/>
        </w:rPr>
        <w:t>十二、参考文献</w:t>
      </w:r>
    </w:p>
    <w:p>
      <w:pPr>
        <w:ind w:firstLine="420"/>
      </w:pPr>
      <w:r>
        <w:rPr>
          <w:rFonts w:ascii="宋体" w:hAnsi="宋体" w:eastAsia="宋体"/>
        </w:rPr>
        <w:t>以下文献用于说明本发明所涉及的现有技术背景，供撰写权利要求和说明书时参考：</w:t>
      </w:r>
    </w:p>
    <w:p>
      <w:pPr>
        <w:pStyle w:val="ListNumber"/>
      </w:pPr>
      <w:r>
        <w:rPr>
          <w:rFonts w:ascii="宋体" w:hAnsi="宋体" w:eastAsia="宋体"/>
        </w:rPr>
        <w:t>P. J. Besl and N. D. McKay, "A Method for Registration of 3-D Shapes," IEEE Transactions on Pattern Analysis and Machine Intelligence (TPAMI), vol. 14, no. 2, pp. 239–256, 1992.</w:t>
      </w:r>
    </w:p>
    <w:p>
      <w:pPr>
        <w:pStyle w:val="ListNumber"/>
      </w:pPr>
      <w:r>
        <w:rPr>
          <w:rFonts w:ascii="宋体" w:hAnsi="宋体" w:eastAsia="宋体"/>
        </w:rPr>
        <w:t>A. Segal, D. Haehnel, and S. Thrun, "Generalized-ICP," in Proc. Robotics: Science and Systems (RSS), 2009.</w:t>
      </w:r>
    </w:p>
    <w:p>
      <w:pPr>
        <w:pStyle w:val="ListNumber"/>
      </w:pPr>
      <w:r>
        <w:rPr>
          <w:rFonts w:ascii="宋体" w:hAnsi="宋体" w:eastAsia="宋体"/>
        </w:rPr>
        <w:t>P. Biber and W. Straßer, "The Normal Distributions Transform: A New Approach to Laser Scan Matching," in Proc. IEEE/RSJ Int. Conf. on Intelligent Robots and Systems (IROS), 2003.</w:t>
      </w:r>
    </w:p>
    <w:p>
      <w:pPr>
        <w:pStyle w:val="ListNumber"/>
      </w:pPr>
      <w:r>
        <w:rPr>
          <w:rFonts w:ascii="宋体" w:hAnsi="宋体" w:eastAsia="宋体"/>
        </w:rPr>
        <w:t>G. Kim and A. Kim, "Scan Context: Egocentric Spatial Descriptor for Place Recognition within 3D Point Cloud Map," in Proc. IEEE/RSJ Int. Conf. on Intelligent Robots and Systems (IROS), 2018.</w:t>
      </w:r>
    </w:p>
    <w:p>
      <w:pPr>
        <w:pStyle w:val="ListNumber"/>
      </w:pPr>
      <w:r>
        <w:rPr>
          <w:rFonts w:ascii="宋体" w:hAnsi="宋体" w:eastAsia="宋体"/>
        </w:rPr>
        <w:t>J. Zhang, M. Kaess, and S. Singh, "On Degeneracy of Optimization-based State Estimation Problems," in Proc. IEEE Int. Conf. on Robotics and Automation (ICRA), 2016.</w:t>
      </w:r>
    </w:p>
    <w:p>
      <w:pPr>
        <w:pStyle w:val="ListNumber"/>
      </w:pPr>
      <w:r>
        <w:rPr>
          <w:rFonts w:ascii="宋体" w:hAnsi="宋体" w:eastAsia="宋体"/>
        </w:rPr>
        <w:t>R. Kümmerle, G. Grisetti, H. Strasdat, K. Konolige, and W. Burgard, "g2o: A General Framework for Graph Optimization," in Proc. IEEE Int. Conf. on Robotics and Automation (ICRA), 2011.</w:t>
      </w:r>
    </w:p>
    <w:p>
      <w:pPr>
        <w:pStyle w:val="ListNumber"/>
      </w:pPr>
      <w:r>
        <w:rPr>
          <w:rFonts w:ascii="宋体" w:hAnsi="宋体" w:eastAsia="宋体"/>
        </w:rPr>
        <w:t>M. Kaess, H. Johannsson, R. Roberts, V. Ila, J. Leonard, and F. Dellaert, "iSAM2: Incremental Smoothing and Mapping Using the Bayes Tree," International Journal of Robotics Research (IJRR), vol. 31, no. 2, pp. 216–235, 2012.</w:t>
      </w:r>
    </w:p>
    <w:p>
      <w:pPr>
        <w:pStyle w:val="ListNumber"/>
      </w:pPr>
      <w:r>
        <w:rPr>
          <w:rFonts w:ascii="宋体" w:hAnsi="宋体" w:eastAsia="宋体"/>
        </w:rPr>
        <w:t>E. Bourtsoulatze, D. B. Kurka, and D. Gündüz, "Deep Joint Source-Channel Coding for Wireless Image Transmission," IEEE Transactions on Cognitive Communications and Networking (TCCN), vol. 5, no. 3, pp. 567–579, 2019.</w:t>
      </w:r>
    </w:p>
    <w:p>
      <w:pPr>
        <w:pStyle w:val="ListNumber"/>
      </w:pPr>
      <w:r>
        <w:rPr>
          <w:rFonts w:ascii="宋体" w:hAnsi="宋体" w:eastAsia="宋体"/>
        </w:rPr>
        <w:t>孙荣川, 仇昌成, 郁树梅, 等. 基于子地图特征匹配的多机器人SLAM算法: 中国发明专利, 公开号 CN110119144B.</w:t>
      </w:r>
    </w:p>
    <w:p>
      <w:pPr>
        <w:pStyle w:val="ListNumber"/>
      </w:pPr>
      <w:r>
        <w:rPr>
          <w:rFonts w:ascii="宋体" w:hAnsi="宋体" w:eastAsia="宋体"/>
        </w:rPr>
        <w:t>一种针对大尺度环境的多机器人协同制图与定位的方法: 中国发明专利申请, 公开号 CN106272423A.</w:t>
      </w:r>
    </w:p>
    <w:p>
      <w:pPr>
        <w:pStyle w:val="ListNumber"/>
      </w:pPr>
      <w:r>
        <w:rPr>
          <w:rFonts w:ascii="宋体" w:hAnsi="宋体" w:eastAsia="宋体"/>
        </w:rPr>
        <w:t>一种连通分量动态合并的多机3D激光SLAM方法及系统: 中国发明专利申请, 公开号 CN116381724A.</w:t>
      </w:r>
    </w:p>
    <w:p>
      <w:pPr>
        <w:pStyle w:val="ListNumber"/>
      </w:pPr>
      <w:r>
        <w:rPr>
          <w:rFonts w:ascii="宋体" w:hAnsi="宋体" w:eastAsia="宋体"/>
        </w:rPr>
        <w:t>基于视觉多机器人即时定位与同步建图方法、系统及介质: 中国发明专利申请, 公开号 CN113674409A.</w:t>
      </w:r>
    </w:p>
    <w:p>
      <w:pPr>
        <w:pStyle w:val="Heading1"/>
      </w:pPr>
      <w:r>
        <w:rPr>
          <w:rFonts w:ascii="黑体" w:hAnsi="黑体" w:eastAsia="黑体"/>
        </w:rPr>
        <w:t>附：术语与缩略语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缩略语</w:t>
            </w:r>
          </w:p>
        </w:tc>
        <w:tc>
          <w:tcPr>
            <w:tcW w:type="dxa" w:w="4320"/>
          </w:tcPr>
          <w:p>
            <w:r>
              <w:t>全称 / 中文含义</w:t>
            </w:r>
          </w:p>
        </w:tc>
      </w:tr>
      <w:tr>
        <w:tc>
          <w:tcPr>
            <w:tcW w:type="dxa" w:w="4320"/>
          </w:tcPr>
          <w:p>
            <w:r>
              <w:t>SLAM</w:t>
            </w:r>
          </w:p>
        </w:tc>
        <w:tc>
          <w:tcPr>
            <w:tcW w:type="dxa" w:w="4320"/>
          </w:tcPr>
          <w:p>
            <w:r>
              <w:t>Simultaneous Localization and Mapping，同步定位与建图</w:t>
            </w:r>
          </w:p>
        </w:tc>
      </w:tr>
      <w:tr>
        <w:tc>
          <w:tcPr>
            <w:tcW w:type="dxa" w:w="4320"/>
          </w:tcPr>
          <w:p>
            <w:r>
              <w:t>LiDAR</w:t>
            </w:r>
          </w:p>
        </w:tc>
        <w:tc>
          <w:tcPr>
            <w:tcW w:type="dxa" w:w="4320"/>
          </w:tcPr>
          <w:p>
            <w:r>
              <w:t>Light Detection and Ranging，激光雷达</w:t>
            </w:r>
          </w:p>
        </w:tc>
      </w:tr>
      <w:tr>
        <w:tc>
          <w:tcPr>
            <w:tcW w:type="dxa" w:w="4320"/>
          </w:tcPr>
          <w:p>
            <w:r>
              <w:t>IMU</w:t>
            </w:r>
          </w:p>
        </w:tc>
        <w:tc>
          <w:tcPr>
            <w:tcW w:type="dxa" w:w="4320"/>
          </w:tcPr>
          <w:p>
            <w:r>
              <w:t>Inertial Measurement Unit，惯性测量单元</w:t>
            </w:r>
          </w:p>
        </w:tc>
      </w:tr>
      <w:tr>
        <w:tc>
          <w:tcPr>
            <w:tcW w:type="dxa" w:w="4320"/>
          </w:tcPr>
          <w:p>
            <w:r>
              <w:t>GNSS</w:t>
            </w:r>
          </w:p>
        </w:tc>
        <w:tc>
          <w:tcPr>
            <w:tcW w:type="dxa" w:w="4320"/>
          </w:tcPr>
          <w:p>
            <w:r>
              <w:t>Global Navigation Satellite System，全球导航卫星系统</w:t>
            </w:r>
          </w:p>
        </w:tc>
      </w:tr>
      <w:tr>
        <w:tc>
          <w:tcPr>
            <w:tcW w:type="dxa" w:w="4320"/>
          </w:tcPr>
          <w:p>
            <w:r>
              <w:t>ICP / GICP</w:t>
            </w:r>
          </w:p>
        </w:tc>
        <w:tc>
          <w:tcPr>
            <w:tcW w:type="dxa" w:w="4320"/>
          </w:tcPr>
          <w:p>
            <w:r>
              <w:t>Iterative Closest Point / Generalized-ICP，迭代最近点 / 广义迭代最近点</w:t>
            </w:r>
          </w:p>
        </w:tc>
      </w:tr>
      <w:tr>
        <w:tc>
          <w:tcPr>
            <w:tcW w:type="dxa" w:w="4320"/>
          </w:tcPr>
          <w:p>
            <w:r>
              <w:t>NDT</w:t>
            </w:r>
          </w:p>
        </w:tc>
        <w:tc>
          <w:tcPr>
            <w:tcW w:type="dxa" w:w="4320"/>
          </w:tcPr>
          <w:p>
            <w:r>
              <w:t>Normal Distributions Transform，正态分布变换</w:t>
            </w:r>
          </w:p>
        </w:tc>
      </w:tr>
      <w:tr>
        <w:tc>
          <w:tcPr>
            <w:tcW w:type="dxa" w:w="4320"/>
          </w:tcPr>
          <w:p>
            <w:r>
              <w:t>Scan Context</w:t>
            </w:r>
          </w:p>
        </w:tc>
        <w:tc>
          <w:tcPr>
            <w:tcW w:type="dxa" w:w="4320"/>
          </w:tcPr>
          <w:p>
            <w:r>
              <w:t>扫描上下文（三维点云场景描述子）</w:t>
            </w:r>
          </w:p>
        </w:tc>
      </w:tr>
      <w:tr>
        <w:tc>
          <w:tcPr>
            <w:tcW w:type="dxa" w:w="4320"/>
          </w:tcPr>
          <w:p>
            <w:r>
              <w:t>RTT</w:t>
            </w:r>
          </w:p>
        </w:tc>
        <w:tc>
          <w:tcPr>
            <w:tcW w:type="dxa" w:w="4320"/>
          </w:tcPr>
          <w:p>
            <w:r>
              <w:t>Round-Trip Time，往返时延</w:t>
            </w:r>
          </w:p>
        </w:tc>
      </w:tr>
      <w:tr>
        <w:tc>
          <w:tcPr>
            <w:tcW w:type="dxa" w:w="4320"/>
          </w:tcPr>
          <w:p>
            <w:r>
              <w:t>AGV / AMR</w:t>
            </w:r>
          </w:p>
        </w:tc>
        <w:tc>
          <w:tcPr>
            <w:tcW w:type="dxa" w:w="4320"/>
          </w:tcPr>
          <w:p>
            <w:r>
              <w:t>自动导引车 / 自主移动机器人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