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发明专利技术交底书（C-b 核心案：内容寻址 LayerDelta 封装与版本组合）</w:t>
      </w:r>
    </w:p>
    <w:p>
      <w:pPr>
        <w:ind w:firstLine="420"/>
      </w:pPr>
      <w:r>
        <w:rPr>
          <w:rFonts w:ascii="宋体" w:hAnsi="宋体" w:eastAsia="宋体"/>
        </w:rPr>
        <w:t>尊敬的代理人：</w:t>
      </w:r>
    </w:p>
    <w:p>
      <w:pPr>
        <w:ind w:firstLine="420"/>
      </w:pPr>
      <w:r>
        <w:rPr>
          <w:rFonts w:ascii="宋体" w:hAnsi="宋体" w:eastAsia="宋体"/>
        </w:rPr>
        <w:t>以下为发明人就「内容寻址的分层地图增量封装与多维 layer 版本组合」所作技术交底。本申请拟作 C 族核心独立案；AccessTicket 分发、多机写冲突另两件卫星案。正式申请前请对 NNG、digest/hash 版本链近邻等再跑 FTO（本交底非法律意见）。</w:t>
      </w:r>
    </w:p>
    <w:p>
      <w:pPr>
        <w:pStyle w:val="Heading1"/>
      </w:pPr>
      <w:r>
        <w:rPr>
          <w:rFonts w:ascii="黑体" w:hAnsi="黑体" w:eastAsia="黑体"/>
        </w:rPr>
        <w:t>封面信息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发明创造名称</w:t>
            </w:r>
          </w:p>
        </w:tc>
        <w:tc>
          <w:tcPr>
            <w:tcW w:type="dxa" w:w="4320"/>
          </w:tcPr>
          <w:p>
            <w:r>
              <w:t>一种内容寻址的分层地图增量封装与多维图层版本组合方法、装置及系统</w:t>
            </w:r>
          </w:p>
        </w:tc>
      </w:tr>
      <w:tr>
        <w:tc>
          <w:tcPr>
            <w:tcW w:type="dxa" w:w="4320"/>
          </w:tcPr>
          <w:p>
            <w:r>
              <w:t>备选名称</w:t>
            </w:r>
          </w:p>
        </w:tc>
        <w:tc>
          <w:tcPr>
            <w:tcW w:type="dxa" w:w="4320"/>
          </w:tcPr>
          <w:p>
            <w:r>
              <w:t>① 一种基于 LayerDelta 信封的内容寻址地图增量封装方法；② 一种面向移动自动化设备多维地图层的纯函数版本组合方法</w:t>
            </w:r>
          </w:p>
        </w:tc>
      </w:tr>
      <w:tr>
        <w:tc>
          <w:tcPr>
            <w:tcW w:type="dxa" w:w="4320"/>
          </w:tcPr>
          <w:p>
            <w:r>
              <w:t>发明人</w:t>
            </w:r>
          </w:p>
        </w:tc>
        <w:tc>
          <w:tcPr>
            <w:tcW w:type="dxa" w:w="4320"/>
          </w:tcPr>
          <w:p>
            <w:r>
              <w:t>曾欣宇</w:t>
            </w:r>
          </w:p>
        </w:tc>
      </w:tr>
      <w:tr>
        <w:tc>
          <w:tcPr>
            <w:tcW w:type="dxa" w:w="4320"/>
          </w:tcPr>
          <w:p>
            <w:r>
              <w:t>申请人</w:t>
            </w:r>
          </w:p>
        </w:tc>
        <w:tc>
          <w:tcPr>
            <w:tcW w:type="dxa" w:w="4320"/>
          </w:tcPr>
          <w:p>
            <w:r>
              <w:t>上海眸深智能科技有限公司</w:t>
            </w:r>
          </w:p>
        </w:tc>
      </w:tr>
      <w:tr>
        <w:tc>
          <w:tcPr>
            <w:tcW w:type="dxa" w:w="4320"/>
          </w:tcPr>
          <w:p>
            <w:r>
              <w:t>统一社会信用代码</w:t>
            </w:r>
          </w:p>
        </w:tc>
        <w:tc>
          <w:tcPr>
            <w:tcW w:type="dxa" w:w="4320"/>
          </w:tcPr>
          <w:p>
            <w:r>
              <w:t>91310110MAE92P3T6M</w:t>
            </w:r>
          </w:p>
        </w:tc>
      </w:tr>
      <w:tr>
        <w:tc>
          <w:tcPr>
            <w:tcW w:type="dxa" w:w="4320"/>
          </w:tcPr>
          <w:p>
            <w:r>
              <w:t>联系地址</w:t>
            </w:r>
          </w:p>
        </w:tc>
        <w:tc>
          <w:tcPr>
            <w:tcW w:type="dxa" w:w="4320"/>
          </w:tcPr>
          <w:p>
            <w:r>
              <w:t>上海眸深智能科技有限公司（详细地址【待补充】）</w:t>
            </w:r>
          </w:p>
        </w:tc>
      </w:tr>
      <w:tr>
        <w:tc>
          <w:tcPr>
            <w:tcW w:type="dxa" w:w="4320"/>
          </w:tcPr>
          <w:p>
            <w:r>
              <w:t>技术交底书撰写人及技术联系人</w:t>
            </w:r>
          </w:p>
        </w:tc>
        <w:tc>
          <w:tcPr>
            <w:tcW w:type="dxa" w:w="4320"/>
          </w:tcPr>
          <w:p>
            <w:r>
              <w:t>曾欣宇</w:t>
            </w:r>
          </w:p>
        </w:tc>
      </w:tr>
      <w:tr>
        <w:tc>
          <w:tcPr>
            <w:tcW w:type="dxa" w:w="4320"/>
          </w:tcPr>
          <w:p>
            <w:r>
              <w:t>电话</w:t>
            </w:r>
          </w:p>
        </w:tc>
        <w:tc>
          <w:tcPr>
            <w:tcW w:type="dxa" w:w="4320"/>
          </w:tcPr>
          <w:p>
            <w:r>
              <w:t>15700050433</w:t>
            </w:r>
          </w:p>
        </w:tc>
      </w:tr>
      <w:tr>
        <w:tc>
          <w:tcPr>
            <w:tcW w:type="dxa" w:w="4320"/>
          </w:tcPr>
          <w:p>
            <w:r>
              <w:t>传真</w:t>
            </w:r>
          </w:p>
        </w:tc>
        <w:tc>
          <w:tcPr>
            <w:tcW w:type="dxa" w:w="4320"/>
          </w:tcPr>
          <w:p>
            <w:r>
              <w:t>【待补充】</w:t>
            </w:r>
          </w:p>
        </w:tc>
      </w:tr>
      <w:tr>
        <w:tc>
          <w:tcPr>
            <w:tcW w:type="dxa" w:w="4320"/>
          </w:tcPr>
          <w:p>
            <w:r>
              <w:t>E-MAIL</w:t>
            </w:r>
          </w:p>
        </w:tc>
        <w:tc>
          <w:tcPr>
            <w:tcW w:type="dxa" w:w="4320"/>
          </w:tcPr>
          <w:p>
            <w:r>
              <w:t>zengxy@moushen.ai</w:t>
            </w:r>
          </w:p>
        </w:tc>
      </w:tr>
      <w:tr>
        <w:tc>
          <w:tcPr>
            <w:tcW w:type="dxa" w:w="4320"/>
          </w:tcPr>
          <w:p>
            <w:r>
              <w:t>建议申请类型</w:t>
            </w:r>
          </w:p>
        </w:tc>
        <w:tc>
          <w:tcPr>
            <w:tcW w:type="dxa" w:w="4320"/>
          </w:tcPr>
          <w:p>
            <w:r>
              <w:t>发明（方法 + 装置/系统）</w:t>
            </w:r>
          </w:p>
        </w:tc>
      </w:tr>
    </w:tbl>
    <w:p>
      <w:pPr>
        <w:pStyle w:val="Heading1"/>
      </w:pPr>
      <w:r>
        <w:rPr>
          <w:rFonts w:ascii="黑体" w:hAnsi="黑体" w:eastAsia="黑体"/>
        </w:rPr>
        <w:t>1、本发明要解决的技术问题、目的；与现有技术相比的优点</w:t>
      </w:r>
    </w:p>
    <w:p>
      <w:pPr>
        <w:pStyle w:val="Heading2"/>
      </w:pPr>
      <w:r>
        <w:rPr>
          <w:rFonts w:ascii="黑体" w:hAnsi="黑体" w:eastAsia="黑体"/>
        </w:rPr>
        <w:t>1.0 适用范围（移动自动化设备）</w:t>
      </w:r>
    </w:p>
    <w:p>
      <w:pPr>
        <w:ind w:firstLine="420"/>
      </w:pPr>
      <w:r>
        <w:rPr>
          <w:rFonts w:ascii="宋体" w:hAnsi="宋体" w:eastAsia="宋体"/>
        </w:rPr>
        <w:t>【设计决策】 本案方法、装置及系统适用于具移动能力的自动化设备端侧或边侧，不限于某一构型或单一 SLAM 栈。包括但不限于：</w:t>
      </w:r>
    </w:p>
    <w:p>
      <w:pPr>
        <w:pStyle w:val="ListBullet"/>
      </w:pPr>
      <w:r>
        <w:rPr>
          <w:rFonts w:ascii="宋体" w:hAnsi="宋体" w:eastAsia="宋体"/>
        </w:rPr>
        <w:t>人形机器人、四足/双足/多足移动机器人；</w:t>
      </w:r>
    </w:p>
    <w:p>
      <w:pPr>
        <w:pStyle w:val="ListBullet"/>
      </w:pPr>
      <w:r>
        <w:rPr>
          <w:rFonts w:ascii="宋体" w:hAnsi="宋体" w:eastAsia="宋体"/>
        </w:rPr>
        <w:t>轮式、履带式移动机器人；</w:t>
      </w:r>
    </w:p>
    <w:p>
      <w:pPr>
        <w:pStyle w:val="ListBullet"/>
      </w:pPr>
      <w:r>
        <w:rPr>
          <w:rFonts w:ascii="宋体" w:hAnsi="宋体" w:eastAsia="宋体"/>
        </w:rPr>
        <w:t>无人机（UAV）、无人地面车（UGV）；</w:t>
      </w:r>
    </w:p>
    <w:p>
      <w:pPr>
        <w:pStyle w:val="ListBullet"/>
      </w:pPr>
      <w:r>
        <w:rPr>
          <w:rFonts w:ascii="宋体" w:hAnsi="宋体" w:eastAsia="宋体"/>
        </w:rPr>
        <w:t>自动导引车（AGV）、自主移动机器人（AMR）；</w:t>
      </w:r>
    </w:p>
    <w:p>
      <w:pPr>
        <w:pStyle w:val="ListBullet"/>
      </w:pPr>
      <w:r>
        <w:rPr>
          <w:rFonts w:ascii="宋体" w:hAnsi="宋体" w:eastAsia="宋体"/>
        </w:rPr>
        <w:t>移动操作平台、具身智能载体及其他可移动自动化设备。</w:t>
      </w:r>
    </w:p>
    <w:p>
      <w:pPr>
        <w:ind w:firstLine="420"/>
      </w:pPr>
      <w:r>
        <w:rPr>
          <w:rFonts w:ascii="宋体" w:hAnsi="宋体" w:eastAsia="宋体"/>
        </w:rPr>
        <w:t>下文「移动自动化设备」「设备端侧」与「机器人」在不涉及具体构型时可互换；区别特征在于 LayerDelta / 版本 DAG / compose，不在于设备外形或运动学类型。</w:t>
      </w:r>
    </w:p>
    <w:p>
      <w:pPr>
        <w:pStyle w:val="Heading2"/>
      </w:pPr>
      <w:r>
        <w:rPr>
          <w:rFonts w:ascii="黑体" w:hAnsi="黑体" w:eastAsia="黑体"/>
        </w:rPr>
        <w:t>1.1 要解决的技术问题</w:t>
      </w:r>
    </w:p>
    <w:p>
      <w:pPr>
        <w:ind w:firstLine="420"/>
      </w:pPr>
      <w:r>
        <w:rPr>
          <w:rFonts w:ascii="宋体" w:hAnsi="宋体" w:eastAsia="宋体"/>
        </w:rPr>
        <w:t>移动自动化设备（含各类机器人）的端侧或边侧已能维护分地图层空间状态（几何、位姿、可选语义等）。当需要跨进程/跨端传递与合并局部变化时，现有做法常见断层：</w:t>
      </w:r>
    </w:p>
    <w:p>
      <w:pPr>
        <w:pStyle w:val="ListNumber"/>
      </w:pPr>
      <w:r>
        <w:rPr>
          <w:rFonts w:ascii="宋体" w:hAnsi="宋体" w:eastAsia="宋体"/>
        </w:rPr>
        <w:t>增量对象语义不足：通用地图差分、瓦片补丁多面向导航电子图；缺少以移动自动化设备多维 layer 为单元、带空间范围与变更类型的独立增量对象。</w:t>
      </w:r>
    </w:p>
    <w:p>
      <w:pPr>
        <w:pStyle w:val="ListNumber"/>
      </w:pPr>
      <w:r>
        <w:rPr>
          <w:rFonts w:ascii="宋体" w:hAnsi="宋体" w:eastAsia="宋体"/>
        </w:rPr>
        <w:t>版本模型偏弱：单调递增版本号难以支持不可变历史、按指针回滚、以及「同一基版本上多条增量分支」的可追溯组合。</w:t>
      </w:r>
    </w:p>
    <w:p>
      <w:pPr>
        <w:pStyle w:val="ListNumber"/>
      </w:pPr>
      <w:r>
        <w:rPr>
          <w:rFonts w:ascii="宋体" w:hAnsi="宋体" w:eastAsia="宋体"/>
        </w:rPr>
        <w:t>组合语义不清晰：应用增量常与 I/O、鉴权、模型推理缠在一起，缺少可重放的 compose(prev, deltas[]) → new_version 纯函数语义，导致乱序、重试、审计困难。</w:t>
      </w:r>
    </w:p>
    <w:p>
      <w:pPr>
        <w:pStyle w:val="ListNumber"/>
      </w:pPr>
      <w:r>
        <w:rPr>
          <w:rFonts w:ascii="宋体" w:hAnsi="宋体" w:eastAsia="宋体"/>
        </w:rPr>
        <w:t>多源冲突表达缺失：多传感器/多进程写入同一区域时，缺少在增量对象层表达 MERGE 等变更类型及置信加权的组合钩子（并发控制细节见卫星 C-h）。</w:t>
      </w:r>
    </w:p>
    <w:p>
      <w:pPr>
        <w:pStyle w:val="Heading2"/>
      </w:pPr>
      <w:r>
        <w:rPr>
          <w:rFonts w:ascii="黑体" w:hAnsi="黑体" w:eastAsia="黑体"/>
        </w:rPr>
        <w:t>1.2 发明目的</w:t>
      </w:r>
    </w:p>
    <w:p>
      <w:pPr>
        <w:ind w:firstLine="420"/>
      </w:pPr>
      <w:r>
        <w:rPr>
          <w:rFonts w:ascii="宋体" w:hAnsi="宋体" w:eastAsia="宋体"/>
        </w:rPr>
        <w:t>（1）将分地图层局部变化封装为 LayerDelta 独立对象（信封 + 载荷引用）；</w:t>
      </w:r>
    </w:p>
    <w:p>
      <w:pPr>
        <w:ind w:firstLine="420"/>
      </w:pPr>
      <w:r>
        <w:rPr>
          <w:rFonts w:ascii="宋体" w:hAnsi="宋体" w:eastAsia="宋体"/>
        </w:rPr>
        <w:t>（2）以内容寻址标识版本节点，形成不可变版本 DAG；</w:t>
      </w:r>
    </w:p>
    <w:p>
      <w:pPr>
        <w:ind w:firstLine="420"/>
      </w:pPr>
      <w:r>
        <w:rPr>
          <w:rFonts w:ascii="宋体" w:hAnsi="宋体" w:eastAsia="宋体"/>
        </w:rPr>
        <w:t>（3）提供基于 LayerDelta 的多维 layer 纯函数组合方法，得到新版本节点；</w:t>
      </w:r>
    </w:p>
    <w:p>
      <w:pPr>
        <w:ind w:firstLine="420"/>
      </w:pPr>
      <w:r>
        <w:rPr>
          <w:rFonts w:ascii="宋体" w:hAnsi="宋体" w:eastAsia="宋体"/>
        </w:rPr>
        <w:t>（4）针对 §1.1 问题 4：在 LayerDelta 层条目上提供 MERGE、confidence 等冲突表达与 compose 组合钩子（见 §3.3 从属、§3.4 加权合并）；并发提交检测与仲裁不纳入本案独权主干，由卫星 C-h（基于 base_version_hash 的 OCC）承担；AccessTicket 消费契约分发由 C-c 另案，本案不强制捆绑。</w:t>
      </w:r>
    </w:p>
    <w:p>
      <w:pPr>
        <w:ind w:firstLine="420"/>
      </w:pPr>
      <w:r>
        <w:rPr>
          <w:rFonts w:ascii="宋体" w:hAnsi="宋体" w:eastAsia="宋体"/>
        </w:rPr>
        <w:t>问题—目的对应：问题 1→(1) 增量对象；问题 2→(2) 版本 DAG；问题 3→(3) compose 纯函数；问题 4→(4) 层内冲突表达（从属）+ 多机仲裁（C-h 卫星）。</w:t>
      </w:r>
    </w:p>
    <w:p>
      <w:pPr>
        <w:pStyle w:val="Heading2"/>
      </w:pPr>
      <w:r>
        <w:rPr>
          <w:rFonts w:ascii="黑体" w:hAnsi="黑体" w:eastAsia="黑体"/>
        </w:rPr>
        <w:t>1.3 与现有技术相比的优点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优点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增量对象独立</w:t>
            </w:r>
          </w:p>
        </w:tc>
        <w:tc>
          <w:tcPr>
            <w:tcW w:type="dxa" w:w="4320"/>
          </w:tcPr>
          <w:p>
            <w:r>
              <w:t>LayerDelta 可作为传输、存储、审计的统一契约单元</w:t>
            </w:r>
          </w:p>
        </w:tc>
      </w:tr>
      <w:tr>
        <w:tc>
          <w:tcPr>
            <w:tcW w:type="dxa" w:w="4320"/>
          </w:tcPr>
          <w:p>
            <w:r>
              <w:t>内容寻址版本</w:t>
            </w:r>
          </w:p>
        </w:tc>
        <w:tc>
          <w:tcPr>
            <w:tcW w:type="dxa" w:w="4320"/>
          </w:tcPr>
          <w:p>
            <w:r>
              <w:t>版本由内容确定，便于完整性校验与指针式回滚</w:t>
            </w:r>
          </w:p>
        </w:tc>
      </w:tr>
      <w:tr>
        <w:tc>
          <w:tcPr>
            <w:tcW w:type="dxa" w:w="4320"/>
          </w:tcPr>
          <w:p>
            <w:r>
              <w:t>组合可重放</w:t>
            </w:r>
          </w:p>
        </w:tc>
        <w:tc>
          <w:tcPr>
            <w:tcW w:type="dxa" w:w="4320"/>
          </w:tcPr>
          <w:p>
            <w:r>
              <w:t>compose 纯函数：相同 prev + 相同 deltas → 相同结果</w:t>
            </w:r>
          </w:p>
        </w:tc>
      </w:tr>
      <w:tr>
        <w:tc>
          <w:tcPr>
            <w:tcW w:type="dxa" w:w="4320"/>
          </w:tcPr>
          <w:p>
            <w:r>
              <w:t>多维 layer</w:t>
            </w:r>
          </w:p>
        </w:tc>
        <w:tc>
          <w:tcPr>
            <w:tcW w:type="dxa" w:w="4320"/>
          </w:tcPr>
          <w:p>
            <w:r>
              <w:t>各层可独立出现在同一增量包中，按层组合</w:t>
            </w:r>
          </w:p>
        </w:tc>
      </w:tr>
      <w:tr>
        <w:tc>
          <w:tcPr>
            <w:tcW w:type="dxa" w:w="4320"/>
          </w:tcPr>
          <w:p>
            <w:r>
              <w:t>与上下游解耦</w:t>
            </w:r>
          </w:p>
        </w:tc>
        <w:tc>
          <w:tcPr>
            <w:tcW w:type="dxa" w:w="4320"/>
          </w:tcPr>
          <w:p>
            <w:r>
              <w:t>不绑死某一 SLAM/数据库产品；分发与多机控制可卫星化</w:t>
            </w:r>
          </w:p>
        </w:tc>
      </w:tr>
    </w:tbl>
    <w:p>
      <w:pPr>
        <w:ind w:firstLine="420"/>
      </w:pPr>
      <w:r>
        <w:rPr>
          <w:rFonts w:ascii="宋体" w:hAnsi="宋体" w:eastAsia="宋体"/>
        </w:rPr>
        <w:t>定量效果【待补充实测】。</w:t>
      </w:r>
    </w:p>
    <w:p>
      <w:pPr>
        <w:pStyle w:val="Heading1"/>
      </w:pPr>
      <w:r>
        <w:rPr>
          <w:rFonts w:ascii="黑体" w:hAnsi="黑体" w:eastAsia="黑体"/>
        </w:rPr>
        <w:t>2、技术背景与最相近实现方案</w:t>
      </w:r>
    </w:p>
    <w:p>
      <w:pPr>
        <w:pStyle w:val="Heading2"/>
      </w:pPr>
      <w:r>
        <w:rPr>
          <w:rFonts w:ascii="黑体" w:hAnsi="黑体" w:eastAsia="黑体"/>
        </w:rPr>
        <w:t>2.1 技术背景</w:t>
      </w:r>
    </w:p>
    <w:p>
      <w:pPr>
        <w:ind w:firstLine="420"/>
      </w:pPr>
      <w:r>
        <w:rPr>
          <w:rFonts w:ascii="宋体" w:hAnsi="宋体" w:eastAsia="宋体"/>
        </w:rPr>
        <w:t>端边协同、多机建图、导航电子地图差分、场景图增量（如公开的 Map API / Hydra 类设计）均涉及「局部更新」。本案聚焦：内容寻址的 LayerDelta 信封 + 版本 DAG + 多维 layer 的 compose 组合。</w:t>
      </w:r>
    </w:p>
    <w:p>
      <w:pPr>
        <w:pStyle w:val="Heading2"/>
      </w:pPr>
      <w:r>
        <w:rPr>
          <w:rFonts w:ascii="黑体" w:hAnsi="黑体" w:eastAsia="黑体"/>
        </w:rPr>
        <w:t>2.2 最相近方案及缺点（请代理人核实）</w:t>
      </w:r>
    </w:p>
    <w:p>
      <w:r>
        <w:rPr>
          <w:rFonts w:ascii="宋体" w:hAnsi="宋体" w:eastAsia="宋体"/>
          <w:b/>
        </w:rPr>
        <w:t>（1）NNG 等 tile×layer delta + 版本确认</w:t>
      </w:r>
    </w:p>
    <w:p>
      <w:pPr>
        <w:ind w:firstLine="420"/>
      </w:pPr>
      <w:r>
        <w:rPr>
          <w:rFonts w:ascii="宋体" w:hAnsi="宋体" w:eastAsia="宋体"/>
        </w:rPr>
        <w:t>相近：按 layer/tile 更新、版本确认。缺点：产品语境偏导航电子图；未必给出内容寻址不可变 DAG + 移动自动化设备多维 layer 信封 + compose 纯函数组合的完整组织。</w:t>
      </w:r>
    </w:p>
    <w:p>
      <w:r>
        <w:rPr>
          <w:rFonts w:ascii="宋体" w:hAnsi="宋体" w:eastAsia="宋体"/>
          <w:b/>
        </w:rPr>
        <w:t>（2）digest/hash 版本链、内容寻址存储通案</w:t>
      </w:r>
    </w:p>
    <w:p>
      <w:pPr>
        <w:ind w:firstLine="420"/>
      </w:pPr>
      <w:r>
        <w:rPr>
          <w:rFonts w:ascii="宋体" w:hAnsi="宋体" w:eastAsia="宋体"/>
        </w:rPr>
        <w:t>相近：用哈希标识数据版本。缺点：通用存储技术；未与移动自动化设备 LayerDelta 信封字段语义及多维 layer 组合绑定。【设计决策】 独权勿只写「用了哈希」，须组合 LayerDelta 结构与 compose。</w:t>
      </w:r>
    </w:p>
    <w:p>
      <w:r>
        <w:rPr>
          <w:rFonts w:ascii="宋体" w:hAnsi="宋体" w:eastAsia="宋体"/>
          <w:b/>
        </w:rPr>
        <w:t>（3）南湖类库内分层选择性更新</w:t>
      </w:r>
    </w:p>
    <w:p>
      <w:pPr>
        <w:ind w:firstLine="420"/>
      </w:pPr>
      <w:r>
        <w:rPr>
          <w:rFonts w:ascii="宋体" w:hAnsi="宋体" w:eastAsia="宋体"/>
        </w:rPr>
        <w:t>相近：多层可单独更新。缺点：库内表示（近 C-a），非跨端增量对象与版本 DAG 组合方法。</w:t>
      </w:r>
    </w:p>
    <w:p>
      <w:r>
        <w:rPr>
          <w:rFonts w:ascii="宋体" w:hAnsi="宋体" w:eastAsia="宋体"/>
          <w:b/>
        </w:rPr>
        <w:t>（4）单调版本号 + 差分包</w:t>
      </w:r>
    </w:p>
    <w:p>
      <w:pPr>
        <w:ind w:firstLine="420"/>
      </w:pPr>
      <w:r>
        <w:rPr>
          <w:rFonts w:ascii="宋体" w:hAnsi="宋体" w:eastAsia="宋体"/>
        </w:rPr>
        <w:t>相近：base→new 的差分。缺点：可变覆盖式版本常见；缺不可变节点与指针回滚；组合过程少以纯函数刻画。</w:t>
      </w:r>
    </w:p>
    <w:p>
      <w:pPr>
        <w:pStyle w:val="Heading2"/>
      </w:pPr>
      <w:r>
        <w:rPr>
          <w:rFonts w:ascii="黑体" w:hAnsi="黑体" w:eastAsia="黑体"/>
        </w:rPr>
        <w:t>2.3 本发明差异</w:t>
      </w:r>
    </w:p>
    <w:p>
      <w:pPr>
        <w:ind w:firstLine="420"/>
      </w:pPr>
      <w:r>
        <w:rPr>
          <w:rFonts w:ascii="宋体" w:hAnsi="宋体" w:eastAsia="宋体"/>
        </w:rPr>
        <w:t>本案主张：LayerDelta 信封作为独立知识产权对象 + 内容寻址版本 DAG + compose 纯函数多维组合。不主张分层地图本身、购图鉴权、完整动作闭环。</w:t>
      </w:r>
    </w:p>
    <w:p>
      <w:pPr>
        <w:pStyle w:val="Heading1"/>
      </w:pPr>
      <w:r>
        <w:rPr>
          <w:rFonts w:ascii="黑体" w:hAnsi="黑体" w:eastAsia="黑体"/>
        </w:rPr>
        <w:t>3、技术方案详细阐述（结合附图）</w:t>
      </w:r>
    </w:p>
    <w:p>
      <w:pPr>
        <w:pStyle w:val="Heading2"/>
      </w:pPr>
      <w:r>
        <w:rPr>
          <w:rFonts w:ascii="黑体" w:hAnsi="黑体" w:eastAsia="黑体"/>
        </w:rPr>
        <w:t>3.1 发明要点（图 1）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b-图1-LayerDelta与版本DAG总体结构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图1 内容寻址 LayerDelta 与版本 DAG 总体结构图</w:t>
      </w:r>
    </w:p>
    <w:p>
      <w:pPr>
        <w:ind w:firstLine="420"/>
      </w:pPr>
      <w:r>
        <w:rPr>
          <w:rFonts w:ascii="宋体" w:hAnsi="宋体" w:eastAsia="宋体"/>
        </w:rPr>
        <w:t>实施环境中的 SLAM 前端、具体数据库产品、移动自动化设备构型（人形/足式/轮式/空中等）等可替换，不是区别特征。本发明回答：</w:t>
      </w:r>
    </w:p>
    <w:p>
      <w:pPr>
        <w:pStyle w:val="ListNumber"/>
      </w:pPr>
      <w:r>
        <w:rPr>
          <w:rFonts w:ascii="宋体" w:hAnsi="宋体" w:eastAsia="宋体"/>
        </w:rPr>
        <w:t>增量是什么：LayerDelta = 信封 + 载荷引用（或载荷）；</w:t>
      </w:r>
    </w:p>
    <w:p>
      <w:pPr>
        <w:pStyle w:val="ListNumber"/>
      </w:pPr>
      <w:r>
        <w:rPr>
          <w:rFonts w:ascii="宋体" w:hAnsi="宋体" w:eastAsia="宋体"/>
        </w:rPr>
        <w:t>版本是什么：以内容摘要标识的不可变节点，边表示「由哪些 LayerDelta 自父版本导出」；</w:t>
      </w:r>
    </w:p>
    <w:p>
      <w:pPr>
        <w:pStyle w:val="ListNumber"/>
      </w:pPr>
      <w:r>
        <w:rPr>
          <w:rFonts w:ascii="宋体" w:hAnsi="宋体" w:eastAsia="宋体"/>
        </w:rPr>
        <w:t>如何得到新版本：new_version = compose(base_version, LayerDelta[])，无副作用。</w:t>
      </w:r>
    </w:p>
    <w:p>
      <w:pPr>
        <w:pStyle w:val="Heading2"/>
      </w:pPr>
      <w:r>
        <w:rPr>
          <w:rFonts w:ascii="黑体" w:hAnsi="黑体" w:eastAsia="黑体"/>
        </w:rPr>
        <w:t>3.2 方法步骤（图 2）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7039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b-图2-封装与compose流程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703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图2 LayerDelta 封装与 compose 组合流程图</w:t>
      </w:r>
    </w:p>
    <w:p>
      <w:r>
        <w:rPr>
          <w:rFonts w:ascii="宋体" w:hAnsi="宋体" w:eastAsia="宋体"/>
          <w:b/>
        </w:rPr>
        <w:t>独权 1 相关 — 内容寻址封装</w:t>
      </w:r>
    </w:p>
    <w:p>
      <w:pPr>
        <w:ind w:firstLine="420"/>
      </w:pPr>
      <w:r>
        <w:rPr>
          <w:rFonts w:ascii="宋体" w:hAnsi="宋体" w:eastAsia="宋体"/>
        </w:rPr>
        <w:t>S1 获取生产者侧分地图层空间状态或其变更（几何/位姿为主源，语义等可选）。</w:t>
      </w:r>
    </w:p>
    <w:p>
      <w:pPr>
        <w:ind w:firstLine="420"/>
      </w:pPr>
      <w:r>
        <w:rPr>
          <w:rFonts w:ascii="宋体" w:hAnsi="宋体" w:eastAsia="宋体"/>
        </w:rPr>
        <w:t>S2 按触发条件确定局部变化范围（运动和/或空间变化等，阈值实施例）。</w:t>
      </w:r>
    </w:p>
    <w:p>
      <w:pPr>
        <w:ind w:firstLine="420"/>
      </w:pPr>
      <w:r>
        <w:rPr>
          <w:rFonts w:ascii="宋体" w:hAnsi="宋体" w:eastAsia="宋体"/>
        </w:rPr>
        <w:t>S3 生成 LayerDelta：填写信封与层条目，载荷可内联或 payload_ref 外置。</w:t>
      </w:r>
    </w:p>
    <w:p>
      <w:pPr>
        <w:ind w:firstLine="420"/>
      </w:pPr>
      <w:r>
        <w:rPr>
          <w:rFonts w:ascii="宋体" w:hAnsi="宋体" w:eastAsia="宋体"/>
        </w:rPr>
        <w:t>S4 对信封及/或规范化后的增量内容计算内容摘要，得到 delta_id；对组合后的版本状态（或规范化版本描述）计算 version_hash，写入版本 DAG 为新节点；当前头指针可切换至该节点。</w:t>
      </w:r>
    </w:p>
    <w:p>
      <w:pPr>
        <w:ind w:firstLine="420"/>
      </w:pPr>
      <w:r>
        <w:rPr>
          <w:rFonts w:ascii="宋体" w:hAnsi="宋体" w:eastAsia="宋体"/>
        </w:rPr>
        <w:t>S5 发布 LayerDelta（传输或写入版本化存储）。</w:t>
      </w:r>
    </w:p>
    <w:p>
      <w:r>
        <w:rPr>
          <w:rFonts w:ascii="宋体" w:hAnsi="宋体" w:eastAsia="宋体"/>
          <w:b/>
        </w:rPr>
        <w:t>独权 2 相关 — 多维 layer 组合</w:t>
      </w:r>
    </w:p>
    <w:p>
      <w:pPr>
        <w:ind w:firstLine="420"/>
      </w:pPr>
      <w:r>
        <w:rPr>
          <w:rFonts w:ascii="宋体" w:hAnsi="宋体" w:eastAsia="宋体"/>
        </w:rPr>
        <w:t>S6 读取基版本节点 base_version_hash 及待应用 LayerDelta 有序列表（或按 deps[] 拓扑排序）。</w:t>
      </w:r>
    </w:p>
    <w:p>
      <w:pPr>
        <w:ind w:firstLine="420"/>
      </w:pPr>
      <w:r>
        <w:rPr>
          <w:rFonts w:ascii="宋体" w:hAnsi="宋体" w:eastAsia="宋体"/>
        </w:rPr>
        <w:t>S7 执行 compose：对各 layer 独立应用变更（ADD/UPDATE/EVICT/RESET；可选 MERGE），得到新的多维状态；再内容寻址得到 target_version_hash。</w:t>
      </w:r>
    </w:p>
    <w:p>
      <w:pPr>
        <w:ind w:firstLine="420"/>
      </w:pPr>
      <w:r>
        <w:rPr>
          <w:rFonts w:ascii="宋体" w:hAnsi="宋体" w:eastAsia="宋体"/>
        </w:rPr>
        <w:t>S8 校验：若实际基版本与信封声明不一致则拒收；组合过程不修改历史节点（不可变）。</w:t>
      </w:r>
    </w:p>
    <w:p>
      <w:pPr>
        <w:ind w:firstLine="420"/>
      </w:pPr>
      <w:r>
        <w:rPr>
          <w:rFonts w:ascii="宋体" w:hAnsi="宋体" w:eastAsia="宋体"/>
        </w:rPr>
        <w:t>S9 回滚：将头指针切换回历史 version_hash（不物理删除 DAG 节点，或按策略 GC，实施例）。</w:t>
      </w:r>
    </w:p>
    <w:p>
      <w:pPr>
        <w:pStyle w:val="Heading2"/>
      </w:pPr>
      <w:r>
        <w:rPr>
          <w:rFonts w:ascii="黑体" w:hAnsi="黑体" w:eastAsia="黑体"/>
        </w:rPr>
        <w:t>3.3 LayerDelta 信封结构（图 3）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006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b-图3-LayerDelta信封结构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06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图3 LayerDelta 信封与层条目结构图</w:t>
      </w:r>
    </w:p>
    <w:p>
      <w:pPr>
        <w:ind w:firstLine="420"/>
      </w:pPr>
      <w:r>
        <w:rPr>
          <w:rFonts w:ascii="宋体" w:hAnsi="宋体" w:eastAsia="宋体"/>
        </w:rPr>
        <w:t>上位结构（字段名说明书示例，申请前勿对外冻结唯一 schema）：</w:t>
      </w:r>
    </w:p>
    <w:p>
      <w:pPr>
        <w:ind w:firstLine="420"/>
      </w:pPr>
      <w:r>
        <w:rPr>
          <w:rFonts w:ascii="宋体" w:hAnsi="宋体" w:eastAsia="宋体"/>
        </w:rPr>
        <w:t>`text</w:t>
      </w:r>
    </w:p>
    <w:p>
      <w:pPr>
        <w:ind w:firstLine="420"/>
      </w:pPr>
      <w:r>
        <w:rPr>
          <w:rFonts w:ascii="宋体" w:hAnsi="宋体" w:eastAsia="宋体"/>
        </w:rPr>
        <w:t>LayerDelta</w:t>
      </w:r>
    </w:p>
    <w:p>
      <w:pPr>
        <w:ind w:firstLine="420"/>
      </w:pPr>
      <w:r>
        <w:rPr>
          <w:rFonts w:ascii="宋体" w:hAnsi="宋体" w:eastAsia="宋体"/>
        </w:rPr>
        <w:t>├── envelope</w:t>
      </w:r>
    </w:p>
    <w:p>
      <w:pPr>
        <w:ind w:firstLine="420"/>
      </w:pPr>
      <w:r>
        <w:rPr>
          <w:rFonts w:ascii="宋体" w:hAnsi="宋体" w:eastAsia="宋体"/>
        </w:rPr>
        <w:t>│   ├── delta_id          # 内容寻址标识（对规范化增量内容摘要）</w:t>
      </w:r>
    </w:p>
    <w:p>
      <w:pPr>
        <w:ind w:firstLine="420"/>
      </w:pPr>
      <w:r>
        <w:rPr>
          <w:rFonts w:ascii="宋体" w:hAnsi="宋体" w:eastAsia="宋体"/>
        </w:rPr>
        <w:t>│   ├── base_version_hash # 内容寻址基版本</w:t>
      </w:r>
    </w:p>
    <w:p>
      <w:pPr>
        <w:ind w:firstLine="420"/>
      </w:pPr>
      <w:r>
        <w:rPr>
          <w:rFonts w:ascii="宋体" w:hAnsi="宋体" w:eastAsia="宋体"/>
        </w:rPr>
        <w:t>│   ├── target_version_hash # 组合后预期/结果版本（可后置填写）</w:t>
      </w:r>
    </w:p>
    <w:p>
      <w:pPr>
        <w:ind w:firstLine="420"/>
      </w:pPr>
      <w:r>
        <w:rPr>
          <w:rFonts w:ascii="宋体" w:hAnsi="宋体" w:eastAsia="宋体"/>
        </w:rPr>
        <w:t>│   ├── affected_layers[]</w:t>
      </w:r>
    </w:p>
    <w:p>
      <w:pPr>
        <w:ind w:firstLine="420"/>
      </w:pPr>
      <w:r>
        <w:rPr>
          <w:rFonts w:ascii="宋体" w:hAnsi="宋体" w:eastAsia="宋体"/>
        </w:rPr>
        <w:t>│   ├── coord_anchor      # 坐标锚点（从属强化）</w:t>
      </w:r>
    </w:p>
    <w:p>
      <w:pPr>
        <w:ind w:firstLine="420"/>
      </w:pPr>
      <w:r>
        <w:rPr>
          <w:rFonts w:ascii="宋体" w:hAnsi="宋体" w:eastAsia="宋体"/>
        </w:rPr>
        <w:t>│   ├── time / session</w:t>
      </w:r>
    </w:p>
    <w:p>
      <w:pPr>
        <w:ind w:firstLine="420"/>
      </w:pPr>
      <w:r>
        <w:rPr>
          <w:rFonts w:ascii="宋体" w:hAnsi="宋体" w:eastAsia="宋体"/>
        </w:rPr>
        <w:t>│   └── producer_signature 或 integrity（可选）</w:t>
      </w:r>
    </w:p>
    <w:p>
      <w:pPr>
        <w:ind w:firstLine="420"/>
      </w:pPr>
      <w:r>
        <w:rPr>
          <w:rFonts w:ascii="宋体" w:hAnsi="宋体" w:eastAsia="宋体"/>
        </w:rPr>
        <w:t>└── affected_layer_entries[]</w:t>
      </w:r>
    </w:p>
    <w:p>
      <w:pPr>
        <w:ind w:firstLine="420"/>
      </w:pPr>
      <w:r>
        <w:rPr>
          <w:rFonts w:ascii="宋体" w:hAnsi="宋体" w:eastAsia="宋体"/>
        </w:rPr>
        <w:t>├── layer_id</w:t>
      </w:r>
    </w:p>
    <w:p>
      <w:pPr>
        <w:ind w:firstLine="420"/>
      </w:pPr>
      <w:r>
        <w:rPr>
          <w:rFonts w:ascii="宋体" w:hAnsi="宋体" w:eastAsia="宋体"/>
        </w:rPr>
        <w:t>├── region_bbox（或等价空间范围）</w:t>
      </w:r>
    </w:p>
    <w:p>
      <w:pPr>
        <w:ind w:firstLine="420"/>
      </w:pPr>
      <w:r>
        <w:rPr>
          <w:rFonts w:ascii="宋体" w:hAnsi="宋体" w:eastAsia="宋体"/>
        </w:rPr>
        <w:t>├── change_type  # CREATE/UPDATE/DELETE/EVICT/RESET/MERGE …</w:t>
      </w:r>
    </w:p>
    <w:p>
      <w:pPr>
        <w:ind w:firstLine="420"/>
      </w:pPr>
      <w:r>
        <w:rPr>
          <w:rFonts w:ascii="宋体" w:hAnsi="宋体" w:eastAsia="宋体"/>
        </w:rPr>
        <w:t>├── payload_ref</w:t>
      </w:r>
    </w:p>
    <w:p>
      <w:pPr>
        <w:ind w:firstLine="420"/>
      </w:pPr>
      <w:r>
        <w:rPr>
          <w:rFonts w:ascii="宋体" w:hAnsi="宋体" w:eastAsia="宋体"/>
        </w:rPr>
        <w:t>├── confidence   # 从属：加权合并</w:t>
      </w:r>
    </w:p>
    <w:p>
      <w:pPr>
        <w:ind w:firstLine="420"/>
      </w:pPr>
      <w:r>
        <w:rPr>
          <w:rFonts w:ascii="宋体" w:hAnsi="宋体" w:eastAsia="宋体"/>
        </w:rPr>
        <w:t>└── deps[]       # 因果依赖，乱序可重组</w:t>
      </w:r>
    </w:p>
    <w:p>
      <w:pPr>
        <w:ind w:firstLine="420"/>
      </w:pPr>
      <w:r>
        <w:rPr>
          <w:rFonts w:ascii="宋体" w:hAnsi="宋体" w:eastAsia="宋体"/>
        </w:rPr>
        <w:t>`</w:t>
      </w:r>
    </w:p>
    <w:p>
      <w:pPr>
        <w:ind w:firstLine="420"/>
      </w:pPr>
      <w:r>
        <w:rPr>
          <w:rFonts w:ascii="宋体" w:hAnsi="宋体" w:eastAsia="宋体"/>
        </w:rPr>
        <w:t>【设计决策】 change_type 含 MERGE（多源冲突在增量对象层可见）；EVICT≠现实障碍消失。</w:t>
      </w:r>
    </w:p>
    <w:p>
      <w:pPr>
        <w:ind w:firstLine="420"/>
      </w:pPr>
      <w:r>
        <w:rPr>
          <w:rFonts w:ascii="宋体" w:hAnsi="宋体" w:eastAsia="宋体"/>
        </w:rPr>
        <w:t>与 §1.1 问题 4 的衔接：MERGE 与 confidence 解决「冲突如何在增量对象里写出来、compose 如何按层合并」；谁先写、基版本不匹配时是否拒收/如何仲裁属于并发控制，由 C-h 在提交 LayerDelta 时基于 base_version_hash 处理，本案 compose 仅定义给定有序 deltas 的纯函数合并语义。</w:t>
      </w:r>
    </w:p>
    <w:p>
      <w:pPr>
        <w:pStyle w:val="Heading2"/>
      </w:pPr>
      <w:r>
        <w:rPr>
          <w:rFonts w:ascii="黑体" w:hAnsi="黑体" w:eastAsia="黑体"/>
        </w:rPr>
        <w:t>3.4 compose 纯函数与版本 DAG（图 4）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490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b-图4-版本DAG与compo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9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图4 版本 DAG 与 compose 纯函数组合示意图</w:t>
      </w:r>
    </w:p>
    <w:p>
      <w:pPr>
        <w:ind w:firstLine="420"/>
      </w:pPr>
      <w:r>
        <w:rPr>
          <w:rFonts w:ascii="宋体" w:hAnsi="宋体" w:eastAsia="宋体"/>
        </w:rPr>
        <w:t>`text</w:t>
      </w:r>
    </w:p>
    <w:p>
      <w:pPr>
        <w:ind w:firstLine="420"/>
      </w:pPr>
      <w:r>
        <w:rPr>
          <w:rFonts w:ascii="宋体" w:hAnsi="宋体" w:eastAsia="宋体"/>
        </w:rPr>
        <w:t>compose(base_version_hash, deltas[]) → target_version_hash</w:t>
      </w:r>
    </w:p>
    <w:p>
      <w:pPr>
        <w:ind w:firstLine="420"/>
      </w:pPr>
      <w:r>
        <w:rPr>
          <w:rFonts w:ascii="宋体" w:hAnsi="宋体" w:eastAsia="宋体"/>
        </w:rPr>
        <w:t>`</w:t>
      </w:r>
    </w:p>
    <w:p>
      <w:pPr>
        <w:ind w:firstLine="420"/>
      </w:pPr>
      <w:r>
        <w:rPr>
          <w:rFonts w:ascii="宋体" w:hAnsi="宋体" w:eastAsia="宋体"/>
        </w:rPr>
        <w:t>性质（说明书主张，实施例可验证）：</w:t>
      </w:r>
    </w:p>
    <w:p>
      <w:pPr>
        <w:pStyle w:val="ListBullet"/>
      </w:pPr>
      <w:r>
        <w:rPr>
          <w:rFonts w:ascii="宋体" w:hAnsi="宋体" w:eastAsia="宋体"/>
        </w:rPr>
        <w:t>确定性：相同基版本状态 + 相同有序 deltas → 相同 target；</w:t>
      </w:r>
    </w:p>
    <w:p>
      <w:pPr>
        <w:pStyle w:val="ListBullet"/>
      </w:pPr>
      <w:r>
        <w:rPr>
          <w:rFonts w:ascii="宋体" w:hAnsi="宋体" w:eastAsia="宋体"/>
        </w:rPr>
        <w:t>无副作用：不改写已存在的版本节点；</w:t>
      </w:r>
    </w:p>
    <w:p>
      <w:pPr>
        <w:pStyle w:val="ListBullet"/>
      </w:pPr>
      <w:r>
        <w:rPr>
          <w:rFonts w:ascii="宋体" w:hAnsi="宋体" w:eastAsia="宋体"/>
        </w:rPr>
        <w:t>按层组合：仅触及 affected_layers；未出现层保持不变；</w:t>
      </w:r>
    </w:p>
    <w:p>
      <w:pPr>
        <w:pStyle w:val="ListBullet"/>
      </w:pPr>
      <w:r>
        <w:rPr>
          <w:rFonts w:ascii="宋体" w:hAnsi="宋体" w:eastAsia="宋体"/>
        </w:rPr>
        <w:t>DAG：多条增量可自同一基版本分叉；合并可用 MERGE 类 delta 或显式合取节点（实施例）；</w:t>
      </w:r>
    </w:p>
    <w:p>
      <w:pPr>
        <w:pStyle w:val="ListBullet"/>
      </w:pPr>
      <w:r>
        <w:rPr>
          <w:rFonts w:ascii="宋体" w:hAnsi="宋体" w:eastAsia="宋体"/>
        </w:rPr>
        <w:t>回滚：头指针切换，无需反向差分补丁作为唯一手段。</w:t>
      </w:r>
    </w:p>
    <w:p>
      <w:pPr>
        <w:ind w:firstLine="420"/>
      </w:pPr>
      <w:r>
        <w:rPr>
          <w:rFonts w:ascii="宋体" w:hAnsi="宋体" w:eastAsia="宋体"/>
        </w:rPr>
        <w:t>从属强化：</w:t>
      </w:r>
    </w:p>
    <w:p>
      <w:pPr>
        <w:pStyle w:val="ListBullet"/>
      </w:pPr>
      <w:r>
        <w:rPr>
          <w:rFonts w:ascii="宋体" w:hAnsi="宋体" w:eastAsia="宋体"/>
        </w:rPr>
        <w:t>coord_anchor 对齐：组合前将各 delta 载荷变换到锚点坐标系；</w:t>
      </w:r>
    </w:p>
    <w:p>
      <w:pPr>
        <w:pStyle w:val="ListBullet"/>
      </w:pPr>
      <w:r>
        <w:rPr>
          <w:rFonts w:ascii="宋体" w:hAnsi="宋体" w:eastAsia="宋体"/>
        </w:rPr>
        <w:t>confidence 加权合并：同层同区域多条 UPDATE/MERGE 按置信加权；</w:t>
      </w:r>
    </w:p>
    <w:p>
      <w:pPr>
        <w:pStyle w:val="ListBullet"/>
      </w:pPr>
      <w:r>
        <w:rPr>
          <w:rFonts w:ascii="宋体" w:hAnsi="宋体" w:eastAsia="宋体"/>
        </w:rPr>
        <w:t>MERGE change_type：显式标记多源合并产物。</w:t>
      </w:r>
    </w:p>
    <w:p>
      <w:pPr>
        <w:pStyle w:val="Heading2"/>
      </w:pPr>
      <w:r>
        <w:rPr>
          <w:rFonts w:ascii="黑体" w:hAnsi="黑体" w:eastAsia="黑体"/>
        </w:rPr>
        <w:t>3.5 使用案例</w:t>
      </w:r>
    </w:p>
    <w:p>
      <w:r>
        <w:rPr>
          <w:rFonts w:ascii="宋体" w:hAnsi="宋体" w:eastAsia="宋体"/>
          <w:b/>
        </w:rPr>
        <w:t>案例 A：单机关键切片上行</w:t>
      </w:r>
    </w:p>
    <w:p>
      <w:pPr>
        <w:ind w:firstLine="420"/>
      </w:pPr>
      <w:r>
        <w:rPr>
          <w:rFonts w:ascii="宋体" w:hAnsi="宋体" w:eastAsia="宋体"/>
        </w:rPr>
        <w:t>某移动自动化设备（例如四足或人形机器人）端侧几何+位姿变化触发 → 生成 LayerDelta → delta_id/version_hash 入 DAG → 边侧 compose 得到新头版本。</w:t>
      </w:r>
    </w:p>
    <w:p>
      <w:r>
        <w:rPr>
          <w:rFonts w:ascii="宋体" w:hAnsi="宋体" w:eastAsia="宋体"/>
          <w:b/>
        </w:rPr>
        <w:t>案例 A′：人形机器人双足行走</w:t>
      </w:r>
    </w:p>
    <w:p>
      <w:pPr>
        <w:ind w:firstLine="420"/>
      </w:pPr>
      <w:r>
        <w:rPr>
          <w:rFonts w:ascii="宋体" w:hAnsi="宋体" w:eastAsia="宋体"/>
        </w:rPr>
        <w:t>人形机器人在楼梯/坡面行走导致位姿层与局部几何层频繁更新；按相同封装与 compose 流程生成 LayerDelta，不要求与人形之外构型不同的增量对象格式。</w:t>
      </w:r>
    </w:p>
    <w:p>
      <w:r>
        <w:rPr>
          <w:rFonts w:ascii="宋体" w:hAnsi="宋体" w:eastAsia="宋体"/>
          <w:b/>
        </w:rPr>
        <w:t>案例 B：乱序到达重组</w:t>
      </w:r>
    </w:p>
    <w:p>
      <w:pPr>
        <w:ind w:firstLine="420"/>
      </w:pPr>
      <w:r>
        <w:rPr>
          <w:rFonts w:ascii="宋体" w:hAnsi="宋体" w:eastAsia="宋体"/>
        </w:rPr>
        <w:t>两包 deps 声明先后；接收方按 deps 拓扑排序后 compose，拒绝环依赖。</w:t>
      </w:r>
    </w:p>
    <w:p>
      <w:r>
        <w:rPr>
          <w:rFonts w:ascii="宋体" w:hAnsi="宋体" w:eastAsia="宋体"/>
          <w:b/>
        </w:rPr>
        <w:t>案例 C：指针回滚</w:t>
      </w:r>
    </w:p>
    <w:p>
      <w:pPr>
        <w:ind w:firstLine="420"/>
      </w:pPr>
      <w:r>
        <w:rPr>
          <w:rFonts w:ascii="宋体" w:hAnsi="宋体" w:eastAsia="宋体"/>
        </w:rPr>
        <w:t>错误合并后将头指针拨回上一 version_hash，历史节点保留供审计。</w:t>
      </w:r>
    </w:p>
    <w:p>
      <w:r>
        <w:rPr>
          <w:rFonts w:ascii="宋体" w:hAnsi="宋体" w:eastAsia="宋体"/>
          <w:b/>
        </w:rPr>
        <w:t>案例 D（从属）：MERGE + 置信</w:t>
      </w:r>
    </w:p>
    <w:p>
      <w:pPr>
        <w:ind w:firstLine="420"/>
      </w:pPr>
      <w:r>
        <w:rPr>
          <w:rFonts w:ascii="宋体" w:hAnsi="宋体" w:eastAsia="宋体"/>
        </w:rPr>
        <w:t>两传感器同区更新 → MERGE 条目 + confidence 加权写入几何层。</w:t>
      </w:r>
    </w:p>
    <w:p>
      <w:pPr>
        <w:ind w:firstLine="420"/>
      </w:pPr>
      <w:r>
        <w:rPr>
          <w:rFonts w:ascii="宋体" w:hAnsi="宋体" w:eastAsia="宋体"/>
        </w:rPr>
        <w:t>开源组件名、具体哈希算法（SHA 族等）仅实施例。</w:t>
      </w:r>
    </w:p>
    <w:p>
      <w:pPr>
        <w:pStyle w:val="Heading2"/>
      </w:pPr>
      <w:r>
        <w:rPr>
          <w:rFonts w:ascii="黑体" w:hAnsi="黑体" w:eastAsia="黑体"/>
        </w:rPr>
        <w:t>3.6 与卫星案接口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案件</w:t>
            </w:r>
          </w:p>
        </w:tc>
        <w:tc>
          <w:tcPr>
            <w:tcW w:type="dxa" w:w="2880"/>
          </w:tcPr>
          <w:p>
            <w:r>
              <w:t>接口</w:t>
            </w:r>
          </w:p>
        </w:tc>
        <w:tc>
          <w:tcPr>
            <w:tcW w:type="dxa" w:w="2880"/>
          </w:tcPr>
          <w:p>
            <w:r>
              <w:t>本案是否必选</w:t>
            </w:r>
          </w:p>
        </w:tc>
      </w:tr>
      <w:tr>
        <w:tc>
          <w:tcPr>
            <w:tcW w:type="dxa" w:w="2880"/>
          </w:tcPr>
          <w:p>
            <w:r>
              <w:t>C-c AccessTicket</w:t>
            </w:r>
          </w:p>
        </w:tc>
        <w:tc>
          <w:tcPr>
            <w:tcW w:type="dxa" w:w="2880"/>
          </w:tcPr>
          <w:p>
            <w:r>
              <w:t>按令牌读取 DAG 头/物化投影</w:t>
            </w:r>
          </w:p>
        </w:tc>
        <w:tc>
          <w:tcPr>
            <w:tcW w:type="dxa" w:w="2880"/>
          </w:tcPr>
          <w:p>
            <w:r>
              <w:t>否</w:t>
            </w:r>
          </w:p>
        </w:tc>
      </w:tr>
      <w:tr>
        <w:tc>
          <w:tcPr>
            <w:tcW w:type="dxa" w:w="2880"/>
          </w:tcPr>
          <w:p>
            <w:r>
              <w:t>C-h 多机 OCC</w:t>
            </w:r>
          </w:p>
        </w:tc>
        <w:tc>
          <w:tcPr>
            <w:tcW w:type="dxa" w:w="2880"/>
          </w:tcPr>
          <w:p>
            <w:r>
              <w:t>提交时校验 base_version_hash</w:t>
            </w:r>
          </w:p>
        </w:tc>
        <w:tc>
          <w:tcPr>
            <w:tcW w:type="dxa" w:w="2880"/>
          </w:tcPr>
          <w:p>
            <w:r>
              <w:t>否（预留钩子）</w:t>
            </w:r>
          </w:p>
        </w:tc>
      </w:tr>
      <w:tr>
        <w:tc>
          <w:tcPr>
            <w:tcW w:type="dxa" w:w="2880"/>
          </w:tcPr>
          <w:p>
            <w:r>
              <w:t>C-a</w:t>
            </w:r>
          </w:p>
        </w:tc>
        <w:tc>
          <w:tcPr>
            <w:tcW w:type="dxa" w:w="2880"/>
          </w:tcPr>
          <w:p>
            <w:r>
              <w:t>提供分层状态原材料</w:t>
            </w:r>
          </w:p>
        </w:tc>
        <w:tc>
          <w:tcPr>
            <w:tcW w:type="dxa" w:w="2880"/>
          </w:tcPr>
          <w:p>
            <w:r>
              <w:t>输入假设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3.7 附图清单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图号</w:t>
            </w:r>
          </w:p>
        </w:tc>
        <w:tc>
          <w:tcPr>
            <w:tcW w:type="dxa" w:w="2880"/>
          </w:tcPr>
          <w:p>
            <w:r>
              <w:t>名称</w:t>
            </w:r>
          </w:p>
        </w:tc>
        <w:tc>
          <w:tcPr>
            <w:tcW w:type="dxa" w:w="2880"/>
          </w:tcPr>
          <w:p>
            <w:r>
              <w:t>文件</w:t>
            </w:r>
          </w:p>
        </w:tc>
      </w:tr>
      <w:tr>
        <w:tc>
          <w:tcPr>
            <w:tcW w:type="dxa" w:w="2880"/>
          </w:tcPr>
          <w:p>
            <w:r>
              <w:t>图1</w:t>
            </w:r>
          </w:p>
        </w:tc>
        <w:tc>
          <w:tcPr>
            <w:tcW w:type="dxa" w:w="2880"/>
          </w:tcPr>
          <w:p>
            <w:r>
              <w:t>内容寻址 LayerDelta 与版本 DAG 总体结构图</w:t>
            </w:r>
          </w:p>
        </w:tc>
        <w:tc>
          <w:tcPr>
            <w:tcW w:type="dxa" w:w="2880"/>
          </w:tcPr>
          <w:p>
            <w:r>
              <w:t>../附图/Cb-图1-LayerDelta与版本DAG总体结构.png</w:t>
            </w:r>
          </w:p>
        </w:tc>
      </w:tr>
      <w:tr>
        <w:tc>
          <w:tcPr>
            <w:tcW w:type="dxa" w:w="2880"/>
          </w:tcPr>
          <w:p>
            <w:r>
              <w:t>图2</w:t>
            </w:r>
          </w:p>
        </w:tc>
        <w:tc>
          <w:tcPr>
            <w:tcW w:type="dxa" w:w="2880"/>
          </w:tcPr>
          <w:p>
            <w:r>
              <w:t>LayerDelta 封装与 compose 组合流程图</w:t>
            </w:r>
          </w:p>
        </w:tc>
        <w:tc>
          <w:tcPr>
            <w:tcW w:type="dxa" w:w="2880"/>
          </w:tcPr>
          <w:p>
            <w:r>
              <w:t>../附图/Cb-图2-封装与compose流程.png</w:t>
            </w:r>
          </w:p>
        </w:tc>
      </w:tr>
      <w:tr>
        <w:tc>
          <w:tcPr>
            <w:tcW w:type="dxa" w:w="2880"/>
          </w:tcPr>
          <w:p>
            <w:r>
              <w:t>图3</w:t>
            </w:r>
          </w:p>
        </w:tc>
        <w:tc>
          <w:tcPr>
            <w:tcW w:type="dxa" w:w="2880"/>
          </w:tcPr>
          <w:p>
            <w:r>
              <w:t>LayerDelta 信封与层条目结构图</w:t>
            </w:r>
          </w:p>
        </w:tc>
        <w:tc>
          <w:tcPr>
            <w:tcW w:type="dxa" w:w="2880"/>
          </w:tcPr>
          <w:p>
            <w:r>
              <w:t>../附图/Cb-图3-LayerDelta信封结构.png</w:t>
            </w:r>
          </w:p>
        </w:tc>
      </w:tr>
      <w:tr>
        <w:tc>
          <w:tcPr>
            <w:tcW w:type="dxa" w:w="2880"/>
          </w:tcPr>
          <w:p>
            <w:r>
              <w:t>图4</w:t>
            </w:r>
          </w:p>
        </w:tc>
        <w:tc>
          <w:tcPr>
            <w:tcW w:type="dxa" w:w="2880"/>
          </w:tcPr>
          <w:p>
            <w:r>
              <w:t>版本 DAG 与 compose 纯函数组合示意图</w:t>
            </w:r>
          </w:p>
        </w:tc>
        <w:tc>
          <w:tcPr>
            <w:tcW w:type="dxa" w:w="2880"/>
          </w:tcPr>
          <w:p>
            <w:r>
              <w:t>../附图/Cb-图4-版本DAG与compose.png</w:t>
            </w:r>
          </w:p>
        </w:tc>
      </w:tr>
    </w:tbl>
    <w:p>
      <w:pPr>
        <w:pStyle w:val="Heading1"/>
      </w:pPr>
      <w:r>
        <w:rPr>
          <w:rFonts w:ascii="黑体" w:hAnsi="黑体" w:eastAsia="黑体"/>
        </w:rPr>
        <w:t>4、关键点与欲保护点</w:t>
      </w:r>
    </w:p>
    <w:p>
      <w:pPr>
        <w:pStyle w:val="Heading2"/>
      </w:pPr>
      <w:r>
        <w:rPr>
          <w:rFonts w:ascii="黑体" w:hAnsi="黑体" w:eastAsia="黑体"/>
        </w:rPr>
        <w:t>4.1 关键创新点</w:t>
      </w:r>
    </w:p>
    <w:p>
      <w:pPr>
        <w:ind w:firstLine="420"/>
      </w:pPr>
      <w:r>
        <w:rPr>
          <w:rFonts w:ascii="宋体" w:hAnsi="宋体" w:eastAsia="宋体"/>
        </w:rPr>
        <w:t>机会 A+B：内容寻址的 LayerDelta 信封进入不可变版本 DAG；多维 layer 通过 compose 纯函数组合出新版本。</w:t>
      </w:r>
    </w:p>
    <w:p>
      <w:pPr>
        <w:pStyle w:val="Heading2"/>
      </w:pPr>
      <w:r>
        <w:rPr>
          <w:rFonts w:ascii="黑体" w:hAnsi="黑体" w:eastAsia="黑体"/>
        </w:rPr>
        <w:t>4.2 建议独立权利要求</w:t>
      </w:r>
    </w:p>
    <w:p>
      <w:r>
        <w:rPr>
          <w:rFonts w:ascii="宋体" w:hAnsi="宋体" w:eastAsia="宋体"/>
          <w:b/>
        </w:rPr>
        <w:t>独权 1（封装）</w:t>
      </w:r>
    </w:p>
    <w:p>
      <w:pPr>
        <w:ind w:firstLine="420"/>
      </w:pPr>
      <w:r>
        <w:rPr>
          <w:rFonts w:ascii="宋体" w:hAnsi="宋体" w:eastAsia="宋体"/>
        </w:rPr>
        <w:t>一种内容寻址的地图增量封装方法，其特征在于：获取分地图层空间状态的局部变化；生成 LayerDelta，所述 LayerDelta 包括信封和载荷引用，所述信封包含基版本内容标识 base_version_hash、目标版本内容标识 target_version_hash（或组合后写入）、受影响层列表、坐标锚点及生产者完整性信息；对所述 LayerDelta 的规范化内容生成内容寻址标识；将所述标识对应的增量与版本节点写入不可变版本有向无环图。</w:t>
      </w:r>
    </w:p>
    <w:p>
      <w:r>
        <w:rPr>
          <w:rFonts w:ascii="宋体" w:hAnsi="宋体" w:eastAsia="宋体"/>
          <w:b/>
        </w:rPr>
        <w:t>独权 2（组合）</w:t>
      </w:r>
    </w:p>
    <w:p>
      <w:pPr>
        <w:ind w:firstLine="420"/>
      </w:pPr>
      <w:r>
        <w:rPr>
          <w:rFonts w:ascii="宋体" w:hAnsi="宋体" w:eastAsia="宋体"/>
        </w:rPr>
        <w:t>一种基于 LayerDelta 的多维地图层版本组合方法，其特征在于：获取基版本内容标识及一个或多个 LayerDelta；按依赖关系确定应用顺序；以纯函数方式将所述 LayerDelta 依次作用于基版本对应的多维层状态，得到新状态并生成新的版本内容标识；历史版本节点保持不可变；当前版本通过指针切换引用所述新版本内容标识。</w:t>
      </w:r>
    </w:p>
    <w:p>
      <w:pPr>
        <w:ind w:firstLine="420"/>
      </w:pPr>
      <w:r>
        <w:rPr>
          <w:rFonts w:ascii="宋体" w:hAnsi="宋体" w:eastAsia="宋体"/>
        </w:rPr>
        <w:t>装置/系统独权：实现上述方法的功能单元；其中所述移动自动化设备包括人形机器人、足式或轮式移动机器人、无人机、自动导引车中的至少一种。</w:t>
      </w:r>
    </w:p>
    <w:p>
      <w:pPr>
        <w:pStyle w:val="Heading2"/>
      </w:pPr>
      <w:r>
        <w:rPr>
          <w:rFonts w:ascii="黑体" w:hAnsi="黑体" w:eastAsia="黑体"/>
        </w:rPr>
        <w:t>4.3 建议从属方向</w:t>
      </w:r>
    </w:p>
    <w:p>
      <w:pPr>
        <w:ind w:firstLine="420"/>
      </w:pPr>
      <w:r>
        <w:rPr>
          <w:rFonts w:ascii="宋体" w:hAnsi="宋体" w:eastAsia="宋体"/>
        </w:rPr>
        <w:t>（1）coord_anchor 对齐后再组合；</w:t>
      </w:r>
    </w:p>
    <w:p>
      <w:pPr>
        <w:ind w:firstLine="420"/>
      </w:pPr>
      <w:r>
        <w:rPr>
          <w:rFonts w:ascii="宋体" w:hAnsi="宋体" w:eastAsia="宋体"/>
        </w:rPr>
        <w:t>（2）层条目含 confidence，同区冲突加权合并；</w:t>
      </w:r>
    </w:p>
    <w:p>
      <w:pPr>
        <w:ind w:firstLine="420"/>
      </w:pPr>
      <w:r>
        <w:rPr>
          <w:rFonts w:ascii="宋体" w:hAnsi="宋体" w:eastAsia="宋体"/>
        </w:rPr>
        <w:t>（3）change_type 包含 MERGE；</w:t>
      </w:r>
    </w:p>
    <w:p>
      <w:pPr>
        <w:ind w:firstLine="420"/>
      </w:pPr>
      <w:r>
        <w:rPr>
          <w:rFonts w:ascii="宋体" w:hAnsi="宋体" w:eastAsia="宋体"/>
        </w:rPr>
        <w:t>（4）change_type 含 EVICT 且 EVICT≠现实清除；</w:t>
      </w:r>
    </w:p>
    <w:p>
      <w:pPr>
        <w:ind w:firstLine="420"/>
      </w:pPr>
      <w:r>
        <w:rPr>
          <w:rFonts w:ascii="宋体" w:hAnsi="宋体" w:eastAsia="宋体"/>
        </w:rPr>
        <w:t>（5）deps[] 支持乱序重组；</w:t>
      </w:r>
    </w:p>
    <w:p>
      <w:pPr>
        <w:ind w:firstLine="420"/>
      </w:pPr>
      <w:r>
        <w:rPr>
          <w:rFonts w:ascii="宋体" w:hAnsi="宋体" w:eastAsia="宋体"/>
        </w:rPr>
        <w:t>（6）回滚为头指针切换；</w:t>
      </w:r>
    </w:p>
    <w:p>
      <w:pPr>
        <w:ind w:firstLine="420"/>
      </w:pPr>
      <w:r>
        <w:rPr>
          <w:rFonts w:ascii="宋体" w:hAnsi="宋体" w:eastAsia="宋体"/>
        </w:rPr>
        <w:t>（7）几何层为默认主源层；</w:t>
      </w:r>
    </w:p>
    <w:p>
      <w:pPr>
        <w:ind w:firstLine="420"/>
      </w:pPr>
      <w:r>
        <w:rPr>
          <w:rFonts w:ascii="宋体" w:hAnsi="宋体" w:eastAsia="宋体"/>
        </w:rPr>
        <w:t>（8）载荷外置 payload_ref；</w:t>
      </w:r>
    </w:p>
    <w:p>
      <w:pPr>
        <w:ind w:firstLine="420"/>
      </w:pPr>
      <w:r>
        <w:rPr>
          <w:rFonts w:ascii="宋体" w:hAnsi="宋体" w:eastAsia="宋体"/>
        </w:rPr>
        <w:t>（9）所述移动自动化设备为人形机器人、四足机器人、轮式移动机器人、无人机或自动导引车中的至少一种（实施例列举，非穷举）。</w:t>
      </w:r>
    </w:p>
    <w:p>
      <w:pPr>
        <w:pStyle w:val="Heading2"/>
      </w:pPr>
      <w:r>
        <w:rPr>
          <w:rFonts w:ascii="黑体" w:hAnsi="黑体" w:eastAsia="黑体"/>
        </w:rPr>
        <w:t>4.4 请勿写入独立权利要求硬约束</w:t>
      </w:r>
    </w:p>
    <w:p>
      <w:pPr>
        <w:pStyle w:val="ListBullet"/>
      </w:pPr>
      <w:r>
        <w:rPr>
          <w:rFonts w:ascii="宋体" w:hAnsi="宋体" w:eastAsia="宋体"/>
        </w:rPr>
        <w:t>仅「使用了哈希/Merkle」而无 LayerDelta/compose 组合；</w:t>
      </w:r>
    </w:p>
    <w:p>
      <w:pPr>
        <w:pStyle w:val="ListBullet"/>
      </w:pPr>
      <w:r>
        <w:rPr>
          <w:rFonts w:ascii="宋体" w:hAnsi="宋体" w:eastAsia="宋体"/>
        </w:rPr>
        <w:t>分层地图结构本身、购图鉴权令牌、完整世界动作模型动作闭环；</w:t>
      </w:r>
    </w:p>
    <w:p>
      <w:pPr>
        <w:pStyle w:val="ListBullet"/>
      </w:pPr>
      <w:r>
        <w:rPr>
          <w:rFonts w:ascii="宋体" w:hAnsi="宋体" w:eastAsia="宋体"/>
        </w:rPr>
        <w:t>某一哈希算法名、某一数据库产品、开源 SLAM 名称；</w:t>
      </w:r>
    </w:p>
    <w:p>
      <w:pPr>
        <w:pStyle w:val="ListBullet"/>
      </w:pPr>
      <w:r>
        <w:rPr>
          <w:rFonts w:ascii="宋体" w:hAnsi="宋体" w:eastAsia="宋体"/>
        </w:rPr>
        <w:t>多机仲裁策略细节（归 C-h）；令牌物化细节（归 C-c）。</w:t>
      </w:r>
    </w:p>
    <w:p>
      <w:pPr>
        <w:pStyle w:val="Heading1"/>
      </w:pPr>
      <w:r>
        <w:rPr>
          <w:rFonts w:ascii="黑体" w:hAnsi="黑体" w:eastAsia="黑体"/>
        </w:rPr>
        <w:t>5、替代方案</w:t>
      </w:r>
    </w:p>
    <w:p>
      <w:pPr>
        <w:ind w:firstLine="420"/>
      </w:pPr>
      <w:r>
        <w:rPr>
          <w:rFonts w:ascii="宋体" w:hAnsi="宋体" w:eastAsia="宋体"/>
        </w:rPr>
        <w:t>（1）内容摘要算法可替换；</w:t>
      </w:r>
    </w:p>
    <w:p>
      <w:pPr>
        <w:ind w:firstLine="420"/>
      </w:pPr>
      <w:r>
        <w:rPr>
          <w:rFonts w:ascii="宋体" w:hAnsi="宋体" w:eastAsia="宋体"/>
        </w:rPr>
        <w:t>（2）DAG 可物化为树 + 显式 merge 节点；</w:t>
      </w:r>
    </w:p>
    <w:p>
      <w:pPr>
        <w:ind w:firstLine="420"/>
      </w:pPr>
      <w:r>
        <w:rPr>
          <w:rFonts w:ascii="宋体" w:hAnsi="宋体" w:eastAsia="宋体"/>
        </w:rPr>
        <w:t>（3）target_version_hash 可在 compose 后回填；</w:t>
      </w:r>
    </w:p>
    <w:p>
      <w:pPr>
        <w:ind w:firstLine="420"/>
      </w:pPr>
      <w:r>
        <w:rPr>
          <w:rFonts w:ascii="宋体" w:hAnsi="宋体" w:eastAsia="宋体"/>
        </w:rPr>
        <w:t>（4）单层场景退化为仅几何层仍适用独权组织；</w:t>
      </w:r>
    </w:p>
    <w:p>
      <w:pPr>
        <w:ind w:firstLine="420"/>
      </w:pPr>
      <w:r>
        <w:rPr>
          <w:rFonts w:ascii="宋体" w:hAnsi="宋体" w:eastAsia="宋体"/>
        </w:rPr>
        <w:t>（5）与单调版本号双写兼容（映射表实施例）。</w:t>
      </w:r>
    </w:p>
    <w:p>
      <w:pPr>
        <w:pStyle w:val="Heading1"/>
      </w:pPr>
      <w:r>
        <w:rPr>
          <w:rFonts w:ascii="黑体" w:hAnsi="黑体" w:eastAsia="黑体"/>
        </w:rPr>
        <w:t>6、其他资料</w:t>
      </w:r>
    </w:p>
    <w:p>
      <w:pPr>
        <w:pStyle w:val="Heading2"/>
      </w:pPr>
      <w:r>
        <w:rPr>
          <w:rFonts w:ascii="黑体" w:hAnsi="黑体" w:eastAsia="黑体"/>
        </w:rPr>
        <w:t>6.1 申请策略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本案</w:t>
            </w:r>
          </w:p>
        </w:tc>
        <w:tc>
          <w:tcPr>
            <w:tcW w:type="dxa" w:w="4320"/>
          </w:tcPr>
          <w:p>
            <w:r>
              <w:t>C-b 核心独立案（A+B）</w:t>
            </w:r>
          </w:p>
        </w:tc>
      </w:tr>
      <w:tr>
        <w:tc>
          <w:tcPr>
            <w:tcW w:type="dxa" w:w="4320"/>
          </w:tcPr>
          <w:p>
            <w:r>
              <w:t>卫星</w:t>
            </w:r>
          </w:p>
        </w:tc>
        <w:tc>
          <w:tcPr>
            <w:tcW w:type="dxa" w:w="4320"/>
          </w:tcPr>
          <w:p>
            <w:r>
              <w:t>C-c（机会 C）、C-h（机会 D）</w:t>
            </w:r>
          </w:p>
        </w:tc>
      </w:tr>
      <w:tr>
        <w:tc>
          <w:tcPr>
            <w:tcW w:type="dxa" w:w="4320"/>
          </w:tcPr>
          <w:p>
            <w:r>
              <w:t>划界</w:t>
            </w:r>
          </w:p>
        </w:tc>
        <w:tc>
          <w:tcPr>
            <w:tcW w:type="dxa" w:w="4320"/>
          </w:tcPr>
          <w:p>
            <w:r>
              <w:t>Ca 库内组织；A3 世界存查；A4 弱网；NNG/hash 通案须特征表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6.2 术语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用语</w:t>
            </w:r>
          </w:p>
        </w:tc>
        <w:tc>
          <w:tcPr>
            <w:tcW w:type="dxa" w:w="4320"/>
          </w:tcPr>
          <w:p>
            <w:r>
              <w:t>含义</w:t>
            </w:r>
          </w:p>
        </w:tc>
      </w:tr>
      <w:tr>
        <w:tc>
          <w:tcPr>
            <w:tcW w:type="dxa" w:w="4320"/>
          </w:tcPr>
          <w:p>
            <w:r>
              <w:t>移动自动化设备</w:t>
            </w:r>
          </w:p>
        </w:tc>
        <w:tc>
          <w:tcPr>
            <w:tcW w:type="dxa" w:w="4320"/>
          </w:tcPr>
          <w:p>
            <w:r>
              <w:t>具移动能力的自动化设备；含人形/足式/轮式/履带机器人、无人机、AGV、AMR、移动操作平台等</w:t>
            </w:r>
          </w:p>
        </w:tc>
      </w:tr>
      <w:tr>
        <w:tc>
          <w:tcPr>
            <w:tcW w:type="dxa" w:w="4320"/>
          </w:tcPr>
          <w:p>
            <w:r>
              <w:t>LayerDelta</w:t>
            </w:r>
          </w:p>
        </w:tc>
        <w:tc>
          <w:tcPr>
            <w:tcW w:type="dxa" w:w="4320"/>
          </w:tcPr>
          <w:p>
            <w:r>
              <w:t>分层局部增量对象：信封 + 载荷引用</w:t>
            </w:r>
          </w:p>
        </w:tc>
      </w:tr>
      <w:tr>
        <w:tc>
          <w:tcPr>
            <w:tcW w:type="dxa" w:w="4320"/>
          </w:tcPr>
          <w:p>
            <w:r>
              <w:t>内容寻址</w:t>
            </w:r>
          </w:p>
        </w:tc>
        <w:tc>
          <w:tcPr>
            <w:tcW w:type="dxa" w:w="4320"/>
          </w:tcPr>
          <w:p>
            <w:r>
              <w:t>用内容摘要标识增量/版本节点</w:t>
            </w:r>
          </w:p>
        </w:tc>
      </w:tr>
      <w:tr>
        <w:tc>
          <w:tcPr>
            <w:tcW w:type="dxa" w:w="4320"/>
          </w:tcPr>
          <w:p>
            <w:r>
              <w:t>版本 DAG</w:t>
            </w:r>
          </w:p>
        </w:tc>
        <w:tc>
          <w:tcPr>
            <w:tcW w:type="dxa" w:w="4320"/>
          </w:tcPr>
          <w:p>
            <w:r>
              <w:t>不可变版本节点与导出边构成的有向无环图</w:t>
            </w:r>
          </w:p>
        </w:tc>
      </w:tr>
      <w:tr>
        <w:tc>
          <w:tcPr>
            <w:tcW w:type="dxa" w:w="4320"/>
          </w:tcPr>
          <w:p>
            <w:r>
              <w:t>compose</w:t>
            </w:r>
          </w:p>
        </w:tc>
        <w:tc>
          <w:tcPr>
            <w:tcW w:type="dxa" w:w="4320"/>
          </w:tcPr>
          <w:p>
            <w:r>
              <w:t>纯函数：基版本 + deltas → 新版本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6.3 同目录相关</w:t>
      </w:r>
    </w:p>
    <w:p>
      <w:pPr>
        <w:pStyle w:val="ListBullet"/>
      </w:pPr>
      <w:r>
        <w:rPr>
          <w:rFonts w:ascii="宋体" w:hAnsi="宋体" w:eastAsia="宋体"/>
        </w:rPr>
        <w:t>../叙事/C族技术交底故事.md（整链叙事；图 1～8；勿当本案独权全文）</w:t>
      </w:r>
    </w:p>
    <w:p>
      <w:pPr>
        <w:pStyle w:val="ListBullet"/>
      </w:pPr>
      <w:r>
        <w:rPr>
          <w:rFonts w:ascii="宋体" w:hAnsi="宋体" w:eastAsia="宋体"/>
        </w:rPr>
        <w:t>Cc_…AccessTicket… / Ch_…多机器人…（卫星，同目录）</w:t>
      </w:r>
    </w:p>
    <w:p>
      <w:pPr>
        <w:pStyle w:val="ListBullet"/>
      </w:pPr>
      <w:r>
        <w:rPr>
          <w:rFonts w:ascii="宋体" w:hAnsi="宋体" w:eastAsia="宋体"/>
        </w:rPr>
        <w:t>Ca_…端侧增量分层空间地图库（上游，同目录）</w:t>
      </w:r>
    </w:p>
    <w:p>
      <w:pPr>
        <w:pStyle w:val="ListBullet"/>
      </w:pPr>
      <w:r>
        <w:rPr>
          <w:rFonts w:ascii="宋体" w:hAnsi="宋体" w:eastAsia="宋体"/>
        </w:rPr>
        <w:t>../专利逻辑关系_一页讲清_C族.md</w:t>
      </w:r>
    </w:p>
    <w:p>
      <w:pPr>
        <w:pStyle w:val="Heading2"/>
      </w:pPr>
      <w:r>
        <w:rPr>
          <w:rFonts w:ascii="黑体" w:hAnsi="黑体" w:eastAsia="黑体"/>
        </w:rPr>
        <w:t>6.4 一句话</w:t>
      </w:r>
    </w:p>
    <w:p>
      <w:pPr>
        <w:ind w:firstLine="420"/>
      </w:pPr>
      <w:r>
        <w:rPr>
          <w:rFonts w:ascii="宋体" w:hAnsi="宋体" w:eastAsia="宋体"/>
        </w:rPr>
        <w:t>把移动自动化设备（含人形机器人等）多维 layer 局部变化打成内容寻址的 LayerDelta，挂进不可变版本 DAG，再用 compose 纯函数组合出新版本——分发令牌与多机抢写另案。</w:t>
      </w:r>
    </w:p>
    <w:p>
      <w:pPr>
        <w:pStyle w:val="Heading2"/>
      </w:pPr>
      <w:r>
        <w:rPr>
          <w:rFonts w:ascii="黑体" w:hAnsi="黑体" w:eastAsia="黑体"/>
        </w:rPr>
        <w:t>6.5 代理人 FTO 对表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锚点</w:t>
            </w:r>
          </w:p>
        </w:tc>
        <w:tc>
          <w:tcPr>
            <w:tcW w:type="dxa" w:w="4320"/>
          </w:tcPr>
          <w:p>
            <w:r>
              <w:t>对表点</w:t>
            </w:r>
          </w:p>
        </w:tc>
      </w:tr>
      <w:tr>
        <w:tc>
          <w:tcPr>
            <w:tcW w:type="dxa" w:w="4320"/>
          </w:tcPr>
          <w:p>
            <w:r>
              <w:t>US12140450B2（NNG）</w:t>
            </w:r>
          </w:p>
        </w:tc>
        <w:tc>
          <w:tcPr>
            <w:tcW w:type="dxa" w:w="4320"/>
          </w:tcPr>
          <w:p>
            <w:r>
              <w:t>tile/layer delta vs LayerDelta+DAG+compose</w:t>
            </w:r>
          </w:p>
        </w:tc>
      </w:tr>
      <w:tr>
        <w:tc>
          <w:tcPr>
            <w:tcW w:type="dxa" w:w="4320"/>
          </w:tcPr>
          <w:p>
            <w:r>
              <w:t>digest/hash 版本链近邻</w:t>
            </w:r>
          </w:p>
        </w:tc>
        <w:tc>
          <w:tcPr>
            <w:tcW w:type="dxa" w:w="4320"/>
          </w:tcPr>
          <w:p>
            <w:r>
              <w:t>通用哈希 vs 移动自动化设备多维信封组合</w:t>
            </w:r>
          </w:p>
        </w:tc>
      </w:tr>
      <w:tr>
        <w:tc>
          <w:tcPr>
            <w:tcW w:type="dxa" w:w="4320"/>
          </w:tcPr>
          <w:p>
            <w:r>
              <w:t>CN115454055B</w:t>
            </w:r>
          </w:p>
        </w:tc>
        <w:tc>
          <w:tcPr>
            <w:tcW w:type="dxa" w:w="4320"/>
          </w:tcPr>
          <w:p>
            <w:r>
              <w:t>库内更新 vs 增量对象与 DAG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