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发明专利技术交底书（C-c 卫星案：AccessTicket 消费契约分发）</w:t>
      </w:r>
    </w:p>
    <w:p>
      <w:pPr>
        <w:ind w:firstLine="420"/>
      </w:pPr>
      <w:r>
        <w:rPr>
          <w:rFonts w:ascii="宋体" w:hAnsi="宋体" w:eastAsia="宋体"/>
        </w:rPr>
        <w:t>尊敬的代理人：</w:t>
      </w:r>
    </w:p>
    <w:p>
      <w:pPr>
        <w:ind w:firstLine="420"/>
      </w:pPr>
      <w:r>
        <w:rPr>
          <w:rFonts w:ascii="宋体" w:hAnsi="宋体" w:eastAsia="宋体"/>
        </w:rPr>
        <w:t>以下为「AccessTicket 驱动的地图数据消费契约分发」技术交底。建议与核心案 C-b 分案或同日卫星申请；独权勿吞并 LayerDelta 封装本身。</w:t>
      </w:r>
    </w:p>
    <w:p>
      <w:pPr>
        <w:pStyle w:val="Heading1"/>
      </w:pPr>
      <w:r>
        <w:rPr>
          <w:rFonts w:ascii="黑体" w:hAnsi="黑体" w:eastAsia="黑体"/>
        </w:rPr>
        <w:t>封面信息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发明创造名称</w:t>
            </w:r>
          </w:p>
        </w:tc>
        <w:tc>
          <w:tcPr>
            <w:tcW w:type="dxa" w:w="4320"/>
          </w:tcPr>
          <w:p>
            <w:r>
              <w:t>一种基于消费契约令牌的分层地图数据分发与按需物化方法、装置及系统</w:t>
            </w:r>
          </w:p>
        </w:tc>
      </w:tr>
      <w:tr>
        <w:tc>
          <w:tcPr>
            <w:tcW w:type="dxa" w:w="4320"/>
          </w:tcPr>
          <w:p>
            <w:r>
              <w:t>备选名称</w:t>
            </w:r>
          </w:p>
        </w:tc>
        <w:tc>
          <w:tcPr>
            <w:tcW w:type="dxa" w:w="4320"/>
          </w:tcPr>
          <w:p>
            <w:r>
              <w:t>① 一种编码图层/区域/版本上限的地图访问令牌分发方法；② 一种 AccessTicket 驱动的消费者投影物化方法</w:t>
            </w:r>
          </w:p>
        </w:tc>
      </w:tr>
      <w:tr>
        <w:tc>
          <w:tcPr>
            <w:tcW w:type="dxa" w:w="4320"/>
          </w:tcPr>
          <w:p>
            <w:r>
              <w:t>发明人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上海眸深智能科技有限公司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91310110MAE92P3T6M</w:t>
            </w:r>
          </w:p>
        </w:tc>
      </w:tr>
      <w:tr>
        <w:tc>
          <w:tcPr>
            <w:tcW w:type="dxa" w:w="4320"/>
          </w:tcPr>
          <w:p>
            <w:r>
              <w:t>联系地址</w:t>
            </w:r>
          </w:p>
        </w:tc>
        <w:tc>
          <w:tcPr>
            <w:tcW w:type="dxa" w:w="4320"/>
          </w:tcPr>
          <w:p>
            <w:r>
              <w:t>上海眸深智能科技有限公司（详细地址【待补充】）</w:t>
            </w:r>
          </w:p>
        </w:tc>
      </w:tr>
      <w:tr>
        <w:tc>
          <w:tcPr>
            <w:tcW w:type="dxa" w:w="4320"/>
          </w:tcPr>
          <w:p>
            <w:r>
              <w:t>技术交底书撰写人及技术联系人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15700050433</w:t>
            </w:r>
          </w:p>
        </w:tc>
      </w:tr>
      <w:tr>
        <w:tc>
          <w:tcPr>
            <w:tcW w:type="dxa" w:w="4320"/>
          </w:tcPr>
          <w:p>
            <w:r>
              <w:t>传真</w:t>
            </w:r>
          </w:p>
        </w:tc>
        <w:tc>
          <w:tcPr>
            <w:tcW w:type="dxa" w:w="4320"/>
          </w:tcPr>
          <w:p>
            <w:r>
              <w:t>【待补充】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zengxy@moushen.ai</w:t>
            </w:r>
          </w:p>
        </w:tc>
      </w:tr>
      <w:tr>
        <w:tc>
          <w:tcPr>
            <w:tcW w:type="dxa" w:w="4320"/>
          </w:tcPr>
          <w:p>
            <w:r>
              <w:t>建议申请类型</w:t>
            </w:r>
          </w:p>
        </w:tc>
        <w:tc>
          <w:tcPr>
            <w:tcW w:type="dxa" w:w="4320"/>
          </w:tcPr>
          <w:p>
            <w:r>
              <w:t>发明（方法 + 装置/系统）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1、技术问题、目的与优点</w:t>
      </w:r>
    </w:p>
    <w:p>
      <w:pPr>
        <w:pStyle w:val="Heading2"/>
      </w:pPr>
      <w:r>
        <w:rPr>
          <w:rFonts w:ascii="黑体" w:hAnsi="黑体" w:eastAsia="黑体"/>
        </w:rPr>
        <w:t>1.1 技术问题</w:t>
      </w:r>
    </w:p>
    <w:p>
      <w:pPr>
        <w:ind w:firstLine="420"/>
      </w:pPr>
      <w:r>
        <w:rPr>
          <w:rFonts w:ascii="宋体" w:hAnsi="宋体" w:eastAsia="宋体"/>
        </w:rPr>
        <w:t>版本化多维 layer 存储（见 C-b）可服务多类消费者（本地规划、边侧模型、运维回放等），但若默认下发整库或仅做商业购图鉴权，则出现：</w:t>
      </w:r>
    </w:p>
    <w:p>
      <w:pPr>
        <w:pStyle w:val="ListNumber"/>
      </w:pPr>
      <w:r>
        <w:rPr>
          <w:rFonts w:ascii="宋体" w:hAnsi="宋体" w:eastAsia="宋体"/>
        </w:rPr>
        <w:t>消费范围过宽：无关层/区域占用带宽与算力；</w:t>
      </w:r>
    </w:p>
    <w:p>
      <w:pPr>
        <w:pStyle w:val="ListNumber"/>
      </w:pPr>
      <w:r>
        <w:rPr>
          <w:rFonts w:ascii="宋体" w:hAnsi="宋体" w:eastAsia="宋体"/>
        </w:rPr>
        <w:t>版本失控：消费者读到超出任务允许的新版本，引发时空错位；</w:t>
      </w:r>
    </w:p>
    <w:p>
      <w:pPr>
        <w:pStyle w:val="ListNumber"/>
      </w:pPr>
      <w:r>
        <w:rPr>
          <w:rFonts w:ascii="宋体" w:hAnsi="宋体" w:eastAsia="宋体"/>
        </w:rPr>
        <w:t>鉴权语义错位：购图「买了哪块商品」≠「当前任务允许消费哪些 layer、哪片区域、到哪一版、何种投递语义」。</w:t>
      </w:r>
    </w:p>
    <w:p>
      <w:pPr>
        <w:pStyle w:val="Heading2"/>
      </w:pPr>
      <w:r>
        <w:rPr>
          <w:rFonts w:ascii="黑体" w:hAnsi="黑体" w:eastAsia="黑体"/>
        </w:rPr>
        <w:t>1.2 发明目的</w:t>
      </w:r>
    </w:p>
    <w:p>
      <w:pPr>
        <w:ind w:firstLine="420"/>
      </w:pPr>
      <w:r>
        <w:rPr>
          <w:rFonts w:ascii="宋体" w:hAnsi="宋体" w:eastAsia="宋体"/>
        </w:rPr>
        <w:t>提供一种分发方法：令牌内编码 allowed_layers / allowed_regions / version_cap / qos；服务端据此对版本化多维 layer 存储做 lazy materialization，按消费者投影下发。</w:t>
      </w:r>
    </w:p>
    <w:p>
      <w:pPr>
        <w:pStyle w:val="Heading2"/>
      </w:pPr>
      <w:r>
        <w:rPr>
          <w:rFonts w:ascii="黑体" w:hAnsi="黑体" w:eastAsia="黑体"/>
        </w:rPr>
        <w:t>1.3 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技术订阅契约</w:t>
            </w:r>
          </w:p>
        </w:tc>
        <w:tc>
          <w:tcPr>
            <w:tcW w:type="dxa" w:w="4320"/>
          </w:tcPr>
          <w:p>
            <w:r>
              <w:t>令牌声明消费能力，而非仅商品购买凭证</w:t>
            </w:r>
          </w:p>
        </w:tc>
      </w:tr>
      <w:tr>
        <w:tc>
          <w:tcPr>
            <w:tcW w:type="dxa" w:w="4320"/>
          </w:tcPr>
          <w:p>
            <w:r>
              <w:t>按需物化</w:t>
            </w:r>
          </w:p>
        </w:tc>
        <w:tc>
          <w:tcPr>
            <w:tcW w:type="dxa" w:w="4320"/>
          </w:tcPr>
          <w:p>
            <w:r>
              <w:t>未请求层/区不物化，降低带宽</w:t>
            </w:r>
          </w:p>
        </w:tc>
      </w:tr>
      <w:tr>
        <w:tc>
          <w:tcPr>
            <w:tcW w:type="dxa" w:w="4320"/>
          </w:tcPr>
          <w:p>
            <w:r>
              <w:t>版本封顶</w:t>
            </w:r>
          </w:p>
        </w:tc>
        <w:tc>
          <w:tcPr>
            <w:tcW w:type="dxa" w:w="4320"/>
          </w:tcPr>
          <w:p>
            <w:r>
              <w:t>version_cap 防止读超前版本</w:t>
            </w:r>
          </w:p>
        </w:tc>
      </w:tr>
      <w:tr>
        <w:tc>
          <w:tcPr>
            <w:tcW w:type="dxa" w:w="4320"/>
          </w:tcPr>
          <w:p>
            <w:r>
              <w:t>QoS 可声明</w:t>
            </w:r>
          </w:p>
        </w:tc>
        <w:tc>
          <w:tcPr>
            <w:tcW w:type="dxa" w:w="4320"/>
          </w:tcPr>
          <w:p>
            <w:r>
              <w:t>投递语义可进令牌 claim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2、最相近方案与差异</w:t>
      </w:r>
    </w:p>
    <w:p>
      <w:r>
        <w:rPr>
          <w:rFonts w:ascii="宋体" w:hAnsi="宋体" w:eastAsia="宋体"/>
          <w:b/>
        </w:rPr>
        <w:t>（1）高德类购图令牌 + 瓦片下发</w:t>
      </w:r>
    </w:p>
    <w:p>
      <w:pPr>
        <w:ind w:firstLine="420"/>
      </w:pPr>
      <w:r>
        <w:rPr>
          <w:rFonts w:ascii="宋体" w:hAnsi="宋体" w:eastAsia="宋体"/>
        </w:rPr>
        <w:t>相近：令牌→带令牌请求→校验→下发。缺点：商业购买范围；无 layer 白名单 / version_cap / 机器人多维 layer 投影契约。</w:t>
      </w:r>
    </w:p>
    <w:p>
      <w:r>
        <w:rPr>
          <w:rFonts w:ascii="宋体" w:hAnsi="宋体" w:eastAsia="宋体"/>
          <w:b/>
        </w:rPr>
        <w:t>（2）通用 API Gateway / GIS 代理鉴权</w:t>
      </w:r>
    </w:p>
    <w:p>
      <w:pPr>
        <w:ind w:firstLine="420"/>
      </w:pPr>
      <w:r>
        <w:rPr>
          <w:rFonts w:ascii="宋体" w:hAnsi="宋体" w:eastAsia="宋体"/>
        </w:rPr>
        <w:t>相近：服务权限鉴别。缺点：与 SLAM/LayerDelta 版本流及消费者投影物化无绑定。</w:t>
      </w:r>
    </w:p>
    <w:p>
      <w:r>
        <w:rPr>
          <w:rFonts w:ascii="宋体" w:hAnsi="宋体" w:eastAsia="宋体"/>
          <w:b/>
        </w:rPr>
        <w:t>（3）仅信道加密或登录态</w:t>
      </w:r>
    </w:p>
    <w:p>
      <w:pPr>
        <w:ind w:firstLine="420"/>
      </w:pPr>
      <w:r>
        <w:rPr>
          <w:rFonts w:ascii="宋体" w:hAnsi="宋体" w:eastAsia="宋体"/>
        </w:rPr>
        <w:t>缺点：不表达空间与版本消费约束。</w:t>
      </w:r>
    </w:p>
    <w:p>
      <w:pPr>
        <w:ind w:firstLine="420"/>
      </w:pPr>
      <w:r>
        <w:rPr>
          <w:rFonts w:ascii="宋体" w:hAnsi="宋体" w:eastAsia="宋体"/>
        </w:rPr>
        <w:t>本发明差异：AccessTicket = 空间数据消费契约；绑定版本化多维 layer 存储的按需物化。</w:t>
      </w:r>
    </w:p>
    <w:p>
      <w:pPr>
        <w:pStyle w:val="Heading1"/>
      </w:pPr>
      <w:r>
        <w:rPr>
          <w:rFonts w:ascii="黑体" w:hAnsi="黑体" w:eastAsia="黑体"/>
        </w:rPr>
        <w:t>3、技术方案</w:t>
      </w:r>
    </w:p>
    <w:p>
      <w:pPr>
        <w:pStyle w:val="Heading2"/>
      </w:pPr>
      <w:r>
        <w:rPr>
          <w:rFonts w:ascii="黑体" w:hAnsi="黑体" w:eastAsia="黑体"/>
        </w:rPr>
        <w:t>3.1 总体（图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图1-AccessTicket分发总体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图1 AccessTicket 消费契约分发总体结构图</w:t>
      </w:r>
    </w:p>
    <w:p>
      <w:pPr>
        <w:ind w:firstLine="420"/>
      </w:pPr>
      <w:r>
        <w:rPr>
          <w:rFonts w:ascii="宋体" w:hAnsi="宋体" w:eastAsia="宋体"/>
        </w:rPr>
        <w:t>版本化存储（可来自 C-b）→ 契约校验与物化模块 ← 消费者出示 AccessTicket → 投影视图下发。</w:t>
      </w:r>
    </w:p>
    <w:p>
      <w:pPr>
        <w:pStyle w:val="Heading2"/>
      </w:pPr>
      <w:r>
        <w:rPr>
          <w:rFonts w:ascii="黑体" w:hAnsi="黑体" w:eastAsia="黑体"/>
        </w:rPr>
        <w:t>3.2 方法步骤（图 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图2-令牌校验与物化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图2 AccessTicket 校验与按需物化流程图</w:t>
      </w:r>
    </w:p>
    <w:p>
      <w:pPr>
        <w:ind w:firstLine="420"/>
      </w:pPr>
      <w:r>
        <w:rPr>
          <w:rFonts w:ascii="宋体" w:hAnsi="宋体" w:eastAsia="宋体"/>
        </w:rPr>
        <w:t>S1 维护或接收版本化多维 layer 存储（及可选 LayerDelta 流）。</w:t>
      </w:r>
    </w:p>
    <w:p>
      <w:pPr>
        <w:ind w:firstLine="420"/>
      </w:pPr>
      <w:r>
        <w:rPr>
          <w:rFonts w:ascii="宋体" w:hAnsi="宋体" w:eastAsia="宋体"/>
        </w:rPr>
        <w:t>S2 签发或接收 AccessTicket，令牌编码至少两项：allowed_layers、allowed_regions、version_cap、qos。</w:t>
      </w:r>
    </w:p>
    <w:p>
      <w:pPr>
        <w:ind w:firstLine="420"/>
      </w:pPr>
      <w:r>
        <w:rPr>
          <w:rFonts w:ascii="宋体" w:hAnsi="宋体" w:eastAsia="宋体"/>
        </w:rPr>
        <w:t>S3 消费者请求数据时提交令牌（及可选所需投影类型）。</w:t>
      </w:r>
    </w:p>
    <w:p>
      <w:pPr>
        <w:ind w:firstLine="420"/>
      </w:pPr>
      <w:r>
        <w:rPr>
          <w:rFonts w:ascii="宋体" w:hAnsi="宋体" w:eastAsia="宋体"/>
        </w:rPr>
        <w:t>S4 校验令牌有效性与声明范围。</w:t>
      </w:r>
    </w:p>
    <w:p>
      <w:pPr>
        <w:ind w:firstLine="420"/>
      </w:pPr>
      <w:r>
        <w:rPr>
          <w:rFonts w:ascii="宋体" w:hAnsi="宋体" w:eastAsia="宋体"/>
        </w:rPr>
        <w:t>S5 Lazy materialization：仅当请求命中时，按声明从存储选择性物化对应层/区/不超过 version_cap 的版本视图。</w:t>
      </w:r>
    </w:p>
    <w:p>
      <w:pPr>
        <w:ind w:firstLine="420"/>
      </w:pPr>
      <w:r>
        <w:rPr>
          <w:rFonts w:ascii="宋体" w:hAnsi="宋体" w:eastAsia="宋体"/>
        </w:rPr>
        <w:t>S6 按消费者投影（规划占据视图、模型条件视图等，映射可配置）下发。</w:t>
      </w:r>
    </w:p>
    <w:p>
      <w:pPr>
        <w:ind w:firstLine="420"/>
      </w:pPr>
      <w:r>
        <w:rPr>
          <w:rFonts w:ascii="宋体" w:hAnsi="宋体" w:eastAsia="宋体"/>
        </w:rPr>
        <w:t>S7 超出声明则拒绝或裁剪；QoS 影响投递保证之上位语义（细调度矩阵可另案）。</w:t>
      </w:r>
    </w:p>
    <w:p>
      <w:pPr>
        <w:pStyle w:val="Heading2"/>
      </w:pPr>
      <w:r>
        <w:rPr>
          <w:rFonts w:ascii="黑体" w:hAnsi="黑体" w:eastAsia="黑体"/>
        </w:rPr>
        <w:t>3.3 令牌声明（上位）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allowed_layers</w:t>
            </w:r>
          </w:p>
        </w:tc>
        <w:tc>
          <w:tcPr>
            <w:tcW w:type="dxa" w:w="4320"/>
          </w:tcPr>
          <w:p>
            <w:r>
              <w:t>层白名单</w:t>
            </w:r>
          </w:p>
        </w:tc>
      </w:tr>
      <w:tr>
        <w:tc>
          <w:tcPr>
            <w:tcW w:type="dxa" w:w="4320"/>
          </w:tcPr>
          <w:p>
            <w:r>
              <w:t>allowed_regions</w:t>
            </w:r>
          </w:p>
        </w:tc>
        <w:tc>
          <w:tcPr>
            <w:tcW w:type="dxa" w:w="4320"/>
          </w:tcPr>
          <w:p>
            <w:r>
              <w:t>空间区域约束</w:t>
            </w:r>
          </w:p>
        </w:tc>
      </w:tr>
      <w:tr>
        <w:tc>
          <w:tcPr>
            <w:tcW w:type="dxa" w:w="4320"/>
          </w:tcPr>
          <w:p>
            <w:r>
              <w:t>version_cap</w:t>
            </w:r>
          </w:p>
        </w:tc>
        <w:tc>
          <w:tcPr>
            <w:tcW w:type="dxa" w:w="4320"/>
          </w:tcPr>
          <w:p>
            <w:r>
              <w:t>可消费最高版本（内容标识或序号映射）</w:t>
            </w:r>
          </w:p>
        </w:tc>
      </w:tr>
      <w:tr>
        <w:tc>
          <w:tcPr>
            <w:tcW w:type="dxa" w:w="4320"/>
          </w:tcPr>
          <w:p>
            <w:r>
              <w:t>qos</w:t>
            </w:r>
          </w:p>
        </w:tc>
        <w:tc>
          <w:tcPr>
            <w:tcW w:type="dxa" w:w="4320"/>
          </w:tcPr>
          <w:p>
            <w:r>
              <w:t>投递等级（如尽力/至少一次/恰好一次之上位）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字段名示例，勿对外冻结唯一 schema。</w:t>
      </w:r>
    </w:p>
    <w:p>
      <w:pPr>
        <w:pStyle w:val="Heading2"/>
      </w:pPr>
      <w:r>
        <w:rPr>
          <w:rFonts w:ascii="黑体" w:hAnsi="黑体" w:eastAsia="黑体"/>
        </w:rPr>
        <w:t>3.4 案例</w:t>
      </w:r>
    </w:p>
    <w:p>
      <w:pPr>
        <w:ind w:firstLine="420"/>
      </w:pPr>
      <w:r>
        <w:rPr>
          <w:rFonts w:ascii="宋体" w:hAnsi="宋体" w:eastAsia="宋体"/>
        </w:rPr>
        <w:t>A：规划消费者令牌仅几何层+机体周围区域。</w:t>
      </w:r>
    </w:p>
    <w:p>
      <w:pPr>
        <w:ind w:firstLine="420"/>
      </w:pPr>
      <w:r>
        <w:rPr>
          <w:rFonts w:ascii="宋体" w:hAnsi="宋体" w:eastAsia="宋体"/>
        </w:rPr>
        <w:t>B：模型消费者令牌几何+语义、任务廊道、version_cap=任务开始时版本头。</w:t>
      </w:r>
    </w:p>
    <w:p>
      <w:pPr>
        <w:ind w:firstLine="420"/>
      </w:pPr>
      <w:r>
        <w:rPr>
          <w:rFonts w:ascii="宋体" w:hAnsi="宋体" w:eastAsia="宋体"/>
        </w:rPr>
        <w:t>C：超 cap 请求被拒，要求基于允许版本重取。</w:t>
      </w:r>
    </w:p>
    <w:p>
      <w:pPr>
        <w:pStyle w:val="Heading2"/>
      </w:pPr>
      <w:r>
        <w:rPr>
          <w:rFonts w:ascii="黑体" w:hAnsi="黑体" w:eastAsia="黑体"/>
        </w:rPr>
        <w:t>3.5 附图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</w:tr>
      <w:tr>
        <w:tc>
          <w:tcPr>
            <w:tcW w:type="dxa" w:w="2880"/>
          </w:tcPr>
          <w:p>
            <w:r>
              <w:t>图1</w:t>
            </w:r>
          </w:p>
        </w:tc>
        <w:tc>
          <w:tcPr>
            <w:tcW w:type="dxa" w:w="2880"/>
          </w:tcPr>
          <w:p>
            <w:r>
              <w:t>AccessTicket 消费契约分发总体结构图</w:t>
            </w:r>
          </w:p>
        </w:tc>
        <w:tc>
          <w:tcPr>
            <w:tcW w:type="dxa" w:w="2880"/>
          </w:tcPr>
          <w:p>
            <w:r>
              <w:t>../附图/Cc-图1-AccessTicket分发总体结构.png</w:t>
            </w:r>
          </w:p>
        </w:tc>
      </w:tr>
      <w:tr>
        <w:tc>
          <w:tcPr>
            <w:tcW w:type="dxa" w:w="2880"/>
          </w:tcPr>
          <w:p>
            <w:r>
              <w:t>图2</w:t>
            </w:r>
          </w:p>
        </w:tc>
        <w:tc>
          <w:tcPr>
            <w:tcW w:type="dxa" w:w="2880"/>
          </w:tcPr>
          <w:p>
            <w:r>
              <w:t>AccessTicket 校验与按需物化流程图</w:t>
            </w:r>
          </w:p>
        </w:tc>
        <w:tc>
          <w:tcPr>
            <w:tcW w:type="dxa" w:w="2880"/>
          </w:tcPr>
          <w:p>
            <w:r>
              <w:t>../附图/Cc-图2-令牌校验与物化流程.png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4、欲保护点</w:t>
      </w:r>
    </w:p>
    <w:p>
      <w:pPr>
        <w:pStyle w:val="Heading2"/>
      </w:pPr>
      <w:r>
        <w:rPr>
          <w:rFonts w:ascii="黑体" w:hAnsi="黑体" w:eastAsia="黑体"/>
        </w:rPr>
        <w:t>4.1 独立权利要求方向</w:t>
      </w:r>
    </w:p>
    <w:p>
      <w:pPr>
        <w:ind w:firstLine="420"/>
      </w:pPr>
      <w:r>
        <w:rPr>
          <w:rFonts w:ascii="宋体" w:hAnsi="宋体" w:eastAsia="宋体"/>
        </w:rPr>
        <w:t>一种地图数据分发方法，其特征在于：维护版本化多维地图层存储；获取消费契约令牌，所述令牌编码允许的地图层集合、空间区域约束、可消费最高版本以及服务质量等级中的至少两项；根据所述令牌从所述存储中选择性物化对应视图并下发给消费者。</w:t>
      </w:r>
    </w:p>
    <w:p>
      <w:pPr>
        <w:pStyle w:val="Heading2"/>
      </w:pPr>
      <w:r>
        <w:rPr>
          <w:rFonts w:ascii="黑体" w:hAnsi="黑体" w:eastAsia="黑体"/>
        </w:rPr>
        <w:t>4.2 从属方向</w:t>
      </w:r>
    </w:p>
    <w:p>
      <w:pPr>
        <w:ind w:firstLine="420"/>
      </w:pPr>
      <w:r>
        <w:rPr>
          <w:rFonts w:ascii="宋体" w:hAnsi="宋体" w:eastAsia="宋体"/>
        </w:rPr>
        <w:t>（1）lazy materialization：请求到达前不物化全量视图；</w:t>
      </w:r>
    </w:p>
    <w:p>
      <w:pPr>
        <w:ind w:firstLine="420"/>
      </w:pPr>
      <w:r>
        <w:rPr>
          <w:rFonts w:ascii="宋体" w:hAnsi="宋体" w:eastAsia="宋体"/>
        </w:rPr>
        <w:t>（2）按消费者类型配置投影映射；</w:t>
      </w:r>
    </w:p>
    <w:p>
      <w:pPr>
        <w:ind w:firstLine="420"/>
      </w:pPr>
      <w:r>
        <w:rPr>
          <w:rFonts w:ascii="宋体" w:hAnsi="宋体" w:eastAsia="宋体"/>
        </w:rPr>
        <w:t>（3）version_cap 绑定内容寻址版本标识（衔接 C-b）；</w:t>
      </w:r>
    </w:p>
    <w:p>
      <w:pPr>
        <w:ind w:firstLine="420"/>
      </w:pPr>
      <w:r>
        <w:rPr>
          <w:rFonts w:ascii="宋体" w:hAnsi="宋体" w:eastAsia="宋体"/>
        </w:rPr>
        <w:t>（4）qos 为尽力投递/至少一次/恰好一次之一；</w:t>
      </w:r>
    </w:p>
    <w:p>
      <w:pPr>
        <w:ind w:firstLine="420"/>
      </w:pPr>
      <w:r>
        <w:rPr>
          <w:rFonts w:ascii="宋体" w:hAnsi="宋体" w:eastAsia="宋体"/>
        </w:rPr>
        <w:t>（5）超范围拒绝并返回原因码；</w:t>
      </w:r>
    </w:p>
    <w:p>
      <w:pPr>
        <w:ind w:firstLine="420"/>
      </w:pPr>
      <w:r>
        <w:rPr>
          <w:rFonts w:ascii="宋体" w:hAnsi="宋体" w:eastAsia="宋体"/>
        </w:rPr>
        <w:t>（6）主源层可配置为默认最小白名单。</w:t>
      </w:r>
    </w:p>
    <w:p>
      <w:pPr>
        <w:pStyle w:val="Heading2"/>
      </w:pPr>
      <w:r>
        <w:rPr>
          <w:rFonts w:ascii="黑体" w:hAnsi="黑体" w:eastAsia="黑体"/>
        </w:rPr>
        <w:t>4.3 勿写入独权</w:t>
      </w:r>
    </w:p>
    <w:p>
      <w:pPr>
        <w:pStyle w:val="ListBullet"/>
      </w:pPr>
      <w:r>
        <w:rPr>
          <w:rFonts w:ascii="宋体" w:hAnsi="宋体" w:eastAsia="宋体"/>
        </w:rPr>
        <w:t>复制购图购买流程作为唯一特征；</w:t>
      </w:r>
    </w:p>
    <w:p>
      <w:pPr>
        <w:pStyle w:val="ListBullet"/>
      </w:pPr>
      <w:r>
        <w:rPr>
          <w:rFonts w:ascii="宋体" w:hAnsi="宋体" w:eastAsia="宋体"/>
        </w:rPr>
        <w:t>LayerDelta 封装/DAG/compose（归 C-b）；</w:t>
      </w:r>
    </w:p>
    <w:p>
      <w:pPr>
        <w:pStyle w:val="ListBullet"/>
      </w:pPr>
      <w:r>
        <w:rPr>
          <w:rFonts w:ascii="宋体" w:hAnsi="宋体" w:eastAsia="宋体"/>
        </w:rPr>
        <w:t>完整动作执行闭环；具体电商计费系统。</w:t>
      </w:r>
    </w:p>
    <w:p>
      <w:pPr>
        <w:pStyle w:val="Heading1"/>
      </w:pPr>
      <w:r>
        <w:rPr>
          <w:rFonts w:ascii="黑体" w:hAnsi="黑体" w:eastAsia="黑体"/>
        </w:rPr>
        <w:t>5、替代方案</w:t>
      </w:r>
    </w:p>
    <w:p>
      <w:pPr>
        <w:ind w:firstLine="420"/>
      </w:pPr>
      <w:r>
        <w:rPr>
          <w:rFonts w:ascii="宋体" w:hAnsi="宋体" w:eastAsia="宋体"/>
        </w:rPr>
        <w:t>令牌可与会话能力协商合并；物化可在端侧完成后再发子集；无 qos claim 时仍可仅用三元组 layer/region/cap。</w:t>
      </w:r>
    </w:p>
    <w:p>
      <w:pPr>
        <w:ind w:firstLine="420"/>
      </w:pPr>
      <w:r>
        <w:rPr>
          <w:rFonts w:ascii="宋体" w:hAnsi="宋体" w:eastAsia="宋体"/>
        </w:rPr>
        <w:t>整链背景见 ../叙事/C族技术交底故事.md §3.5（AccessTicket / 多消费者）。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