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发明专利技术交底书（C-h 卫星案：多机器人地图版本并发管理）</w:t>
      </w:r>
    </w:p>
    <w:p>
      <w:pPr>
        <w:ind w:firstLine="420"/>
      </w:pPr>
      <w:r>
        <w:rPr>
          <w:rFonts w:ascii="宋体" w:hAnsi="宋体" w:eastAsia="宋体"/>
        </w:rPr>
        <w:t>尊敬的代理人：</w:t>
      </w:r>
    </w:p>
    <w:p>
      <w:pPr>
        <w:ind w:firstLine="420"/>
      </w:pPr>
      <w:r>
        <w:rPr>
          <w:rFonts w:ascii="宋体" w:hAnsi="宋体" w:eastAsia="宋体"/>
        </w:rPr>
        <w:t>以下为「基于 base_version_hash 的多机器人地图版本乐观并发控制」技术交底。建议在核心案 C-b 之后或同日作卫星案；宜待双机原型证据【待补充】后强化实施例。</w:t>
      </w:r>
    </w:p>
    <w:p>
      <w:pPr>
        <w:pStyle w:val="Heading1"/>
      </w:pPr>
      <w:r>
        <w:rPr>
          <w:rFonts w:ascii="黑体" w:hAnsi="黑体" w:eastAsia="黑体"/>
        </w:rPr>
        <w:t>封面信息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发明创造名称</w:t>
            </w:r>
          </w:p>
        </w:tc>
        <w:tc>
          <w:tcPr>
            <w:tcW w:type="dxa" w:w="4320"/>
          </w:tcPr>
          <w:p>
            <w:r>
              <w:t>一种多机器人分布式地图版本乐观并发控制与冲突仲裁方法、装置及系统</w:t>
            </w:r>
          </w:p>
        </w:tc>
      </w:tr>
      <w:tr>
        <w:tc>
          <w:tcPr>
            <w:tcW w:type="dxa" w:w="4320"/>
          </w:tcPr>
          <w:p>
            <w:r>
              <w:t>备选名称</w:t>
            </w:r>
          </w:p>
        </w:tc>
        <w:tc>
          <w:tcPr>
            <w:tcW w:type="dxa" w:w="4320"/>
          </w:tcPr>
          <w:p>
            <w:r>
              <w:t>① 一种基于基版本哈希的地图增量写冲突检测方法；② 一种多机 LayerDelta 提交的版本仲裁方法</w:t>
            </w:r>
          </w:p>
        </w:tc>
      </w:tr>
      <w:tr>
        <w:tc>
          <w:tcPr>
            <w:tcW w:type="dxa" w:w="4320"/>
          </w:tcPr>
          <w:p>
            <w:r>
              <w:t>发明人</w:t>
            </w:r>
          </w:p>
        </w:tc>
        <w:tc>
          <w:tcPr>
            <w:tcW w:type="dxa" w:w="4320"/>
          </w:tcPr>
          <w:p>
            <w:r>
              <w:t>曾欣宇</w:t>
            </w:r>
          </w:p>
        </w:tc>
      </w:tr>
      <w:tr>
        <w:tc>
          <w:tcPr>
            <w:tcW w:type="dxa" w:w="4320"/>
          </w:tcPr>
          <w:p>
            <w:r>
              <w:t>申请人</w:t>
            </w:r>
          </w:p>
        </w:tc>
        <w:tc>
          <w:tcPr>
            <w:tcW w:type="dxa" w:w="4320"/>
          </w:tcPr>
          <w:p>
            <w:r>
              <w:t>上海眸深智能科技有限公司</w:t>
            </w:r>
          </w:p>
        </w:tc>
      </w:tr>
      <w:tr>
        <w:tc>
          <w:tcPr>
            <w:tcW w:type="dxa" w:w="4320"/>
          </w:tcPr>
          <w:p>
            <w:r>
              <w:t>统一社会信用代码</w:t>
            </w:r>
          </w:p>
        </w:tc>
        <w:tc>
          <w:tcPr>
            <w:tcW w:type="dxa" w:w="4320"/>
          </w:tcPr>
          <w:p>
            <w:r>
              <w:t>91310110MAE92P3T6M</w:t>
            </w:r>
          </w:p>
        </w:tc>
      </w:tr>
      <w:tr>
        <w:tc>
          <w:tcPr>
            <w:tcW w:type="dxa" w:w="4320"/>
          </w:tcPr>
          <w:p>
            <w:r>
              <w:t>联系地址</w:t>
            </w:r>
          </w:p>
        </w:tc>
        <w:tc>
          <w:tcPr>
            <w:tcW w:type="dxa" w:w="4320"/>
          </w:tcPr>
          <w:p>
            <w:r>
              <w:t>上海眸深智能科技有限公司（详细地址【待补充】）</w:t>
            </w:r>
          </w:p>
        </w:tc>
      </w:tr>
      <w:tr>
        <w:tc>
          <w:tcPr>
            <w:tcW w:type="dxa" w:w="4320"/>
          </w:tcPr>
          <w:p>
            <w:r>
              <w:t>技术交底书撰写人及技术联系人</w:t>
            </w:r>
          </w:p>
        </w:tc>
        <w:tc>
          <w:tcPr>
            <w:tcW w:type="dxa" w:w="4320"/>
          </w:tcPr>
          <w:p>
            <w:r>
              <w:t>曾欣宇</w:t>
            </w:r>
          </w:p>
        </w:tc>
      </w:tr>
      <w:tr>
        <w:tc>
          <w:tcPr>
            <w:tcW w:type="dxa" w:w="4320"/>
          </w:tcPr>
          <w:p>
            <w:r>
              <w:t>电话</w:t>
            </w:r>
          </w:p>
        </w:tc>
        <w:tc>
          <w:tcPr>
            <w:tcW w:type="dxa" w:w="4320"/>
          </w:tcPr>
          <w:p>
            <w:r>
              <w:t>15700050433</w:t>
            </w:r>
          </w:p>
        </w:tc>
      </w:tr>
      <w:tr>
        <w:tc>
          <w:tcPr>
            <w:tcW w:type="dxa" w:w="4320"/>
          </w:tcPr>
          <w:p>
            <w:r>
              <w:t>传真</w:t>
            </w:r>
          </w:p>
        </w:tc>
        <w:tc>
          <w:tcPr>
            <w:tcW w:type="dxa" w:w="4320"/>
          </w:tcPr>
          <w:p>
            <w:r>
              <w:t>【待补充】</w:t>
            </w:r>
          </w:p>
        </w:tc>
      </w:tr>
      <w:tr>
        <w:tc>
          <w:tcPr>
            <w:tcW w:type="dxa" w:w="4320"/>
          </w:tcPr>
          <w:p>
            <w:r>
              <w:t>E-MAIL</w:t>
            </w:r>
          </w:p>
        </w:tc>
        <w:tc>
          <w:tcPr>
            <w:tcW w:type="dxa" w:w="4320"/>
          </w:tcPr>
          <w:p>
            <w:r>
              <w:t>zengxy@moushen.ai</w:t>
            </w:r>
          </w:p>
        </w:tc>
      </w:tr>
      <w:tr>
        <w:tc>
          <w:tcPr>
            <w:tcW w:type="dxa" w:w="4320"/>
          </w:tcPr>
          <w:p>
            <w:r>
              <w:t>建议申请类型</w:t>
            </w:r>
          </w:p>
        </w:tc>
        <w:tc>
          <w:tcPr>
            <w:tcW w:type="dxa" w:w="4320"/>
          </w:tcPr>
          <w:p>
            <w:r>
              <w:t>发明（方法 + 装置/系统）</w:t>
            </w:r>
          </w:p>
        </w:tc>
      </w:tr>
    </w:tbl>
    <w:p>
      <w:pPr>
        <w:pStyle w:val="Heading1"/>
      </w:pPr>
      <w:r>
        <w:rPr>
          <w:rFonts w:ascii="黑体" w:hAnsi="黑体" w:eastAsia="黑体"/>
        </w:rPr>
        <w:t>1、技术问题、目的与优点</w:t>
      </w:r>
    </w:p>
    <w:p>
      <w:pPr>
        <w:pStyle w:val="Heading2"/>
      </w:pPr>
      <w:r>
        <w:rPr>
          <w:rFonts w:ascii="黑体" w:hAnsi="黑体" w:eastAsia="黑体"/>
        </w:rPr>
        <w:t>1.1 技术问题</w:t>
      </w:r>
    </w:p>
    <w:p>
      <w:pPr>
        <w:ind w:firstLine="420"/>
      </w:pPr>
      <w:r>
        <w:rPr>
          <w:rFonts w:ascii="宋体" w:hAnsi="宋体" w:eastAsia="宋体"/>
        </w:rPr>
        <w:t>多机器人同时向同一版本化地图存储提交局部增量时：</w:t>
      </w:r>
    </w:p>
    <w:p>
      <w:pPr>
        <w:pStyle w:val="ListNumber"/>
      </w:pPr>
      <w:r>
        <w:rPr>
          <w:rFonts w:ascii="宋体" w:hAnsi="宋体" w:eastAsia="宋体"/>
        </w:rPr>
        <w:t>既有多机协同建图专利多聚焦空间对齐与几何融合，缺少以 base_version_hash 为条件的版本层乐观并发控制；</w:t>
      </w:r>
    </w:p>
    <w:p>
      <w:pPr>
        <w:pStyle w:val="ListNumber"/>
      </w:pPr>
      <w:r>
        <w:rPr>
          <w:rFonts w:ascii="宋体" w:hAnsi="宋体" w:eastAsia="宋体"/>
        </w:rPr>
        <w:t>两机基于同一旧基版本写出不兼容增量时，若静默覆盖则历史不可审计；</w:t>
      </w:r>
    </w:p>
    <w:p>
      <w:pPr>
        <w:pStyle w:val="ListNumber"/>
      </w:pPr>
      <w:r>
        <w:rPr>
          <w:rFonts w:ascii="宋体" w:hAnsi="宋体" w:eastAsia="宋体"/>
        </w:rPr>
        <w:t>冲突后缺少可插拔的仲裁策略（重对齐 / 自动 MERGE / 人工或策略引擎裁决）。</w:t>
      </w:r>
    </w:p>
    <w:p>
      <w:pPr>
        <w:pStyle w:val="Heading2"/>
      </w:pPr>
      <w:r>
        <w:rPr>
          <w:rFonts w:ascii="黑体" w:hAnsi="黑体" w:eastAsia="黑体"/>
        </w:rPr>
        <w:t>1.2 发明目的</w:t>
      </w:r>
    </w:p>
    <w:p>
      <w:pPr>
        <w:ind w:firstLine="420"/>
      </w:pPr>
      <w:r>
        <w:rPr>
          <w:rFonts w:ascii="宋体" w:hAnsi="宋体" w:eastAsia="宋体"/>
        </w:rPr>
        <w:t>多个生产者并发提交 LayerDelta 至同一 versioned store；系统基于信封中的 base_version_hash 检测写冲突；冲突时触发仲裁策略；成功则 compose 出新版本节点。</w:t>
      </w:r>
    </w:p>
    <w:p>
      <w:pPr>
        <w:pStyle w:val="Heading2"/>
      </w:pPr>
      <w:r>
        <w:rPr>
          <w:rFonts w:ascii="黑体" w:hAnsi="黑体" w:eastAsia="黑体"/>
        </w:rPr>
        <w:t>1.3 优点</w:t>
      </w:r>
    </w:p>
    <w:tbl>
      <w:tblPr>
        <w:tblStyle w:val="TableGrid"/>
        <w:tblW w:type="auto" w:w="0"/>
        <w:tblLook w:firstColumn="1" w:firstRow="1" w:lastColumn="0" w:lastRow="0" w:noHBand="0" w:noVBand="1" w:val="04A0"/>
      </w:tblPr>
      <w:tblGrid>
        <w:gridCol w:w="4320"/>
        <w:gridCol w:w="4320"/>
      </w:tblGrid>
      <w:tr>
        <w:tc>
          <w:tcPr>
            <w:tcW w:type="dxa" w:w="4320"/>
          </w:tcPr>
          <w:p>
            <w:r>
              <w:t>优点</w:t>
            </w:r>
          </w:p>
        </w:tc>
        <w:tc>
          <w:tcPr>
            <w:tcW w:type="dxa" w:w="4320"/>
          </w:tcPr>
          <w:p>
            <w:r>
              <w:t>说明</w:t>
            </w:r>
          </w:p>
        </w:tc>
      </w:tr>
      <w:tr>
        <w:tc>
          <w:tcPr>
            <w:tcW w:type="dxa" w:w="4320"/>
          </w:tcPr>
          <w:p>
            <w:r>
              <w:t>乐观并发</w:t>
            </w:r>
          </w:p>
        </w:tc>
        <w:tc>
          <w:tcPr>
            <w:tcW w:type="dxa" w:w="4320"/>
          </w:tcPr>
          <w:p>
            <w:r>
              <w:t>无锁读多写少场景友好</w:t>
            </w:r>
          </w:p>
        </w:tc>
      </w:tr>
      <w:tr>
        <w:tc>
          <w:tcPr>
            <w:tcW w:type="dxa" w:w="4320"/>
          </w:tcPr>
          <w:p>
            <w:r>
              <w:t>版本条件写</w:t>
            </w:r>
          </w:p>
        </w:tc>
        <w:tc>
          <w:tcPr>
            <w:tcW w:type="dxa" w:w="4320"/>
          </w:tcPr>
          <w:p>
            <w:r>
              <w:t>基版本哈希不匹配即冲突</w:t>
            </w:r>
          </w:p>
        </w:tc>
      </w:tr>
      <w:tr>
        <w:tc>
          <w:tcPr>
            <w:tcW w:type="dxa" w:w="4320"/>
          </w:tcPr>
          <w:p>
            <w:r>
              <w:t>可审计</w:t>
            </w:r>
          </w:p>
        </w:tc>
        <w:tc>
          <w:tcPr>
            <w:tcW w:type="dxa" w:w="4320"/>
          </w:tcPr>
          <w:p>
            <w:r>
              <w:t>冲突与仲裁结果可留在 DAG</w:t>
            </w:r>
          </w:p>
        </w:tc>
      </w:tr>
      <w:tr>
        <w:tc>
          <w:tcPr>
            <w:tcW w:type="dxa" w:w="4320"/>
          </w:tcPr>
          <w:p>
            <w:r>
              <w:t>策略可替换</w:t>
            </w:r>
          </w:p>
        </w:tc>
        <w:tc>
          <w:tcPr>
            <w:tcW w:type="dxa" w:w="4320"/>
          </w:tcPr>
          <w:p>
            <w:r>
              <w:t>仲裁器可插拔</w:t>
            </w:r>
          </w:p>
        </w:tc>
      </w:tr>
    </w:tbl>
    <w:p>
      <w:pPr>
        <w:pStyle w:val="Heading1"/>
      </w:pPr>
      <w:r>
        <w:rPr>
          <w:rFonts w:ascii="黑体" w:hAnsi="黑体" w:eastAsia="黑体"/>
        </w:rPr>
        <w:t>2、最相近方案与差异</w:t>
      </w:r>
    </w:p>
    <w:p>
      <w:r>
        <w:rPr>
          <w:rFonts w:ascii="宋体" w:hAnsi="宋体" w:eastAsia="宋体"/>
          <w:b/>
        </w:rPr>
        <w:t>（1）多机增量融合 / 位姿图合并类</w:t>
      </w:r>
    </w:p>
    <w:p>
      <w:pPr>
        <w:ind w:firstLine="420"/>
      </w:pPr>
      <w:r>
        <w:rPr>
          <w:rFonts w:ascii="宋体" w:hAnsi="宋体" w:eastAsia="宋体"/>
        </w:rPr>
        <w:t>相近：局部图合并入全局。缺点：偏几何一致性，缺 base_version 条件提交与版本 OCC。</w:t>
      </w:r>
    </w:p>
    <w:p>
      <w:r>
        <w:rPr>
          <w:rFonts w:ascii="宋体" w:hAnsi="宋体" w:eastAsia="宋体"/>
          <w:b/>
        </w:rPr>
        <w:t>（2）通用分布式数据库 OCC</w:t>
      </w:r>
    </w:p>
    <w:p>
      <w:pPr>
        <w:ind w:firstLine="420"/>
      </w:pPr>
      <w:r>
        <w:rPr>
          <w:rFonts w:ascii="宋体" w:hAnsi="宋体" w:eastAsia="宋体"/>
        </w:rPr>
        <w:t>相近：版本号/哈希条件写。缺点：未绑定机器人 LayerDelta 多维 layer 与空间冲突域。</w:t>
      </w:r>
    </w:p>
    <w:p>
      <w:r>
        <w:rPr>
          <w:rFonts w:ascii="宋体" w:hAnsi="宋体" w:eastAsia="宋体"/>
          <w:b/>
        </w:rPr>
        <w:t>（3）C-b 单生产者 compose</w:t>
      </w:r>
    </w:p>
    <w:p>
      <w:pPr>
        <w:ind w:firstLine="420"/>
      </w:pPr>
      <w:r>
        <w:rPr>
          <w:rFonts w:ascii="宋体" w:hAnsi="宋体" w:eastAsia="宋体"/>
        </w:rPr>
        <w:t>相近：版本 DAG。缺点：未规定多写者冲突检测与仲裁。本案补这一层。</w:t>
      </w:r>
    </w:p>
    <w:p>
      <w:pPr>
        <w:pStyle w:val="Heading1"/>
      </w:pPr>
      <w:r>
        <w:rPr>
          <w:rFonts w:ascii="黑体" w:hAnsi="黑体" w:eastAsia="黑体"/>
        </w:rPr>
        <w:t>3、技术方案</w:t>
      </w:r>
    </w:p>
    <w:p>
      <w:pPr>
        <w:pStyle w:val="Heading2"/>
      </w:pPr>
      <w:r>
        <w:rPr>
          <w:rFonts w:ascii="黑体" w:hAnsi="黑体" w:eastAsia="黑体"/>
        </w:rPr>
        <w:t>3.1 总体（图 1）</w:t>
      </w:r>
    </w:p>
    <w:p>
      <w:pPr>
        <w:jc w:val="center"/>
      </w:pPr>
      <w:r>
        <w:drawing>
          <wp:inline xmlns:a="http://schemas.openxmlformats.org/drawingml/2006/main" xmlns:pic="http://schemas.openxmlformats.org/drawingml/2006/picture">
            <wp:extent cx="5580000" cy="2941280"/>
            <wp:docPr id="1" name="Picture 1"/>
            <wp:cNvGraphicFramePr>
              <a:graphicFrameLocks noChangeAspect="1"/>
            </wp:cNvGraphicFramePr>
            <a:graphic>
              <a:graphicData uri="http://schemas.openxmlformats.org/drawingml/2006/picture">
                <pic:pic>
                  <pic:nvPicPr>
                    <pic:cNvPr id="0" name="Ch-图1-多机并发版本管理总体结构.png"/>
                    <pic:cNvPicPr/>
                  </pic:nvPicPr>
                  <pic:blipFill>
                    <a:blip r:embed="rId9"/>
                    <a:stretch>
                      <a:fillRect/>
                    </a:stretch>
                  </pic:blipFill>
                  <pic:spPr>
                    <a:xfrm>
                      <a:off x="0" y="0"/>
                      <a:ext cx="5580000" cy="2941280"/>
                    </a:xfrm>
                    <a:prstGeom prst="rect"/>
                  </pic:spPr>
                </pic:pic>
              </a:graphicData>
            </a:graphic>
          </wp:inline>
        </w:drawing>
      </w:r>
    </w:p>
    <w:p>
      <w:pPr>
        <w:jc w:val="center"/>
      </w:pPr>
      <w:r>
        <w:rPr>
          <w:rFonts w:ascii="宋体" w:hAnsi="宋体" w:eastAsia="宋体"/>
          <w:sz w:val="21"/>
        </w:rPr>
        <w:t>图1 多机器人 LayerDelta 并发提交与版本仲裁总体结构图</w:t>
      </w:r>
    </w:p>
    <w:p>
      <w:pPr>
        <w:ind w:firstLine="420"/>
      </w:pPr>
      <w:r>
        <w:rPr>
          <w:rFonts w:ascii="宋体" w:hAnsi="宋体" w:eastAsia="宋体"/>
        </w:rPr>
        <w:t>机器人 A/B/… → 提交 LayerDelta(base_version_hash, …) → 版本存储 OCC 校验 → 通过则 compose / 冲突则仲裁器。</w:t>
      </w:r>
    </w:p>
    <w:p>
      <w:pPr>
        <w:pStyle w:val="Heading2"/>
      </w:pPr>
      <w:r>
        <w:rPr>
          <w:rFonts w:ascii="黑体" w:hAnsi="黑体" w:eastAsia="黑体"/>
        </w:rPr>
        <w:t>3.2 方法步骤（图 2）</w:t>
      </w:r>
    </w:p>
    <w:p>
      <w:pPr>
        <w:jc w:val="center"/>
      </w:pPr>
      <w:r>
        <w:drawing>
          <wp:inline xmlns:a="http://schemas.openxmlformats.org/drawingml/2006/main" xmlns:pic="http://schemas.openxmlformats.org/drawingml/2006/picture">
            <wp:extent cx="5580000" cy="4357980"/>
            <wp:docPr id="2" name="Picture 2"/>
            <wp:cNvGraphicFramePr>
              <a:graphicFrameLocks noChangeAspect="1"/>
            </wp:cNvGraphicFramePr>
            <a:graphic>
              <a:graphicData uri="http://schemas.openxmlformats.org/drawingml/2006/picture">
                <pic:pic>
                  <pic:nvPicPr>
                    <pic:cNvPr id="0" name="Ch-图2-OCC与冲突仲裁流程.png"/>
                    <pic:cNvPicPr/>
                  </pic:nvPicPr>
                  <pic:blipFill>
                    <a:blip r:embed="rId10"/>
                    <a:stretch>
                      <a:fillRect/>
                    </a:stretch>
                  </pic:blipFill>
                  <pic:spPr>
                    <a:xfrm>
                      <a:off x="0" y="0"/>
                      <a:ext cx="5580000" cy="4357980"/>
                    </a:xfrm>
                    <a:prstGeom prst="rect"/>
                  </pic:spPr>
                </pic:pic>
              </a:graphicData>
            </a:graphic>
          </wp:inline>
        </w:drawing>
      </w:r>
    </w:p>
    <w:p>
      <w:pPr>
        <w:jc w:val="center"/>
      </w:pPr>
      <w:r>
        <w:rPr>
          <w:rFonts w:ascii="宋体" w:hAnsi="宋体" w:eastAsia="宋体"/>
          <w:sz w:val="21"/>
        </w:rPr>
        <w:t>图2 基于 base_version_hash 的乐观并发控制流程图</w:t>
      </w:r>
    </w:p>
    <w:p>
      <w:pPr>
        <w:ind w:firstLine="420"/>
      </w:pPr>
      <w:r>
        <w:rPr>
          <w:rFonts w:ascii="宋体" w:hAnsi="宋体" w:eastAsia="宋体"/>
        </w:rPr>
        <w:t>S1 各机器人基于本地观测的当前头版本 H 生成 LayerDelta，信封填 base_version_hash = H。</w:t>
      </w:r>
    </w:p>
    <w:p>
      <w:pPr>
        <w:ind w:firstLine="420"/>
      </w:pPr>
      <w:r>
        <w:rPr>
          <w:rFonts w:ascii="宋体" w:hAnsi="宋体" w:eastAsia="宋体"/>
        </w:rPr>
        <w:t>S2 提交至共享 versioned store（或选举出的合并节点）。</w:t>
      </w:r>
    </w:p>
    <w:p>
      <w:pPr>
        <w:ind w:firstLine="420"/>
      </w:pPr>
      <w:r>
        <w:rPr>
          <w:rFonts w:ascii="宋体" w:hAnsi="宋体" w:eastAsia="宋体"/>
        </w:rPr>
        <w:t>S3 OCC 校验：若存储当前可提交基版本仍等于声明的 base_version_hash（或属于允许的快进集合，实施例），则接受。</w:t>
      </w:r>
    </w:p>
    <w:p>
      <w:pPr>
        <w:ind w:firstLine="420"/>
      </w:pPr>
      <w:r>
        <w:rPr>
          <w:rFonts w:ascii="宋体" w:hAnsi="宋体" w:eastAsia="宋体"/>
        </w:rPr>
        <w:t>S4 接受后执行 C-b 之 compose，生成新 target_version_hash，推进头指针。</w:t>
      </w:r>
    </w:p>
    <w:p>
      <w:pPr>
        <w:ind w:firstLine="420"/>
      </w:pPr>
      <w:r>
        <w:rPr>
          <w:rFonts w:ascii="宋体" w:hAnsi="宋体" w:eastAsia="宋体"/>
        </w:rPr>
        <w:t>S5 若校验失败 → 写冲突：拒绝静默覆盖。</w:t>
      </w:r>
    </w:p>
    <w:p>
      <w:pPr>
        <w:ind w:firstLine="420"/>
      </w:pPr>
      <w:r>
        <w:rPr>
          <w:rFonts w:ascii="宋体" w:hAnsi="宋体" w:eastAsia="宋体"/>
        </w:rPr>
        <w:t>S6 触发冲突仲裁策略（从属可配置），例如：</w:t>
      </w:r>
    </w:p>
    <w:p>
      <w:pPr>
        <w:pStyle w:val="ListBullet"/>
      </w:pPr>
      <w:r>
        <w:rPr>
          <w:rFonts w:ascii="宋体" w:hAnsi="宋体" w:eastAsia="宋体"/>
        </w:rPr>
        <w:t>基于 coord_anchor 的重对齐后重生 delta；</w:t>
      </w:r>
    </w:p>
    <w:p>
      <w:pPr>
        <w:pStyle w:val="ListBullet"/>
      </w:pPr>
      <w:r>
        <w:rPr>
          <w:rFonts w:ascii="宋体" w:hAnsi="宋体" w:eastAsia="宋体"/>
        </w:rPr>
        <w:t>自动生成 MERGE 类 LayerDelta（可接 confidence）；</w:t>
      </w:r>
    </w:p>
    <w:p>
      <w:pPr>
        <w:pStyle w:val="ListBullet"/>
      </w:pPr>
      <w:r>
        <w:rPr>
          <w:rFonts w:ascii="宋体" w:hAnsi="宋体" w:eastAsia="宋体"/>
        </w:rPr>
        <w:t>策略引擎/人工队列裁决；</w:t>
      </w:r>
    </w:p>
    <w:p>
      <w:pPr>
        <w:pStyle w:val="ListBullet"/>
      </w:pPr>
      <w:r>
        <w:rPr>
          <w:rFonts w:ascii="宋体" w:hAnsi="宋体" w:eastAsia="宋体"/>
        </w:rPr>
        <w:t>（可选实施例）语义辅助仲裁——勿写死某一大模型为唯一手段。</w:t>
      </w:r>
    </w:p>
    <w:p>
      <w:pPr>
        <w:ind w:firstLine="420"/>
      </w:pPr>
      <w:r>
        <w:rPr>
          <w:rFonts w:ascii="宋体" w:hAnsi="宋体" w:eastAsia="宋体"/>
        </w:rPr>
        <w:t>S7 仲裁产物作为新的 LayerDelta 再走 S3–S4；失败则回传冲突给生产者退避重试。</w:t>
      </w:r>
    </w:p>
    <w:p>
      <w:pPr>
        <w:pStyle w:val="Heading2"/>
      </w:pPr>
      <w:r>
        <w:rPr>
          <w:rFonts w:ascii="黑体" w:hAnsi="黑体" w:eastAsia="黑体"/>
        </w:rPr>
        <w:t>3.3 冲突域（优选）</w:t>
      </w:r>
    </w:p>
    <w:p>
      <w:pPr>
        <w:ind w:firstLine="420"/>
      </w:pPr>
      <w:r>
        <w:rPr>
          <w:rFonts w:ascii="宋体" w:hAnsi="宋体" w:eastAsia="宋体"/>
        </w:rPr>
        <w:t>除版本哈希外，可叠加空间冲突域：affected_layers × region 相交才判冲突（降低假冲突）；版本哈希仍为必要条件。</w:t>
      </w:r>
    </w:p>
    <w:p>
      <w:pPr>
        <w:pStyle w:val="Heading2"/>
      </w:pPr>
      <w:r>
        <w:rPr>
          <w:rFonts w:ascii="黑体" w:hAnsi="黑体" w:eastAsia="黑体"/>
        </w:rPr>
        <w:t>3.4 案例</w:t>
      </w:r>
    </w:p>
    <w:p>
      <w:pPr>
        <w:ind w:firstLine="420"/>
      </w:pPr>
      <w:r>
        <w:rPr>
          <w:rFonts w:ascii="宋体" w:hAnsi="宋体" w:eastAsia="宋体"/>
        </w:rPr>
        <w:t>A：两机同读版本 V1，先后提交；后者 base≠当前头 → 冲突 → 后者 rebase 到 V2 后重提。</w:t>
      </w:r>
    </w:p>
    <w:p>
      <w:pPr>
        <w:ind w:firstLine="420"/>
      </w:pPr>
      <w:r>
        <w:rPr>
          <w:rFonts w:ascii="宋体" w:hAnsi="宋体" w:eastAsia="宋体"/>
        </w:rPr>
        <w:t>B：同区几何冲突 → 仲裁生成 MERGE delta → 新版本 V3。</w:t>
      </w:r>
    </w:p>
    <w:p>
      <w:pPr>
        <w:ind w:firstLine="420"/>
      </w:pPr>
      <w:r>
        <w:rPr>
          <w:rFonts w:ascii="宋体" w:hAnsi="宋体" w:eastAsia="宋体"/>
        </w:rPr>
        <w:t>C：无相交区域的并行提交可并发接受（若策略允许）。</w:t>
      </w:r>
    </w:p>
    <w:p>
      <w:pPr>
        <w:pStyle w:val="Heading2"/>
      </w:pPr>
      <w:r>
        <w:rPr>
          <w:rFonts w:ascii="黑体" w:hAnsi="黑体" w:eastAsia="黑体"/>
        </w:rPr>
        <w:t>3.5 附图</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名称</w:t>
            </w:r>
          </w:p>
        </w:tc>
        <w:tc>
          <w:tcPr>
            <w:tcW w:type="dxa" w:w="2880"/>
          </w:tcPr>
          <w:p>
            <w:r>
              <w:t>文件</w:t>
            </w:r>
          </w:p>
        </w:tc>
      </w:tr>
      <w:tr>
        <w:tc>
          <w:tcPr>
            <w:tcW w:type="dxa" w:w="2880"/>
          </w:tcPr>
          <w:p>
            <w:r>
              <w:t>图1</w:t>
            </w:r>
          </w:p>
        </w:tc>
        <w:tc>
          <w:tcPr>
            <w:tcW w:type="dxa" w:w="2880"/>
          </w:tcPr>
          <w:p>
            <w:r>
              <w:t>多机器人并发提交与版本仲裁总体结构图</w:t>
            </w:r>
          </w:p>
        </w:tc>
        <w:tc>
          <w:tcPr>
            <w:tcW w:type="dxa" w:w="2880"/>
          </w:tcPr>
          <w:p>
            <w:r>
              <w:t>../附图/Ch-图1-多机并发版本管理总体结构.png</w:t>
            </w:r>
          </w:p>
        </w:tc>
      </w:tr>
      <w:tr>
        <w:tc>
          <w:tcPr>
            <w:tcW w:type="dxa" w:w="2880"/>
          </w:tcPr>
          <w:p>
            <w:r>
              <w:t>图2</w:t>
            </w:r>
          </w:p>
        </w:tc>
        <w:tc>
          <w:tcPr>
            <w:tcW w:type="dxa" w:w="2880"/>
          </w:tcPr>
          <w:p>
            <w:r>
              <w:t>基于 base_version_hash 的 OCC 流程图</w:t>
            </w:r>
          </w:p>
        </w:tc>
        <w:tc>
          <w:tcPr>
            <w:tcW w:type="dxa" w:w="2880"/>
          </w:tcPr>
          <w:p>
            <w:r>
              <w:t>../附图/Ch-图2-OCC与冲突仲裁流程.png</w:t>
            </w:r>
          </w:p>
        </w:tc>
      </w:tr>
    </w:tbl>
    <w:p>
      <w:pPr>
        <w:pStyle w:val="Heading1"/>
      </w:pPr>
      <w:r>
        <w:rPr>
          <w:rFonts w:ascii="黑体" w:hAnsi="黑体" w:eastAsia="黑体"/>
        </w:rPr>
        <w:t>4、欲保护点</w:t>
      </w:r>
    </w:p>
    <w:p>
      <w:pPr>
        <w:pStyle w:val="Heading2"/>
      </w:pPr>
      <w:r>
        <w:rPr>
          <w:rFonts w:ascii="黑体" w:hAnsi="黑体" w:eastAsia="黑体"/>
        </w:rPr>
        <w:t>4.1 独立权利要求方向</w:t>
      </w:r>
    </w:p>
    <w:p>
      <w:pPr>
        <w:ind w:firstLine="420"/>
      </w:pPr>
      <w:r>
        <w:rPr>
          <w:rFonts w:ascii="宋体" w:hAnsi="宋体" w:eastAsia="宋体"/>
        </w:rPr>
        <w:t>一种分布式地图版本管理方法，其特征在于：多个生产者并发提交分层地图增量至同一版本化存储，所述增量声明基版本内容标识；存储侧在提交时校验所述基版本内容标识与当前可提交版本是否一致；一致则将增量纯函数组合为新版本内容标识并更新当前版本引用；不一致则判定写冲突并触发冲突仲裁，禁止未仲裁的静默覆盖。</w:t>
      </w:r>
    </w:p>
    <w:p>
      <w:pPr>
        <w:pStyle w:val="Heading2"/>
      </w:pPr>
      <w:r>
        <w:rPr>
          <w:rFonts w:ascii="黑体" w:hAnsi="黑体" w:eastAsia="黑体"/>
        </w:rPr>
        <w:t>4.2 从属方向</w:t>
      </w:r>
    </w:p>
    <w:p>
      <w:pPr>
        <w:ind w:firstLine="420"/>
      </w:pPr>
      <w:r>
        <w:rPr>
          <w:rFonts w:ascii="宋体" w:hAnsi="宋体" w:eastAsia="宋体"/>
        </w:rPr>
        <w:t>（1）冲突域为层标识与空间区域的笛卡尔相关判定；</w:t>
      </w:r>
    </w:p>
    <w:p>
      <w:pPr>
        <w:ind w:firstLine="420"/>
      </w:pPr>
      <w:r>
        <w:rPr>
          <w:rFonts w:ascii="宋体" w:hAnsi="宋体" w:eastAsia="宋体"/>
        </w:rPr>
        <w:t>（2）仲裁包括 rebase 重对齐、生成 MERGE 增量、人工/策略引擎裁决之一；</w:t>
      </w:r>
    </w:p>
    <w:p>
      <w:pPr>
        <w:ind w:firstLine="420"/>
      </w:pPr>
      <w:r>
        <w:rPr>
          <w:rFonts w:ascii="宋体" w:hAnsi="宋体" w:eastAsia="宋体"/>
        </w:rPr>
        <w:t>（3）仲裁结果写入版本 DAG 可审计；</w:t>
      </w:r>
    </w:p>
    <w:p>
      <w:pPr>
        <w:ind w:firstLine="420"/>
      </w:pPr>
      <w:r>
        <w:rPr>
          <w:rFonts w:ascii="宋体" w:hAnsi="宋体" w:eastAsia="宋体"/>
        </w:rPr>
        <w:t>（4）衔接 LayerDelta 信封字段（C-b）；</w:t>
      </w:r>
    </w:p>
    <w:p>
      <w:pPr>
        <w:ind w:firstLine="420"/>
      </w:pPr>
      <w:r>
        <w:rPr>
          <w:rFonts w:ascii="宋体" w:hAnsi="宋体" w:eastAsia="宋体"/>
        </w:rPr>
        <w:t>（5）生产者指数退避重试；</w:t>
      </w:r>
    </w:p>
    <w:p>
      <w:pPr>
        <w:ind w:firstLine="420"/>
      </w:pPr>
      <w:r>
        <w:rPr>
          <w:rFonts w:ascii="宋体" w:hAnsi="宋体" w:eastAsia="宋体"/>
        </w:rPr>
        <w:t>（6）（可选）连续-离散图模型用于异常回环剔除——仅从属/实施例，不绑死 SDP 专有解法名称。</w:t>
      </w:r>
    </w:p>
    <w:p>
      <w:pPr>
        <w:pStyle w:val="Heading2"/>
      </w:pPr>
      <w:r>
        <w:rPr>
          <w:rFonts w:ascii="黑体" w:hAnsi="黑体" w:eastAsia="黑体"/>
        </w:rPr>
        <w:t>4.3 勿写入独权</w:t>
      </w:r>
    </w:p>
    <w:p>
      <w:pPr>
        <w:pStyle w:val="ListBullet"/>
      </w:pPr>
      <w:r>
        <w:rPr>
          <w:rFonts w:ascii="宋体" w:hAnsi="宋体" w:eastAsia="宋体"/>
        </w:rPr>
        <w:t>多机几何融合/特征匹配算法本身；</w:t>
      </w:r>
    </w:p>
    <w:p>
      <w:pPr>
        <w:pStyle w:val="ListBullet"/>
      </w:pPr>
      <w:r>
        <w:rPr>
          <w:rFonts w:ascii="宋体" w:hAnsi="宋体" w:eastAsia="宋体"/>
        </w:rPr>
        <w:t>LayerDelta 封装细节独吞（归 C-b）；</w:t>
      </w:r>
    </w:p>
    <w:p>
      <w:pPr>
        <w:pStyle w:val="ListBullet"/>
      </w:pPr>
      <w:r>
        <w:rPr>
          <w:rFonts w:ascii="宋体" w:hAnsi="宋体" w:eastAsia="宋体"/>
        </w:rPr>
        <w:t>AccessTicket（归 C-c）；</w:t>
      </w:r>
    </w:p>
    <w:p>
      <w:pPr>
        <w:pStyle w:val="ListBullet"/>
      </w:pPr>
      <w:r>
        <w:rPr>
          <w:rFonts w:ascii="宋体" w:hAnsi="宋体" w:eastAsia="宋体"/>
        </w:rPr>
        <w:t>某一 LLM 厂商 API 为唯一仲裁器。</w:t>
      </w:r>
    </w:p>
    <w:p>
      <w:pPr>
        <w:pStyle w:val="Heading1"/>
      </w:pPr>
      <w:r>
        <w:rPr>
          <w:rFonts w:ascii="黑体" w:hAnsi="黑体" w:eastAsia="黑体"/>
        </w:rPr>
        <w:t>5、替代方案</w:t>
      </w:r>
    </w:p>
    <w:p>
      <w:pPr>
        <w:ind w:firstLine="420"/>
      </w:pPr>
      <w:r>
        <w:rPr>
          <w:rFonts w:ascii="宋体" w:hAnsi="宋体" w:eastAsia="宋体"/>
        </w:rPr>
        <w:t>悲观锁分区写；CRDT 式层合并；中心化序列化提交队列——均可作对照实施例，本案优选 OCC + 可插拔仲裁。</w:t>
      </w:r>
    </w:p>
    <w:p>
      <w:pPr>
        <w:ind w:firstLine="420"/>
      </w:pPr>
      <w:r>
        <w:rPr>
          <w:rFonts w:ascii="宋体" w:hAnsi="宋体" w:eastAsia="宋体"/>
        </w:rPr>
        <w:t>整链背景见 ../叙事/C族技术交底故事.md §6.1（C-h 卫星）。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