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My Conclusion(Code &amp; More details in the jupyter file submitted):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Although the highest risk, </w:t>
      </w:r>
      <w:r>
        <w:rPr>
          <w:rFonts w:hint="default"/>
          <w:b/>
          <w:bCs/>
          <w:highlight w:val="yellow"/>
          <w:lang w:val="en-US"/>
        </w:rPr>
        <w:t xml:space="preserve">NASDAQ100 </w:t>
      </w:r>
      <w:r>
        <w:rPr>
          <w:rFonts w:hint="default"/>
          <w:lang w:val="en-US"/>
        </w:rPr>
        <w:t>has highest profit-potential and return.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b/>
          <w:bCs/>
          <w:highlight w:val="yellow"/>
          <w:lang w:val="en-US"/>
        </w:rPr>
        <w:t xml:space="preserve">HSI </w:t>
      </w:r>
      <w:r>
        <w:rPr>
          <w:rFonts w:hint="default"/>
          <w:lang w:val="en-US"/>
        </w:rPr>
        <w:t>has high risk and low(negative) period return according to many measurements, but its profit-potential is high.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NASDAQ100, BSE30, SMI20 and STI always be one of the </w:t>
      </w:r>
      <w:r>
        <w:rPr>
          <w:rFonts w:hint="default"/>
          <w:b/>
          <w:bCs/>
          <w:highlight w:val="yellow"/>
          <w:lang w:val="en-US"/>
        </w:rPr>
        <w:t>‘skyline’ point</w:t>
      </w:r>
      <w:r>
        <w:rPr>
          <w:rFonts w:hint="default"/>
          <w:b w:val="0"/>
          <w:bCs w:val="0"/>
          <w:highlight w:val="none"/>
          <w:lang w:val="en-US"/>
        </w:rPr>
        <w:t>, with relatively high return or/and low risk</w:t>
      </w:r>
      <w:r>
        <w:rPr>
          <w:rFonts w:hint="default"/>
          <w:lang w:val="en-US"/>
        </w:rPr>
        <w:t>.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Although Indices have similar trends, some(like NASDAQ100, CHINA50 and BSE30) can appear some trends days earlier, which may be an indicator for bull and bear market.</w:t>
      </w:r>
    </w:p>
    <w:p>
      <w:pPr>
        <w:numPr>
          <w:ilvl w:val="0"/>
          <w:numId w:val="1"/>
        </w:numPr>
        <w:rPr>
          <w:rFonts w:hint="default"/>
          <w:color w:val="FF0000"/>
          <w:highlight w:val="yellow"/>
          <w:lang w:val="en-US"/>
        </w:rPr>
      </w:pPr>
      <w:r>
        <w:rPr>
          <w:rFonts w:hint="default"/>
          <w:color w:val="FF0000"/>
          <w:highlight w:val="yellow"/>
          <w:lang w:val="en-US"/>
        </w:rPr>
        <w:t xml:space="preserve">Amazingly, </w:t>
      </w:r>
      <w:r>
        <w:rPr>
          <w:rFonts w:hint="default"/>
          <w:b/>
          <w:bCs/>
          <w:color w:val="FF0000"/>
          <w:highlight w:val="yellow"/>
          <w:lang w:val="en-US"/>
        </w:rPr>
        <w:t xml:space="preserve">CHINA50 </w:t>
      </w:r>
      <w:r>
        <w:rPr>
          <w:rFonts w:hint="default"/>
          <w:color w:val="FF0000"/>
          <w:highlight w:val="yellow"/>
          <w:lang w:val="en-US"/>
        </w:rPr>
        <w:t xml:space="preserve">has </w:t>
      </w:r>
      <w:r>
        <w:rPr>
          <w:rFonts w:hint="default"/>
          <w:b/>
          <w:bCs/>
          <w:color w:val="FF0000"/>
          <w:highlight w:val="yellow"/>
          <w:lang w:val="en-US"/>
        </w:rPr>
        <w:t>100%</w:t>
      </w:r>
      <w:r>
        <w:rPr>
          <w:rFonts w:hint="default"/>
          <w:color w:val="FF0000"/>
          <w:highlight w:val="yellow"/>
          <w:lang w:val="en-US"/>
        </w:rPr>
        <w:t xml:space="preserve"> possibility that an upward overshoot will appear when a directional change with threshold 5% appears! Great opportunities to make fortune by buy-in when upward DC(th=0.05) observed! Although the averaged overshoots gain(AOV) is not the highest, the multiplication of ratio(upward DC has an overshoot follows) and AOV is the highest and far-ahead!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When an overshoot appears, </w:t>
      </w:r>
      <w:r>
        <w:rPr>
          <w:rFonts w:hint="default"/>
          <w:b/>
          <w:bCs/>
          <w:highlight w:val="yellow"/>
          <w:lang w:val="en-US"/>
        </w:rPr>
        <w:t xml:space="preserve">NASDAQ100 </w:t>
      </w:r>
      <w:r>
        <w:rPr>
          <w:rFonts w:hint="default"/>
          <w:lang w:val="en-US"/>
        </w:rPr>
        <w:t>tend to have the highest reboost!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Figures: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852160" cy="3641090"/>
            <wp:effectExtent l="0" t="0" r="0" b="1270"/>
            <wp:docPr id="3" name="Picture 3" descr="DailyClosing&amp;DirectionChan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ailyClosing&amp;DirectionChange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852160" cy="3702685"/>
            <wp:effectExtent l="0" t="0" r="0" b="635"/>
            <wp:docPr id="4" name="Picture 4" descr="RiskMeasures&amp;PeriodRetu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iskMeasures&amp;PeriodRetur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[1] Glattfelder, J. B., A. Dupuis, and R. B. Olsen. "Patterns in high-frequency FX data: Discovery of 12 empirical scaling laws." arXiv preprint arXiv:0809.1040 (2008).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200A14B" w:usb2="08000828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9FB74F"/>
    <w:multiLevelType w:val="singleLevel"/>
    <w:tmpl w:val="F69FB74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5A4CEA"/>
    <w:rsid w:val="5E5A4CEA"/>
    <w:rsid w:val="7BDC0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2024-04-22T03:16:00Z</dcterms:created>
  <dc:creator>。。。。</dc:creator>
  <cp:lastModifiedBy>。。。。</cp:lastModifiedBy>
  <dcterms:modified xsi:type="dcterms:W3CDTF">2024-04-22T04:24:19Z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