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A股 735 指标与八卦过滤策略回测总结报告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生成时间：2026-07-19 19:39  |  项目：wtpy-master / wtpy.apps.astock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一、报告目的与范围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本报告汇总在 wtpy A股扩展模块中，围绕「735金叉及趋势」指标与「八卦OHLC卦爻」结合使用的回测与研究发现，供后续整改与研究决策参考。报告内容基于本地通达信导入数据与系统纯 Python 组合回测引擎，不构成投资建议。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覆盖范围包括：纯735近全市场日线正式回测；周线/月线正式回测；八卦条件研究；735+统计Top卦爻过滤；735+用户指定卦爻白名单过滤；交易明细导出说明。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二、回测环境与统一规则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1. 数据：本地 storage/astock，股票池约5160只（复权因子 complete 子集；全局目录约5217）。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2. 主区间：2023-07-19 至 2026-07-17（本地行情末日约7月17日，非7月19日）。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3. 指标：tn6_735金叉及趋势（用户已确认 formula，paired_confirmed）。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4. 成交：信号日后下一交易日开盘买入；示例交易成本（佣金/印花税等，非真实券商费率）。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5. 持仓与风控（日线主方案）：hold=5，止损3%，止盈8%，冲突时 stop_first；单账户初始约100万，单票权重上限约10%。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6. 价格：正式路径 adjusted（复权）；八卦定卦使用未复权 OHLC。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7. 八卦定位：系统默认不把古文直接变成买卖信号；结合实验中八卦仅作「735信号的二次过滤标签」。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三、主要产物目录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outputs/astock/pool_all_735_day_3y_formal_v1 — 近全市场日线纯735正式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outputs/astock/pool_all_735_week_3y_formal_v1 — 周线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outputs/astock/pool_all_735_month_3y_formal_v1 — 月线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outputs/astock/pool_all_bagua_*_3y_study_v1 — 八卦条件研究（日/周/月）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outputs/astock/pool_all_735_day_3y_bagua_filter_compare_v1 — 统计Top过滤对照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outputs/astock/pool_all_735_day_3y_bagua_user_allow_v1 — 用户卦爻白名单对照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outputs/astock/735_八卦过滤交易明细_用户白名单.xlsx — 本报告配套明细Excel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四、纯735回测核心发现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4.1 日线近全市场（正式）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含示例成本总收益约 -35.3%，最大回撤约 -42.4%，买入约4.26万次，metrics胜率约38.3%。不计成本对照约 +50.8%。说明：信号极多、换手极高时，示例费用可把无成本正收益打成含成本大亏。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4.2 周线 / 月线近全市场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周线含成本约 -19.3%，月线约 -19.7%。交易显著少于日线，但含成本仍为负；月线不计成本亦偏弱。周期不可与日线简单横比。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4.3 小池与全市场差异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10只股票日线样例曾录得正收益量级（formal_v2 约+15%），不能外推为全市场同规则结果。全市场单账户拥挤、拒单与费用结构会显著压低净值。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五、八卦单独研究的发现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八卦 bagua-study 对每根K线定卦爻并统计后续1/3/5期路径，不是组合交易回测。主要发现：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多数分组中长期平均收益为正，强烈像样本期市场整体偏多（漂移），不能解释为「选卦即有效」。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日线组间差异很小，胜率长期约47%上下；跨日/周/月「好卦」排行重叠低，稳定性差。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结论：八卦适合作为标签/研究辅助，不宜单独作为交易主策略。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六、735 + 八卦结合实验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6.1 统计Top卦爻过滤（自动挖掘）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用日线八卦研究h5相对靠前的卦爻过滤735：Top8/Top20含成本约 -12%/-11%，胜率约41%～42%。改善主要来自少交易降成本；不计成本收益低于纯735，说明并非精准选出更强信号。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6.2 用户业务白名单（看具体卦+爻）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按用户整理的「复初九、升初六、泰初九」等名单过滤，结果如下（日线、同区间同规则）：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t>方案</w:t>
            </w:r>
          </w:p>
        </w:tc>
        <w:tc>
          <w:tcPr>
            <w:tcW w:type="dxa" w:w="1568"/>
          </w:tcPr>
          <w:p>
            <w:r>
              <w:t>放行率</w:t>
            </w:r>
          </w:p>
        </w:tc>
        <w:tc>
          <w:tcPr>
            <w:tcW w:type="dxa" w:w="1568"/>
          </w:tcPr>
          <w:p>
            <w:r>
              <w:t>含成本收益</w:t>
            </w:r>
          </w:p>
        </w:tc>
        <w:tc>
          <w:tcPr>
            <w:tcW w:type="dxa" w:w="1568"/>
          </w:tcPr>
          <w:p>
            <w:r>
              <w:t>不计成本</w:t>
            </w:r>
          </w:p>
        </w:tc>
        <w:tc>
          <w:tcPr>
            <w:tcW w:type="dxa" w:w="1568"/>
          </w:tcPr>
          <w:p>
            <w:r>
              <w:t>metrics胜率</w:t>
            </w:r>
          </w:p>
        </w:tc>
        <w:tc>
          <w:tcPr>
            <w:tcW w:type="dxa" w:w="1568"/>
          </w:tcPr>
          <w:p>
            <w:r>
              <w:t>回合胜率</w:t>
            </w:r>
          </w:p>
        </w:tc>
      </w:tr>
      <w:tr>
        <w:tc>
          <w:tcPr>
            <w:tcW w:type="dxa" w:w="1568"/>
          </w:tcPr>
          <w:p>
            <w:r>
              <w:t>纯735不过滤</w:t>
            </w:r>
          </w:p>
        </w:tc>
        <w:tc>
          <w:tcPr>
            <w:tcW w:type="dxa" w:w="1568"/>
          </w:tcPr>
          <w:p>
            <w:r>
              <w:t>100.00%</w:t>
            </w:r>
          </w:p>
        </w:tc>
        <w:tc>
          <w:tcPr>
            <w:tcW w:type="dxa" w:w="1568"/>
          </w:tcPr>
          <w:p>
            <w:r>
              <w:t>-35.32%</w:t>
            </w:r>
          </w:p>
        </w:tc>
        <w:tc>
          <w:tcPr>
            <w:tcW w:type="dxa" w:w="1568"/>
          </w:tcPr>
          <w:p>
            <w:r>
              <w:t>50.76%</w:t>
            </w:r>
          </w:p>
        </w:tc>
        <w:tc>
          <w:tcPr>
            <w:tcW w:type="dxa" w:w="1568"/>
          </w:tcPr>
          <w:p>
            <w:r>
              <w:t>38.26%</w:t>
            </w:r>
          </w:p>
        </w:tc>
        <w:tc>
          <w:tcPr>
            <w:tcW w:type="dxa" w:w="1568"/>
          </w:tcPr>
          <w:p>
            <w:r>
              <w:t>42.85%</w:t>
            </w:r>
          </w:p>
        </w:tc>
      </w:tr>
      <w:tr>
        <w:tc>
          <w:tcPr>
            <w:tcW w:type="dxa" w:w="1568"/>
          </w:tcPr>
          <w:p>
            <w:r>
              <w:t>最佳3爻</w:t>
            </w:r>
          </w:p>
        </w:tc>
        <w:tc>
          <w:tcPr>
            <w:tcW w:type="dxa" w:w="1568"/>
          </w:tcPr>
          <w:p>
            <w:r>
              <w:t>0.77%</w:t>
            </w:r>
          </w:p>
        </w:tc>
        <w:tc>
          <w:tcPr>
            <w:tcW w:type="dxa" w:w="1568"/>
          </w:tcPr>
          <w:p>
            <w:r>
              <w:t>13.60%</w:t>
            </w:r>
          </w:p>
        </w:tc>
        <w:tc>
          <w:tcPr>
            <w:tcW w:type="dxa" w:w="1568"/>
          </w:tcPr>
          <w:p>
            <w:r>
              <w:t>32.11%</w:t>
            </w:r>
          </w:p>
        </w:tc>
        <w:tc>
          <w:tcPr>
            <w:tcW w:type="dxa" w:w="1568"/>
          </w:tcPr>
          <w:p>
            <w:r>
              <w:t>41.66%</w:t>
            </w:r>
          </w:p>
        </w:tc>
        <w:tc>
          <w:tcPr>
            <w:tcW w:type="dxa" w:w="1568"/>
          </w:tcPr>
          <w:p>
            <w:r>
              <w:t>42.65%</w:t>
            </w:r>
          </w:p>
        </w:tc>
      </w:tr>
      <w:tr>
        <w:tc>
          <w:tcPr>
            <w:tcW w:type="dxa" w:w="1568"/>
          </w:tcPr>
          <w:p>
            <w:r>
              <w:t>第一梯队10爻</w:t>
            </w:r>
          </w:p>
        </w:tc>
        <w:tc>
          <w:tcPr>
            <w:tcW w:type="dxa" w:w="1568"/>
          </w:tcPr>
          <w:p>
            <w:r>
              <w:t>2.60%</w:t>
            </w:r>
          </w:p>
        </w:tc>
        <w:tc>
          <w:tcPr>
            <w:tcW w:type="dxa" w:w="1568"/>
          </w:tcPr>
          <w:p>
            <w:r>
              <w:t>-19.76%</w:t>
            </w:r>
          </w:p>
        </w:tc>
        <w:tc>
          <w:tcPr>
            <w:tcW w:type="dxa" w:w="1568"/>
          </w:tcPr>
          <w:p>
            <w:r>
              <w:t>4.67%</w:t>
            </w:r>
          </w:p>
        </w:tc>
        <w:tc>
          <w:tcPr>
            <w:tcW w:type="dxa" w:w="1568"/>
          </w:tcPr>
          <w:p>
            <w:r>
              <w:t>39.83%</w:t>
            </w:r>
          </w:p>
        </w:tc>
        <w:tc>
          <w:tcPr>
            <w:tcW w:type="dxa" w:w="1568"/>
          </w:tcPr>
          <w:p>
            <w:r>
              <w:t>41.43%</w:t>
            </w:r>
          </w:p>
        </w:tc>
      </w:tr>
      <w:tr>
        <w:tc>
          <w:tcPr>
            <w:tcW w:type="dxa" w:w="1568"/>
          </w:tcPr>
          <w:p>
            <w:r>
              <w:t>一梯队+二梯队</w:t>
            </w:r>
          </w:p>
        </w:tc>
        <w:tc>
          <w:tcPr>
            <w:tcW w:type="dxa" w:w="1568"/>
          </w:tcPr>
          <w:p>
            <w:r>
              <w:t>4.87%</w:t>
            </w:r>
          </w:p>
        </w:tc>
        <w:tc>
          <w:tcPr>
            <w:tcW w:type="dxa" w:w="1568"/>
          </w:tcPr>
          <w:p>
            <w:r>
              <w:t>-24.46%</w:t>
            </w:r>
          </w:p>
        </w:tc>
        <w:tc>
          <w:tcPr>
            <w:tcW w:type="dxa" w:w="1568"/>
          </w:tcPr>
          <w:p>
            <w:r>
              <w:t>2.82%</w:t>
            </w:r>
          </w:p>
        </w:tc>
        <w:tc>
          <w:tcPr>
            <w:tcW w:type="dxa" w:w="1568"/>
          </w:tcPr>
          <w:p>
            <w:r>
              <w:t>40.20%</w:t>
            </w:r>
          </w:p>
        </w:tc>
        <w:tc>
          <w:tcPr>
            <w:tcW w:type="dxa" w:w="1568"/>
          </w:tcPr>
          <w:p>
            <w:r>
              <w:t>42.24%</w:t>
            </w:r>
          </w:p>
        </w:tc>
      </w:tr>
      <w:tr>
        <w:tc>
          <w:tcPr>
            <w:tcW w:type="dxa" w:w="1568"/>
          </w:tcPr>
          <w:p>
            <w:r>
              <w:t>含加仓类</w:t>
            </w:r>
          </w:p>
        </w:tc>
        <w:tc>
          <w:tcPr>
            <w:tcW w:type="dxa" w:w="1568"/>
          </w:tcPr>
          <w:p>
            <w:r>
              <w:t>7.00%</w:t>
            </w:r>
          </w:p>
        </w:tc>
        <w:tc>
          <w:tcPr>
            <w:tcW w:type="dxa" w:w="1568"/>
          </w:tcPr>
          <w:p>
            <w:r>
              <w:t>-18.86%</w:t>
            </w:r>
          </w:p>
        </w:tc>
        <w:tc>
          <w:tcPr>
            <w:tcW w:type="dxa" w:w="1568"/>
          </w:tcPr>
          <w:p>
            <w:r>
              <w:t>10.77%</w:t>
            </w:r>
          </w:p>
        </w:tc>
        <w:tc>
          <w:tcPr>
            <w:tcW w:type="dxa" w:w="1568"/>
          </w:tcPr>
          <w:p>
            <w:r>
              <w:t>41.05%</w:t>
            </w:r>
          </w:p>
        </w:tc>
        <w:tc>
          <w:tcPr>
            <w:tcW w:type="dxa" w:w="1568"/>
          </w:tcPr>
          <w:p>
            <w:r>
              <w:t>42.87%</w:t>
            </w:r>
          </w:p>
        </w:tc>
      </w:tr>
      <w:tr>
        <w:tc>
          <w:tcPr>
            <w:tcW w:type="dxa" w:w="1568"/>
          </w:tcPr>
          <w:p>
            <w:r>
              <w:t>只去回避爻</w:t>
            </w:r>
          </w:p>
        </w:tc>
        <w:tc>
          <w:tcPr>
            <w:tcW w:type="dxa" w:w="1568"/>
          </w:tcPr>
          <w:p>
            <w:r>
              <w:t>97.42%</w:t>
            </w:r>
          </w:p>
        </w:tc>
        <w:tc>
          <w:tcPr>
            <w:tcW w:type="dxa" w:w="1568"/>
          </w:tcPr>
          <w:p>
            <w:r>
              <w:t>-32.29%</w:t>
            </w:r>
          </w:p>
        </w:tc>
        <w:tc>
          <w:tcPr>
            <w:tcW w:type="dxa" w:w="1568"/>
          </w:tcPr>
          <w:p>
            <w:r>
              <w:t>55.54%</w:t>
            </w:r>
          </w:p>
        </w:tc>
        <w:tc>
          <w:tcPr>
            <w:tcW w:type="dxa" w:w="1568"/>
          </w:tcPr>
          <w:p>
            <w:r>
              <w:t>38.48%</w:t>
            </w:r>
          </w:p>
        </w:tc>
        <w:tc>
          <w:tcPr>
            <w:tcW w:type="dxa" w:w="1568"/>
          </w:tcPr>
          <w:p>
            <w:r>
              <w:t>42.96%</w:t>
            </w:r>
          </w:p>
        </w:tc>
      </w:tr>
    </w:tbl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要点：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「最佳3爻」（地雷复·初九、地风升·初六、地天泰·初九）是目前唯一含成本转正的一档（约 +13.6%），但放行率仅约0.77%，样本约千笔买入，胜率约42%。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扩大到第一梯队10爻后再度转负（约 -20%），说明名单越宽效果越容易被稀释。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仅剔除回避爻几乎无效（仍约 -32%）。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单笔胜率从纯735的约38%最多提到约42%，属于小幅提升，不是高胜率系统。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七、发现的主要问题清单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1. 全市场单账户 + 高信号密度导致大量信号无法成交，净值不能代表「每只票独立满仓」结果。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2. 示例交易成本在短持（hold=5）下冲击极大；无成本与含成本结论可能完全相反。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3. 胜率长期在四成左右，依赖盈亏不对称或降频，而非高命中率。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4. 八卦单独统计存在市场漂移干扰；跨周期排名不稳。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5. 统计Top过滤与业务白名单都可能存在样本内拟合；尚未完成严格样本外（前半定规则、后半验证）。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6. 用户强调的量能、周月趋势、跌破前低止损等「三道确认」尚未接入回测引擎。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7. 57只复权因子 incomplete 被排除，严格全5217正式复权曾被门禁拦截。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8. 与通达信客户端逐笔一致、MIN60正式、ET_SEL完整路径仍属未完成/No-Go或Partial。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9. 生存者偏差、ST/涨跌停历史不全，边界结果为近似。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10. 明细表中的净利润是单笔费用口径，与组合权益曲线的总收益在会计归集上可能略有差异。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八、胜率与盈利情况（结合策略口径）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若流程定义为「735发出信号 → 八卦（用户最佳3爻）允许才买」：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信号放行概率：约 0.77%（约每130个735信号放行1个）。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实际成交回合胜率：约 42%～43%（仍是亏的次数略多）。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账户层面（含成本）：约 +13.6%（本区间、本规则下）；不计成本约 +32%。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若用第一梯队10爻：放行约2.6%，账户含成本约 -19.8%，胜率约40%。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因此：「成功几率」若指单笔胜率，仅小幅提升；若指账户最终盈利，仅在最严三爻名单下由大亏转为小赚，且样本偏少、待样本外验证。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九、后续可整改方向（优先级建议）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P0 验证与防过拟合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前半段锁定「复初九/升初六/泰初九」规则，后半段样本外复测。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分年度、分牛熊震荡子区间报告，避免单一区间结论。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P1 交易规则与成本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参数网格：hold、止损止盈、每日最大买入数、冷却期。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接入更接近真实的佣金/印花税/滑点；单独报告零成本与含成本。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研究「降频」是否比「复杂卦过滤」更稳健。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P1 八卦业务规则工程化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将用户卦+爻白名单/黑名单做成正式配置与CLI参数（避免临时脚本）。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实现用户提出的三道确认：周月趋势、量能、结构止损。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区分「新开仓」与「加仓/持有」两类信号，避免混用。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P2 数据与引擎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修复/补全57只 incomplete 因子；评估因子质量门禁粒度（剔除坏票而非全市场一票否决的产品策略）。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信号层与组合层拆分报告（先看单票事件收益，再看组合约束）。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通达信黄金样本对齐、MIN60/ET_SEL 路线决策。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P2 产品与风控披露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报告模板固定：放行率、胜率、盈亏比、费用冲击、最大回撤、样本外标记。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• 明确「研究」与「正式」产物边界，禁止事后改 run_meta。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十、结论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1. 纯735在近全市场、短持、示例成本、单账户约束下，日线正式结果显著为负；无成本对照显示费用与换手是关键矛盾之一。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2. 八卦单独不足以构成交易系统；与735结合时，宜作二次过滤而非主信号。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3. 按用户「具体卦+爻」业务名单，最严的三爻组合在本回测中表现最好（含成本转正），但机会稀、胜率仍仅约四成，且需样本外确认。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4. 扩大白名单后收益迅速恶化，说明不能把「理论可买卦象」整表照搬。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5. 下一步应以样本外验证 + 降频/成本/三道确认工程化为主，而不是继续在同一样本上堆砌过滤条件。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十一、免责声明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本文件及配套Excel仅用于策略研究与系统验收沟通。历史回测不代表未来表现。示例交易成本、数据覆盖、规则近似均可能使结果与实盘或其它软件存在显著差异。请勿将本报告作为唯一投资决策依据。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