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微软雅黑"/>
        </w:rPr>
        <w:t>David 移动底盘 导航控制 验收标准</w:t>
      </w:r>
    </w:p>
    <w:p>
      <w:pPr>
        <w:jc w:val="center"/>
      </w:pPr>
      <w:r>
        <w:rPr>
          <w:rFonts w:eastAsia="宋体"/>
          <w:b/>
          <w:sz w:val="24"/>
        </w:rPr>
        <w:t>—— 面向底盘结构 &amp; 运动控制团队</w:t>
      </w:r>
    </w:p>
    <w:p>
      <w:pPr>
        <w:jc w:val="center"/>
      </w:pPr>
      <w:r>
        <w:rPr>
          <w:rFonts w:eastAsia="宋体"/>
          <w:b w:val="0"/>
          <w:sz w:val="19"/>
        </w:rPr>
        <w:t>版本 v1.0    日期 2026-07-07    编制:导航组</w:t>
      </w:r>
    </w:p>
    <w:p>
      <w:pPr>
        <w:jc w:val="center"/>
      </w:pPr>
      <w:r>
        <w:rPr>
          <w:rFonts w:eastAsia="宋体"/>
          <w:b w:val="0"/>
          <w:sz w:val="18"/>
        </w:rPr>
        <w:t>依据:position_controller 固定用例 10 次实测(slam_toolbox 真值)。数据/框架见 david_nav/docs/reports。</w:t>
      </w:r>
    </w:p>
    <w:p>
      <w:pPr>
        <w:pStyle w:val="Heading1"/>
      </w:pPr>
      <w:r>
        <w:rPr>
          <w:rFonts w:eastAsia="微软雅黑"/>
        </w:rPr>
        <w:t>1. 背景与验收目标</w:t>
      </w:r>
    </w:p>
    <w:p>
      <w:r>
        <w:rPr>
          <w:rFonts w:eastAsia="宋体"/>
          <w:b w:val="0"/>
          <w:sz w:val="21"/>
        </w:rPr>
        <w:t>业务场景:David 人形机器人需自主通过 ≤ 1.0 m 宽门框,负载为完整整机(底盘 + 双 7 自由度臂 + 双灵巧手,请补测总重 M),地面为地毯。</w:t>
      </w:r>
    </w:p>
    <w:p>
      <w:r>
        <w:rPr>
          <w:rFonts w:eastAsia="宋体"/>
          <w:b/>
          <w:sz w:val="21"/>
        </w:rPr>
        <w:t>几何约束(硬指标来源):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rFonts w:eastAsia="微软雅黑"/>
                <w:b/>
                <w:sz w:val="19"/>
              </w:rPr>
              <w:t>项</w:t>
            </w:r>
          </w:p>
        </w:tc>
        <w:tc>
          <w:tcPr>
            <w:tcW w:type="dxa" w:w="2268"/>
          </w:tcPr>
          <w:p>
            <w:r>
              <w:rPr>
                <w:rFonts w:eastAsia="微软雅黑"/>
                <w:b/>
                <w:sz w:val="19"/>
              </w:rPr>
              <w:t>数值</w:t>
            </w:r>
          </w:p>
        </w:tc>
        <w:tc>
          <w:tcPr>
            <w:tcW w:type="dxa" w:w="3402"/>
          </w:tcPr>
          <w:p>
            <w:r>
              <w:rPr>
                <w:rFonts w:eastAsia="微软雅黑"/>
                <w:b/>
                <w:sz w:val="19"/>
              </w:rPr>
              <w:t>来源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门框宽度(最不利)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1.00 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业务需求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底盘宽度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0.60 m (±0.30)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footprint / base_link.STL 实测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底盘长度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0.72 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footprint −0.465..+0.255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两侧名义净空(理想正对)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±0.20 m/侧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(1.0−0.60)/2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碰撞线(中心偏移)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0.20 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偏移超此即刮门框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安全目标(留 5cm 净空)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≤ 0.15 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sz w:val="19"/>
              </w:rPr>
              <w:t>碰撞线 − 0.05</w:t>
            </w:r>
          </w:p>
        </w:tc>
      </w:tr>
    </w:tbl>
    <w:p>
      <w:r>
        <w:rPr>
          <w:rFonts w:eastAsia="宋体"/>
          <w:b w:val="0"/>
          <w:color w:val="C00000"/>
          <w:sz w:val="18"/>
        </w:rPr>
        <w:t>注:0.60 m 为底盘宽度;若整机上装/手臂在门框高度处更宽,以实测最大宽度重算净空预算(必做)。</w:t>
      </w:r>
    </w:p>
    <w:p>
      <w:pPr>
        <w:pStyle w:val="Heading1"/>
      </w:pPr>
      <w:r>
        <w:rPr>
          <w:rFonts w:eastAsia="微软雅黑"/>
        </w:rPr>
        <w:t>2. 当前实测结果与差距(结论:不达标)</w:t>
      </w:r>
    </w:p>
    <w:p>
      <w:r>
        <w:rPr>
          <w:rFonts w:eastAsia="宋体"/>
          <w:b/>
          <w:color w:val="C00000"/>
          <w:sz w:val="21"/>
        </w:rPr>
        <w:t>结论:当前差速底盘 + 被动万向轮(caster)方案,轨迹贴合度与终点精度均达不到通过 1.0 m 门框的要求 —— 横向误差已达/超过碰撞线,直接穿门会刮蹭。</w:t>
      </w:r>
    </w:p>
    <w:p>
      <w:r>
        <w:drawing>
          <wp:inline xmlns:a="http://schemas.openxmlformats.org/drawingml/2006/main" xmlns:pic="http://schemas.openxmlformats.org/drawingml/2006/picture">
            <wp:extent cx="5400000" cy="32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or_bu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1  门框净空预算 vs 当前横向误差。安全目标 15cm、碰撞线 20cm;当前 cross-track RMS 已 17cm(贴近碰撞线),直行漂移 30cm、单点最差 67cm 均已越线。</w:t>
      </w:r>
    </w:p>
    <w:p>
      <w:r>
        <w:rPr>
          <w:rFonts w:eastAsia="宋体"/>
          <w:b/>
          <w:sz w:val="21"/>
        </w:rPr>
        <w:t>10 次固定用例(起点→3.62,1.8,90°,覆盖直行/原地转/L形/入位)实测汇总: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eastAsia="微软雅黑"/>
                <w:b/>
                <w:sz w:val="19"/>
              </w:rPr>
              <w:t>维度</w:t>
            </w:r>
          </w:p>
        </w:tc>
        <w:tc>
          <w:tcPr>
            <w:tcW w:type="dxa" w:w="2948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2438"/>
          </w:tcPr>
          <w:p>
            <w:r>
              <w:rPr>
                <w:rFonts w:eastAsia="微软雅黑"/>
                <w:b/>
                <w:sz w:val="19"/>
              </w:rPr>
              <w:t>当前实测</w:t>
            </w:r>
          </w:p>
        </w:tc>
        <w:tc>
          <w:tcPr>
            <w:tcW w:type="dxa" w:w="1701"/>
          </w:tcPr>
          <w:p>
            <w:r>
              <w:rPr>
                <w:rFonts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轨迹贴合度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cross-track RMS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17.2 cm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 近碰撞线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cross-track MAX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45–67 cm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 远超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直行段横向漂移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~30 cm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 不走直线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终点精确性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位置误差 均值/max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9.8 / 17.2 cm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yaw 误差 均值/max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6.6° / 10.3°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系统性 bias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位置 7.2cm / yaw +5.8°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 偏置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终点稳定性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CEP50 / CEP95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9.1 / 10.4 cm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yaw std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3.7°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✗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可靠性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成功率(段级)</w:t>
            </w:r>
          </w:p>
        </w:tc>
        <w:tc>
          <w:tcPr>
            <w:tcW w:type="dxa" w:w="2438"/>
          </w:tcPr>
          <w:p>
            <w:r>
              <w:rPr>
                <w:rFonts w:eastAsia="宋体"/>
                <w:b/>
                <w:color w:val="1A5FB0"/>
                <w:sz w:val="19"/>
              </w:rPr>
              <w:t>10/10</w:t>
            </w:r>
          </w:p>
        </w:tc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✓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960000" cy="36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s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2  10 次终点散布。系统性 bias 7.2cm/+5.8°,且分双簇(run1–4 vs 5–10)= 会话中途漂移(疑电池掉电降动量)。</w:t>
      </w:r>
    </w:p>
    <w:p>
      <w:r>
        <w:drawing>
          <wp:inline xmlns:a="http://schemas.openxmlformats.org/drawingml/2006/main" xmlns:pic="http://schemas.openxmlformats.org/drawingml/2006/picture">
            <wp:extent cx="4680000" cy="3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lay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3  10 次真值轨迹叠加。直行段整体向一侧弯、拐点过冲 —— turn-drive-turn 的停-转-走本质,非平滑穿门运动。</w:t>
      </w:r>
    </w:p>
    <w:p>
      <w:pPr>
        <w:pStyle w:val="Heading1"/>
      </w:pPr>
      <w:r>
        <w:rPr>
          <w:rFonts w:eastAsia="微软雅黑"/>
        </w:rPr>
        <w:t>3. 验收标准(需全部满足)</w:t>
      </w:r>
    </w:p>
    <w:p>
      <w:r>
        <w:rPr>
          <w:rFonts w:eastAsia="宋体"/>
          <w:b w:val="0"/>
          <w:sz w:val="19"/>
        </w:rPr>
        <w:t>测试条件:满载完整 David、目标地毯地面、固定起终点、≥ 30 次重复(报 CEP95 需 30 次);真值用 slam_toolbox 定位(或外部真值),忽略定位漂移。</w:t>
      </w:r>
    </w:p>
    <w:p>
      <w:pPr>
        <w:pStyle w:val="Heading2"/>
      </w:pPr>
      <w:r>
        <w:rPr>
          <w:rFonts w:eastAsia="微软雅黑"/>
        </w:rPr>
        <w:t>3.1 轨迹贴合度(实际轨迹 vs 规划路径)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1814"/>
          </w:tcPr>
          <w:p>
            <w:r>
              <w:rPr>
                <w:rFonts w:eastAsia="微软雅黑"/>
                <w:b/>
                <w:sz w:val="19"/>
              </w:rPr>
              <w:t>当前</w:t>
            </w:r>
          </w:p>
        </w:tc>
        <w:tc>
          <w:tcPr>
            <w:tcW w:type="dxa" w:w="3118"/>
          </w:tcPr>
          <w:p>
            <w:r>
              <w:rPr>
                <w:rFonts w:eastAsia="微软雅黑"/>
                <w:b/>
                <w:sz w:val="19"/>
              </w:rPr>
              <w:t>验收要求</w:t>
            </w:r>
          </w:p>
        </w:tc>
        <w:tc>
          <w:tcPr>
            <w:tcW w:type="dxa" w:w="1587"/>
          </w:tcPr>
          <w:p>
            <w:r>
              <w:rPr>
                <w:rFonts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cross-track RMS(全程)</w:t>
            </w:r>
          </w:p>
        </w:tc>
        <w:tc>
          <w:tcPr>
            <w:tcW w:type="dxa" w:w="1814"/>
          </w:tcPr>
          <w:p>
            <w:r>
              <w:rPr>
                <w:rFonts w:eastAsia="宋体"/>
                <w:sz w:val="19"/>
              </w:rPr>
              <w:t>17.2 cm</w:t>
            </w:r>
          </w:p>
        </w:tc>
        <w:tc>
          <w:tcPr>
            <w:tcW w:type="dxa" w:w="3118"/>
          </w:tcPr>
          <w:p>
            <w:r>
              <w:rPr>
                <w:rFonts w:eastAsia="宋体"/>
                <w:b/>
                <w:color w:val="1A5FB0"/>
                <w:sz w:val="19"/>
              </w:rPr>
              <w:t>≤ 5 cm</w:t>
            </w:r>
          </w:p>
        </w:tc>
        <w:tc>
          <w:tcPr>
            <w:tcW w:type="dxa" w:w="1587"/>
          </w:tcPr>
          <w:p>
            <w:r>
              <w:rPr>
                <w:rFonts w:eastAsia="宋体"/>
                <w:sz w:val="19"/>
              </w:rPr>
              <w:t>门框余量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cross-track MAX(全程)</w:t>
            </w:r>
          </w:p>
        </w:tc>
        <w:tc>
          <w:tcPr>
            <w:tcW w:type="dxa" w:w="1814"/>
          </w:tcPr>
          <w:p>
            <w:r>
              <w:rPr>
                <w:rFonts w:eastAsia="宋体"/>
                <w:sz w:val="19"/>
              </w:rPr>
              <w:t>45–67 cm</w:t>
            </w:r>
          </w:p>
        </w:tc>
        <w:tc>
          <w:tcPr>
            <w:tcW w:type="dxa" w:w="3118"/>
          </w:tcPr>
          <w:p>
            <w:r>
              <w:rPr>
                <w:rFonts w:eastAsia="宋体"/>
                <w:b/>
                <w:color w:val="1A5FB0"/>
                <w:sz w:val="19"/>
              </w:rPr>
              <w:t>≤ 10 cm</w:t>
            </w:r>
          </w:p>
        </w:tc>
        <w:tc>
          <w:tcPr>
            <w:tcW w:type="dxa" w:w="1587"/>
          </w:tcPr>
          <w:p>
            <w:r>
              <w:rPr>
                <w:rFonts w:eastAsia="宋体"/>
                <w:sz w:val="19"/>
              </w:rPr>
              <w:t>&lt;碰撞线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直行段横向漂移</w:t>
            </w:r>
          </w:p>
        </w:tc>
        <w:tc>
          <w:tcPr>
            <w:tcW w:type="dxa" w:w="1814"/>
          </w:tcPr>
          <w:p>
            <w:r>
              <w:rPr>
                <w:rFonts w:eastAsia="宋体"/>
                <w:sz w:val="19"/>
              </w:rPr>
              <w:t>~30 cm</w:t>
            </w:r>
          </w:p>
        </w:tc>
        <w:tc>
          <w:tcPr>
            <w:tcW w:type="dxa" w:w="3118"/>
          </w:tcPr>
          <w:p>
            <w:r>
              <w:rPr>
                <w:rFonts w:eastAsia="宋体"/>
                <w:b/>
                <w:color w:val="1A5FB0"/>
                <w:sz w:val="19"/>
              </w:rPr>
              <w:t>≤ 5 cm</w:t>
            </w:r>
          </w:p>
        </w:tc>
        <w:tc>
          <w:tcPr>
            <w:tcW w:type="dxa" w:w="1587"/>
          </w:tcPr>
          <w:p>
            <w:r>
              <w:rPr>
                <w:rFonts w:eastAsia="宋体"/>
                <w:sz w:val="19"/>
              </w:rPr>
              <w:t>直行不跑偏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穿门时刻 横向偏移</w:t>
            </w:r>
          </w:p>
        </w:tc>
        <w:tc>
          <w:tcPr>
            <w:tcW w:type="dxa" w:w="1814"/>
          </w:tcPr>
          <w:p>
            <w:r>
              <w:rPr>
                <w:rFonts w:eastAsia="宋体"/>
                <w:sz w:val="19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eastAsia="宋体"/>
                <w:b/>
                <w:color w:val="1A5FB0"/>
                <w:sz w:val="19"/>
              </w:rPr>
              <w:t>≤ 10 cm 且两侧净空 ≥ 5 cm</w:t>
            </w:r>
          </w:p>
        </w:tc>
        <w:tc>
          <w:tcPr>
            <w:tcW w:type="dxa" w:w="1587"/>
          </w:tcPr>
          <w:p>
            <w:r>
              <w:rPr>
                <w:rFonts w:eastAsia="宋体"/>
                <w:sz w:val="19"/>
              </w:rPr>
              <w:t>硬约束</w:t>
            </w:r>
          </w:p>
        </w:tc>
      </w:tr>
    </w:tbl>
    <w:p>
      <w:pPr>
        <w:pStyle w:val="Heading2"/>
      </w:pPr>
      <w:r>
        <w:rPr>
          <w:rFonts w:eastAsia="微软雅黑"/>
        </w:rPr>
        <w:t>3.2 流畅度(运动平滑,可连续穿门)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rFonts w:eastAsia="微软雅黑"/>
                <w:b/>
                <w:sz w:val="19"/>
              </w:rPr>
              <w:t>当前</w:t>
            </w:r>
          </w:p>
        </w:tc>
        <w:tc>
          <w:tcPr>
            <w:tcW w:type="dxa" w:w="3402"/>
          </w:tcPr>
          <w:p>
            <w:r>
              <w:rPr>
                <w:rFonts w:eastAsia="微软雅黑"/>
                <w:b/>
                <w:sz w:val="19"/>
              </w:rPr>
              <w:t>验收要求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单段内速度反向 / 停-走次数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过点冲+刹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0(直行段单调前进)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穿门运动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turn-drive-turn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单次连续运动,禁停-转-走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航向抖动 (heading jitter std)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2°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旋转停止后拖尾/回抽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历史 20–45°,现 +5.8°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3°,无回抽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中途停顿 &gt; 0.5 s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有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0</w:t>
            </w:r>
          </w:p>
        </w:tc>
      </w:tr>
      <w:tr>
        <w:tc>
          <w:tcPr>
            <w:tcW w:type="dxa" w:w="3118"/>
          </w:tcPr>
          <w:p>
            <w:r>
              <w:rPr>
                <w:rFonts w:eastAsia="宋体"/>
                <w:sz w:val="19"/>
              </w:rPr>
              <w:t>速度/加速度连续性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binary+主动刹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平滑,jerk 受限,无端点阶跃</w:t>
            </w:r>
          </w:p>
        </w:tc>
      </w:tr>
    </w:tbl>
    <w:p>
      <w:pPr>
        <w:pStyle w:val="Heading2"/>
      </w:pPr>
      <w:r>
        <w:rPr>
          <w:rFonts w:eastAsia="微软雅黑"/>
        </w:rPr>
        <w:t>3.3 终点稳定性(重复性,≥30 次)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rFonts w:eastAsia="微软雅黑"/>
                <w:b/>
                <w:sz w:val="19"/>
              </w:rPr>
              <w:t>当前</w:t>
            </w:r>
          </w:p>
        </w:tc>
        <w:tc>
          <w:tcPr>
            <w:tcW w:type="dxa" w:w="3402"/>
          </w:tcPr>
          <w:p>
            <w:r>
              <w:rPr>
                <w:rFonts w:eastAsia="微软雅黑"/>
                <w:b/>
                <w:sz w:val="19"/>
              </w:rPr>
              <w:t>验收要求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位置 CEP95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10.4 cm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5 cm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位置 std_x / std_y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7.6 / 3.6 cm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3 cm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yaw std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3.7°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2°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成功率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10/10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≥ 30/30(100%),无刮蹭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会话内漂移(双峰)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end_x 漂 ~10cm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消除(控电池/复位一致)</w:t>
            </w:r>
          </w:p>
        </w:tc>
      </w:tr>
    </w:tbl>
    <w:p>
      <w:pPr>
        <w:pStyle w:val="Heading2"/>
      </w:pPr>
      <w:r>
        <w:rPr>
          <w:rFonts w:eastAsia="微软雅黑"/>
        </w:rPr>
        <w:t>3.4 终点精确性(相对目标)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rFonts w:eastAsia="微软雅黑"/>
                <w:b/>
                <w:sz w:val="19"/>
              </w:rPr>
              <w:t>当前</w:t>
            </w:r>
          </w:p>
        </w:tc>
        <w:tc>
          <w:tcPr>
            <w:tcW w:type="dxa" w:w="3402"/>
          </w:tcPr>
          <w:p>
            <w:r>
              <w:rPr>
                <w:rFonts w:eastAsia="微软雅黑"/>
                <w:b/>
                <w:sz w:val="19"/>
              </w:rPr>
              <w:t>验收要求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位置误差 均值 / max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9.8 / 17.2 cm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5 / ≤ 8 cm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yaw 误差 均值 / max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6.6° / 10.3°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3° / ≤ 5°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位置 bias(系统性)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7.2 cm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3 cm</w:t>
            </w:r>
          </w:p>
        </w:tc>
      </w:tr>
      <w:tr>
        <w:tc>
          <w:tcPr>
            <w:tcW w:type="dxa" w:w="2835"/>
          </w:tcPr>
          <w:p>
            <w:r>
              <w:rPr>
                <w:rFonts w:eastAsia="宋体"/>
                <w:sz w:val="19"/>
              </w:rPr>
              <w:t>yaw bias(系统性)</w:t>
            </w:r>
          </w:p>
        </w:tc>
        <w:tc>
          <w:tcPr>
            <w:tcW w:type="dxa" w:w="2268"/>
          </w:tcPr>
          <w:p>
            <w:r>
              <w:rPr>
                <w:rFonts w:eastAsia="宋体"/>
                <w:sz w:val="19"/>
              </w:rPr>
              <w:t>+5.8°</w:t>
            </w:r>
          </w:p>
        </w:tc>
        <w:tc>
          <w:tcPr>
            <w:tcW w:type="dxa" w:w="3402"/>
          </w:tcPr>
          <w:p>
            <w:r>
              <w:rPr>
                <w:rFonts w:eastAsia="宋体"/>
                <w:b/>
                <w:color w:val="1A5FB0"/>
                <w:sz w:val="19"/>
              </w:rPr>
              <w:t>≤ 2°</w:t>
            </w:r>
          </w:p>
        </w:tc>
      </w:tr>
    </w:tbl>
    <w:p>
      <w:pPr>
        <w:pStyle w:val="Heading2"/>
      </w:pPr>
      <w:r>
        <w:rPr>
          <w:rFonts w:eastAsia="微软雅黑"/>
        </w:rPr>
        <w:t>3.5 门框穿越专项测试(总验收)</w:t>
      </w:r>
    </w:p>
    <w:p>
      <w:r>
        <w:rPr>
          <w:rFonts w:eastAsia="宋体"/>
          <w:b w:val="0"/>
          <w:sz w:val="21"/>
        </w:rPr>
        <w:t>在 1.0 m 门框(拉伸目标 0.9 m)、满载 David、地毯地面下,自主直线穿越 ≥ 20 次:</w:t>
      </w:r>
    </w:p>
    <w:p>
      <w:r>
        <w:rPr>
          <w:rFonts w:eastAsia="宋体"/>
          <w:b w:val="0"/>
          <w:sz w:val="20"/>
        </w:rPr>
        <w:t>① 通过率 100%,全程无任何刮蹭;</w:t>
      </w:r>
    </w:p>
    <w:p>
      <w:r>
        <w:rPr>
          <w:rFonts w:eastAsia="宋体"/>
          <w:b w:val="0"/>
          <w:sz w:val="20"/>
        </w:rPr>
        <w:t>② 穿门时刻两侧最小净空 ≥ 5 cm、横向偏移 ≤ 10 cm、航向 ≤ 5°;</w:t>
      </w:r>
    </w:p>
    <w:p>
      <w:r>
        <w:rPr>
          <w:rFonts w:eastAsia="宋体"/>
          <w:b w:val="0"/>
          <w:sz w:val="20"/>
        </w:rPr>
        <w:t>③ 单次连续运动(门内不得停-转-走);</w:t>
      </w:r>
    </w:p>
    <w:p>
      <w:r>
        <w:rPr>
          <w:rFonts w:eastAsia="宋体"/>
          <w:b w:val="0"/>
          <w:sz w:val="20"/>
        </w:rPr>
        <w:t>④ 满足 3.1–3.4 全部量化指标。</w:t>
      </w:r>
    </w:p>
    <w:p>
      <w:pPr>
        <w:pStyle w:val="Heading1"/>
      </w:pPr>
      <w:r>
        <w:rPr>
          <w:rFonts w:eastAsia="微软雅黑"/>
        </w:rPr>
        <w:t>4. 根治建议:底盘换全向轮(消除拖尾的物理解)</w:t>
      </w:r>
    </w:p>
    <w:p>
      <w:r>
        <w:rPr>
          <w:rFonts w:eastAsia="宋体"/>
          <w:b/>
          <w:sz w:val="21"/>
        </w:rPr>
        <w:t>控制层无法根治拖尾。 2026-07-01 复盘已证:针对旋转超调的三种位置环整形(非对称减速 / rotate_lead / 接近减速)全部失败,真根因在底盘(被动万向轮拖尾 + 差速动量)。</w:t>
      </w:r>
    </w:p>
    <w:p>
      <w:r>
        <w:rPr>
          <w:rFonts w:eastAsia="宋体"/>
          <w:b w:val="0"/>
          <w:sz w:val="21"/>
        </w:rPr>
        <w:t>被动万向轮(caster)是以下三个缺陷的共同物理根因:</w:t>
      </w:r>
    </w:p>
    <w:p>
      <w:r>
        <w:rPr>
          <w:rFonts w:eastAsia="宋体"/>
          <w:b w:val="0"/>
          <w:sz w:val="20"/>
        </w:rPr>
        <w:t>· 直行跑偏(caster 横向静摩擦把机身拽向一侧)—— 3.1 直行漂移 30cm 的来源;</w:t>
      </w:r>
    </w:p>
    <w:p>
      <w:r>
        <w:rPr>
          <w:rFonts w:eastAsia="宋体"/>
          <w:b w:val="0"/>
          <w:sz w:val="20"/>
        </w:rPr>
        <w:t>· 旋转超调/拖尾(停止时机身按动量继续漂,caster 拖尾)—— 3.4 yaw bias;</w:t>
      </w:r>
    </w:p>
    <w:p>
      <w:r>
        <w:rPr>
          <w:rFonts w:eastAsia="宋体"/>
          <w:b w:val="0"/>
          <w:sz w:val="20"/>
        </w:rPr>
        <w:t>· 必须 turn-drive-turn(差速无法侧移,不能直接修正 cross-track)—— 3.2 不流畅。</w:t>
      </w:r>
    </w:p>
    <w:p>
      <w:r>
        <w:rPr>
          <w:rFonts w:eastAsia="宋体"/>
          <w:b/>
          <w:sz w:val="21"/>
        </w:rPr>
        <w:t>建议:改用全向轮(Omni / Mecanum)底盘,实现 holonomic 运动:</w:t>
      </w:r>
    </w:p>
    <w:p>
      <w:r>
        <w:rPr>
          <w:rFonts w:eastAsia="宋体"/>
          <w:b w:val="0"/>
          <w:sz w:val="20"/>
        </w:rPr>
        <w:t>· 可直接侧移修正 cross-track,正对门框平移直入,不需停-转-走;</w:t>
      </w:r>
    </w:p>
    <w:p>
      <w:r>
        <w:rPr>
          <w:rFonts w:eastAsia="宋体"/>
          <w:b w:val="0"/>
          <w:sz w:val="20"/>
        </w:rPr>
        <w:t>· 无被动万向轮 → 从物理上消除拖尾与旋转超调;</w:t>
      </w:r>
    </w:p>
    <w:p>
      <w:r>
        <w:rPr>
          <w:rFonts w:eastAsia="宋体"/>
          <w:b w:val="0"/>
          <w:sz w:val="20"/>
        </w:rPr>
        <w:t>· 轨迹贴合度 / 流畅度 / 终点精度可同时大幅改善,是达成 3.1–3.5 的最短路径。</w:t>
      </w:r>
    </w:p>
    <w:p>
      <w:r>
        <w:rPr>
          <w:rFonts w:eastAsia="宋体"/>
          <w:b/>
          <w:color w:val="C00000"/>
          <w:sz w:val="21"/>
        </w:rPr>
        <w:t>选型硬约束(必须同时满足,否则换轮无意义):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rFonts w:eastAsia="微软雅黑"/>
                <w:b/>
                <w:sz w:val="19"/>
              </w:rPr>
              <w:t>约束</w:t>
            </w:r>
          </w:p>
        </w:tc>
        <w:tc>
          <w:tcPr>
            <w:tcW w:type="dxa" w:w="7030"/>
          </w:tcPr>
          <w:p>
            <w:r>
              <w:rPr>
                <w:rFonts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1474"/>
          </w:tcPr>
          <w:p>
            <w:r>
              <w:rPr>
                <w:rFonts w:eastAsia="宋体"/>
                <w:sz w:val="19"/>
              </w:rPr>
              <w:t>负载</w:t>
            </w:r>
          </w:p>
        </w:tc>
        <w:tc>
          <w:tcPr>
            <w:tcW w:type="dxa" w:w="7030"/>
          </w:tcPr>
          <w:p>
            <w:r>
              <w:rPr>
                <w:rFonts w:eastAsia="宋体"/>
                <w:b/>
                <w:color w:val="1A5FB0"/>
                <w:sz w:val="19"/>
              </w:rPr>
              <w:t>承载完整 David(标注实测总重 M);轮子额定载荷 + 电机峰值力矩按 M + 安全系数选型</w:t>
            </w:r>
          </w:p>
        </w:tc>
      </w:tr>
      <w:tr>
        <w:tc>
          <w:tcPr>
            <w:tcW w:type="dxa" w:w="1474"/>
          </w:tcPr>
          <w:p>
            <w:r>
              <w:rPr>
                <w:rFonts w:eastAsia="宋体"/>
                <w:sz w:val="19"/>
              </w:rPr>
              <w:t>地毯地面 ⚠</w:t>
            </w:r>
          </w:p>
        </w:tc>
        <w:tc>
          <w:tcPr>
            <w:tcW w:type="dxa" w:w="7030"/>
          </w:tcPr>
          <w:p>
            <w:r>
              <w:rPr>
                <w:rFonts w:eastAsia="宋体"/>
                <w:b/>
                <w:color w:val="1A5FB0"/>
                <w:sz w:val="19"/>
              </w:rPr>
              <w:t>Mecanum/小滚子全向轮在地毯上普遍差(滚子接触面小、陷绒毛、滚子间隙顿挫、打滑、里程漂)。须选大直径滚子 / 高载荷、适配软地面的全向轮,并在【目标地毯 + 满载 David】实测:无顿挫、牵引足够、里程可用</w:t>
            </w:r>
          </w:p>
        </w:tc>
      </w:tr>
      <w:tr>
        <w:tc>
          <w:tcPr>
            <w:tcW w:type="dxa" w:w="1474"/>
          </w:tcPr>
          <w:p>
            <w:r>
              <w:rPr>
                <w:rFonts w:eastAsia="宋体"/>
                <w:sz w:val="19"/>
              </w:rPr>
              <w:t>里程精度</w:t>
            </w:r>
          </w:p>
        </w:tc>
        <w:tc>
          <w:tcPr>
            <w:tcW w:type="dxa" w:w="7030"/>
          </w:tcPr>
          <w:p>
            <w:r>
              <w:rPr>
                <w:rFonts w:eastAsia="宋体"/>
                <w:b/>
                <w:color w:val="1A5FB0"/>
                <w:sz w:val="19"/>
              </w:rPr>
              <w:t>不低于当前(全向轮里程更复杂,需验证 x/y/yaw 三自由度里程或外部定位)</w:t>
            </w:r>
          </w:p>
        </w:tc>
      </w:tr>
      <w:tr>
        <w:tc>
          <w:tcPr>
            <w:tcW w:type="dxa" w:w="1474"/>
          </w:tcPr>
          <w:p>
            <w:r>
              <w:rPr>
                <w:rFonts w:eastAsia="宋体"/>
                <w:sz w:val="19"/>
              </w:rPr>
              <w:t>备选</w:t>
            </w:r>
          </w:p>
        </w:tc>
        <w:tc>
          <w:tcPr>
            <w:tcW w:type="dxa" w:w="7030"/>
          </w:tcPr>
          <w:p>
            <w:r>
              <w:rPr>
                <w:rFonts w:eastAsia="宋体"/>
                <w:b/>
                <w:color w:val="1A5FB0"/>
                <w:sz w:val="19"/>
              </w:rPr>
              <w:t>若地毯上 Mecanum 实测不达标:大直径 omni + 主动转向,或差速 + 主动侧移补偿(次优,不彻底)</w:t>
            </w:r>
          </w:p>
        </w:tc>
      </w:tr>
    </w:tbl>
    <w:p>
      <w:pPr>
        <w:pStyle w:val="Heading1"/>
      </w:pPr>
      <w:r>
        <w:rPr>
          <w:rFonts w:eastAsia="微软雅黑"/>
        </w:rPr>
        <w:t>5. 测试方法与复现</w:t>
      </w:r>
    </w:p>
    <w:p>
      <w:r>
        <w:rPr>
          <w:rFonts w:eastAsia="宋体"/>
          <w:b w:val="0"/>
          <w:sz w:val="21"/>
        </w:rPr>
        <w:t>固定测试框架:david_nav/scripts/controller_bench/(与本验收指标一一对应,可直接复用出报告)。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>
              <w:rPr>
                <w:rFonts w:eastAsia="微软雅黑"/>
                <w:b/>
                <w:sz w:val="19"/>
              </w:rPr>
              <w:t>环节</w:t>
            </w:r>
          </w:p>
        </w:tc>
        <w:tc>
          <w:tcPr>
            <w:tcW w:type="dxa" w:w="6803"/>
          </w:tcPr>
          <w:p>
            <w:r>
              <w:rPr>
                <w:rFonts w:eastAsia="微软雅黑"/>
                <w:b/>
                <w:sz w:val="19"/>
              </w:rPr>
              <w:t>工具 / 说明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真值源</w:t>
            </w:r>
          </w:p>
        </w:tc>
        <w:tc>
          <w:tcPr>
            <w:tcW w:type="dxa" w:w="6803"/>
          </w:tcPr>
          <w:p>
            <w:r>
              <w:rPr>
                <w:rFonts w:eastAsia="宋体"/>
                <w:sz w:val="19"/>
              </w:rPr>
              <w:t>david_slam_gt localization → /groundtruth/pose(20Hz,cm 级,忽略定位漂移当绝对真值)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固定用例</w:t>
            </w:r>
          </w:p>
        </w:tc>
        <w:tc>
          <w:tcPr>
            <w:tcW w:type="dxa" w:w="6803"/>
          </w:tcPr>
          <w:p>
            <w:r>
              <w:rPr>
                <w:rFonts w:eastAsia="宋体"/>
                <w:sz w:val="19"/>
              </w:rPr>
              <w:t>reference_path.yaml:起点→终点,覆盖直行/原地转/L形/入位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执行 + 记录</w:t>
            </w:r>
          </w:p>
        </w:tc>
        <w:tc>
          <w:tcPr>
            <w:tcW w:type="dxa" w:w="6803"/>
          </w:tcPr>
          <w:p>
            <w:r>
              <w:rPr>
                <w:rFonts w:eastAsia="宋体"/>
                <w:sz w:val="19"/>
              </w:rPr>
              <w:t>run_bench.sh:逐段驱动 + 全链 CSV(真值+odom+cmd_vel)+ 自动出图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指标汇总</w:t>
            </w:r>
          </w:p>
        </w:tc>
        <w:tc>
          <w:tcPr>
            <w:tcW w:type="dxa" w:w="6803"/>
          </w:tcPr>
          <w:p>
            <w:r>
              <w:rPr>
                <w:rFonts w:eastAsia="宋体"/>
                <w:sz w:val="19"/>
              </w:rPr>
              <w:t>bench_metrics.py:可靠性/稳定性/精确性/跟踪 四表</w:t>
            </w:r>
          </w:p>
        </w:tc>
      </w:tr>
      <w:tr>
        <w:tc>
          <w:tcPr>
            <w:tcW w:type="dxa" w:w="1701"/>
          </w:tcPr>
          <w:p>
            <w:r>
              <w:rPr>
                <w:rFonts w:eastAsia="宋体"/>
                <w:sz w:val="19"/>
              </w:rPr>
              <w:t>门框专项</w:t>
            </w:r>
          </w:p>
        </w:tc>
        <w:tc>
          <w:tcPr>
            <w:tcW w:type="dxa" w:w="6803"/>
          </w:tcPr>
          <w:p>
            <w:r>
              <w:rPr>
                <w:rFonts w:eastAsia="宋体"/>
                <w:sz w:val="19"/>
              </w:rPr>
              <w:t>在门框场景重复穿越,套用 3.5 判据</w:t>
            </w:r>
          </w:p>
        </w:tc>
      </w:tr>
    </w:tbl>
    <w:p>
      <w:r>
        <w:rPr>
          <w:rFonts w:eastAsia="宋体"/>
          <w:b w:val="0"/>
          <w:sz w:val="19"/>
        </w:rPr>
        <w:t>注:换全向轮后用同一框架、同一固定用例回归,即可直接对比是否达标。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