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N₂O）是重要温室气体，农业施氮是人为排放主要来源。黄土高原旱作农业典型，近年粮田向苹果园转变明显，但区域N₂O排放及管理措施效应仍缺乏系统量化。本研究整合2006—2025年38篇田间文献，建立含366条N₂O排放和311条产量记录的数据库，采用描述统计、回归分析和成对Meta分析，评估春玉米、冬小麦、春小麦和苹果园排放特征及主要管理措施效应。结果表明，苹果园N₂O排放均值为2.90 kg N ha⁻¹，高于粮食作物体系；各体系直接排放因子差异不显著。春小麦产量尺度排放为1.08 kg N t⁻¹，显著高于春玉米和冬小麦，主要受低产量驱动。减量施氮可降低N₂O排放、产量尺度排放和直接排放因子，但减氮&gt;50%会造成显著减产；减氮&lt;25%显示较好的稳产减排潜力。粪肥施用、地膜覆盖和生物炭添加有利于降低产量尺度排放，其中生物炭还可提高产量；增效肥料可减少N₂O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nitrogen fertilization in agricultural soils is a major anthropogenic source. The Loess Plateau is a representative dryland farming region where cereal cropland has increasingly been converted to apple orchards, yet regional N₂O emissions and management effects remain poorly quantified. We synthesized 38 field studies published from 2006 to 2025 and built a database of 366 N₂O-emission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mean N₂O emission of 2.90 kg N ha⁻¹, higher than cereal systems, while direct emission factors did not differ significantly among systems. Spring wheat had a high yield-scaled emission of 1.08 kg N t⁻¹, mainly because of low yield. Reduced nitrogen input decreased N₂O emissions,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 N₂O emissions,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r>
        <w:t>附录A Meta分析数据支撑信息</w:t>
        <w:tab/>
        <w:t>28</w:t>
      </w:r>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r>
        <w:t>致谢</w:t>
        <w:tab/>
        <w:t>29</w:t>
      </w:r>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r>
        <w:t>作者简历</w:t>
        <w:tab/>
        <w:t>30</w:t>
      </w:r>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 2-1  黄土高原N₂O通量观测样点分布</w:t>
        <w:tab/>
        <w:t>7</w:t>
      </w:r>
    </w:p>
    <w:p w14:paraId="095124B1" w14:textId="77777777" w:rsidR="00AF4612" w:rsidRDefault="00AF4612" w:rsidP="00747B0E">
      <w:pPr>
        <w:tabs>
          <w:tab w:val="right" w:leader="dot" w:pos="8856"/>
        </w:tabs>
        <w:ind w:firstLineChars="83" w:firstLine="199"/>
        <w:jc w:val="left"/>
      </w:pPr>
      <w:r>
        <w:t>图 3-1  黄土高原主要粮食作物产量对施氮量的响应及产量差异</w:t>
        <w:tab/>
        <w:t>11</w:t>
      </w:r>
    </w:p>
    <w:p w14:paraId="08F95EB7" w14:textId="77777777" w:rsidR="00AF4612" w:rsidRDefault="00AF4612" w:rsidP="00747B0E">
      <w:pPr>
        <w:tabs>
          <w:tab w:val="right" w:leader="dot" w:pos="8856"/>
        </w:tabs>
        <w:ind w:firstLineChars="83" w:firstLine="199"/>
        <w:jc w:val="left"/>
      </w:pPr>
      <w:r>
        <w:t>图 3-2  苹果产量与施氮量的关系</w:t>
        <w:tab/>
        <w:t>12</w:t>
      </w:r>
    </w:p>
    <w:p w14:paraId="61B33FBC" w14:textId="77777777" w:rsidR="00AF4612" w:rsidRDefault="00AF4612" w:rsidP="00747B0E">
      <w:pPr>
        <w:tabs>
          <w:tab w:val="right" w:leader="dot" w:pos="8856"/>
        </w:tabs>
        <w:ind w:firstLineChars="83" w:firstLine="199"/>
        <w:jc w:val="left"/>
      </w:pPr>
      <w:r>
        <w:t>图 3-3  黄土高原不同农业生态系统N₂O排放对施氮量的响应及排放差异</w:t>
        <w:tab/>
        <w:t>13</w:t>
      </w:r>
    </w:p>
    <w:p w14:paraId="34A10469" w14:textId="77777777" w:rsidR="00AF4612" w:rsidRDefault="00AF4612" w:rsidP="00747B0E">
      <w:pPr>
        <w:tabs>
          <w:tab w:val="right" w:leader="dot" w:pos="8856"/>
        </w:tabs>
        <w:ind w:firstLineChars="83" w:firstLine="199"/>
        <w:jc w:val="left"/>
      </w:pPr>
      <w:r>
        <w:t>图 3-4  黄土高原不同农业生态系统直接排放因子和产量尺度排放比较</w:t>
        <w:tab/>
        <w:t>14</w:t>
      </w:r>
    </w:p>
    <w:p w14:paraId="20330650" w14:textId="77777777" w:rsidR="00AF4612" w:rsidRDefault="00AF4612" w:rsidP="00747B0E">
      <w:pPr>
        <w:tabs>
          <w:tab w:val="right" w:leader="dot" w:pos="8856"/>
        </w:tabs>
        <w:ind w:left="199" w:firstLineChars="0" w:firstLine="1"/>
        <w:jc w:val="left"/>
      </w:pPr>
      <w:r>
        <w:t>图 3-5  农作管理措施对N₂O排放、作物产量、产量尺度排放和直接排放因子的影响</w:t>
        <w:tab/>
        <w:t>16</w:t>
      </w:r>
    </w:p>
    <w:p w14:paraId="6086008E" w14:textId="77777777" w:rsidR="00AF4612" w:rsidRDefault="00AF4612" w:rsidP="00747B0E">
      <w:pPr>
        <w:tabs>
          <w:tab w:val="right" w:leader="dot" w:pos="8856"/>
        </w:tabs>
        <w:ind w:left="240" w:firstLineChars="0" w:firstLine="0"/>
        <w:jc w:val="left"/>
      </w:pPr>
      <w:r>
        <w:t>图 3-6  减量施氮对 N₂O 排放、作物产量、产量尺度排放和直接排放因子的影响</w:t>
        <w:tab/>
        <w:t>17</w:t>
      </w:r>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 4-1  黄土高原与其他区域农业土壤N₂O排放、产量和产量尺度排放比较</w:t>
        <w:tab/>
        <w:t>18</w:t>
      </w:r>
    </w:p>
    <w:p>
      <w:pPr>
        <w:tabs>
          <w:tab w:val="right" w:leader="dot" w:pos="8856"/>
        </w:tabs>
        <w:ind w:firstLineChars="83" w:firstLine="199"/>
        <w:jc w:val="left"/>
      </w:pPr>
      <w:r>
        <w:rPr>
          <w:rFonts w:ascii="Times New Roman" w:hAnsi="Times New Roman" w:eastAsia="宋体"/>
          <w:sz w:val="21"/>
        </w:rPr>
        <w:t>表 A.1  Meta分析有效效应量和独立文献数汇总</w:t>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jc w:val="center"/>
      </w:pPr>
      <w:bookmarkStart w:id="167" w:name="Fig_2_1"/>
      <w:r>
        <w:rPr>
          <w:rFonts w:ascii="Times New Roman" w:hAnsi="Times New Roman" w:eastAsia="宋体"/>
          <w:sz w:val="21"/>
        </w:rPr>
        <w:t>图 2-1</w:t>
      </w:r>
      <w:bookmarkEnd w:id="167"/>
      <w:r>
        <w:rPr>
          <w:rFonts w:ascii="Times New Roman" w:hAnsi="Times New Roman" w:eastAsia="宋体"/>
          <w:sz w:val="21"/>
        </w:rPr>
        <w:t xml:space="preserve"> 黄土高原N₂O通量观测样点分布</w:t>
      </w:r>
      <w:r>
        <w:rPr>
          <w:rFonts w:ascii="Times New Roman" w:hAnsi="Times New Roman" w:eastAsia="宋体"/>
          <w:sz w:val="21"/>
        </w:rPr>
        <w:t>Fig. 2-1 Distribution of N₂O flux observation sites on the Loess Plateau</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jc w:val="center"/>
      </w:pPr>
      <w:bookmarkStart w:id="168" w:name="Fig_3_1"/>
      <w:r>
        <w:rPr>
          <w:rFonts w:ascii="Times New Roman" w:hAnsi="Times New Roman" w:eastAsia="宋体"/>
          <w:sz w:val="21"/>
        </w:rPr>
        <w:t>图 3-1</w:t>
      </w:r>
      <w:bookmarkEnd w:id="168"/>
      <w:r>
        <w:rPr>
          <w:rFonts w:ascii="Times New Roman" w:hAnsi="Times New Roman" w:eastAsia="宋体"/>
          <w:sz w:val="21"/>
        </w:rPr>
        <w:t xml:space="preserve"> 黄土高原主要粮食作物产量对施氮量的响应及产量差异</w:t>
      </w:r>
      <w:r>
        <w:rPr>
          <w:rFonts w:ascii="Times New Roman" w:hAnsi="Times New Roman" w:eastAsia="宋体"/>
          <w:sz w:val="21"/>
        </w:rPr>
        <w:t>Fig. 3-1 Responses of major grain crop yield to nitrogen application rate and yield differences on the Loess Plateau</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jc w:val="center"/>
      </w:pPr>
      <w:bookmarkStart w:id="169" w:name="Fig_3_2"/>
      <w:r>
        <w:rPr>
          <w:rFonts w:ascii="Times New Roman" w:hAnsi="Times New Roman" w:eastAsia="宋体"/>
          <w:sz w:val="21"/>
        </w:rPr>
        <w:t>图 3-2</w:t>
      </w:r>
      <w:bookmarkEnd w:id="169"/>
      <w:r>
        <w:rPr>
          <w:rFonts w:ascii="Times New Roman" w:hAnsi="Times New Roman" w:eastAsia="宋体"/>
          <w:sz w:val="21"/>
        </w:rPr>
        <w:t xml:space="preserve"> 苹果产量与施氮量的关系</w:t>
      </w:r>
      <w:r>
        <w:rPr>
          <w:rFonts w:ascii="Times New Roman" w:hAnsi="Times New Roman" w:eastAsia="宋体"/>
          <w:sz w:val="21"/>
        </w:rPr>
        <w:t>Fig. 3-2 Relationship between apple yield and nitrogen application rate</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jc w:val="center"/>
      </w:pPr>
      <w:bookmarkStart w:id="170" w:name="Fig_3_3"/>
      <w:r>
        <w:rPr>
          <w:rFonts w:ascii="Times New Roman" w:hAnsi="Times New Roman" w:eastAsia="宋体"/>
          <w:sz w:val="21"/>
        </w:rPr>
        <w:t>图 3-3</w:t>
      </w:r>
      <w:bookmarkEnd w:id="170"/>
      <w:r>
        <w:rPr>
          <w:rFonts w:ascii="Times New Roman" w:hAnsi="Times New Roman" w:eastAsia="宋体"/>
          <w:sz w:val="21"/>
        </w:rPr>
        <w:t xml:space="preserve"> 黄土高原不同农业生态系统N₂O排放对施氮量的响应及排放差异</w:t>
      </w:r>
      <w:r>
        <w:rPr>
          <w:rFonts w:ascii="Times New Roman" w:hAnsi="Times New Roman" w:eastAsia="宋体"/>
          <w:sz w:val="21"/>
        </w:rPr>
        <w:t>Fig. 3-3 Responses of N₂O emissions to nitrogen application rate and emission differences among agricultural ecosystems on the Loess Plateau</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jc w:val="center"/>
      </w:pPr>
      <w:bookmarkStart w:id="171" w:name="Fig_3_4"/>
      <w:r>
        <w:rPr>
          <w:rFonts w:ascii="Times New Roman" w:hAnsi="Times New Roman" w:eastAsia="宋体"/>
          <w:sz w:val="21"/>
        </w:rPr>
        <w:t>图 3-4</w:t>
      </w:r>
      <w:bookmarkEnd w:id="171"/>
      <w:r>
        <w:rPr>
          <w:rFonts w:ascii="Times New Roman" w:hAnsi="Times New Roman" w:eastAsia="宋体"/>
          <w:sz w:val="21"/>
        </w:rPr>
        <w:t xml:space="preserve"> 黄土高原不同农业生态系统直接排放因子和产量尺度排放比较</w:t>
      </w:r>
      <w:r>
        <w:rPr>
          <w:rFonts w:ascii="Times New Roman" w:hAnsi="Times New Roman" w:eastAsia="宋体"/>
          <w:sz w:val="21"/>
        </w:rPr>
        <w:t>Fig. 3-4 Comparison of direct emission factors and yield-scaled N₂O emissions among agricultural ecosystems on the Loess Plateau</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jc w:val="center"/>
        <w:rPr>
          <w:lang w:val="en"/>
        </w:rPr>
      </w:pPr>
      <w:bookmarkStart w:id="172" w:name="Fig_3_5"/>
      <w:r>
        <w:rPr>
          <w:rFonts w:ascii="Times New Roman" w:hAnsi="Times New Roman" w:eastAsia="宋体"/>
          <w:sz w:val="21"/>
        </w:rPr>
        <w:t>图 3-5</w:t>
      </w:r>
      <w:bookmarkEnd w:id="172"/>
      <w:r>
        <w:rPr>
          <w:rFonts w:ascii="Times New Roman" w:hAnsi="Times New Roman" w:eastAsia="宋体"/>
          <w:sz w:val="21"/>
        </w:rPr>
        <w:t xml:space="preserve"> 农作管理措施对 N₂O 排放、作物产量、产量尺度排放和直接排放因子的影响</w:t>
      </w:r>
      <w:r>
        <w:rPr>
          <w:rFonts w:ascii="Times New Roman" w:hAnsi="Times New Roman" w:eastAsia="宋体"/>
          <w:sz w:val="21"/>
        </w:rPr>
        <w:t>Fig. 3-5 Effects of crop management practices on N₂O emissions, crop yield, yield-scaled N₂O emissions, and direct emission factors</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jc w:val="center"/>
      </w:pPr>
      <w:bookmarkStart w:id="173" w:name="Fig_3_6"/>
      <w:r>
        <w:rPr>
          <w:rFonts w:ascii="Times New Roman" w:hAnsi="Times New Roman" w:eastAsia="宋体"/>
          <w:sz w:val="21"/>
        </w:rPr>
        <w:t>图 3-6</w:t>
      </w:r>
      <w:bookmarkEnd w:id="173"/>
      <w:r>
        <w:rPr>
          <w:rFonts w:ascii="Times New Roman" w:hAnsi="Times New Roman" w:eastAsia="宋体"/>
          <w:sz w:val="21"/>
        </w:rPr>
        <w:t xml:space="preserve"> 减量施氮对 N₂O 排放、作物产量、产量尺度排放和直接排放因子的影响</w:t>
      </w:r>
      <w:r>
        <w:rPr>
          <w:rFonts w:ascii="Times New Roman" w:hAnsi="Times New Roman" w:eastAsia="宋体"/>
          <w:sz w:val="21"/>
        </w:rPr>
        <w:t>Fig. 3-6 Effects of reduced nitrogen application on N₂O emissions, crop yield, yield-scaled N₂O emissions, and direct emission factors</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jc w:val="center"/>
        <w:rPr>
          <w:lang w:val="en"/>
        </w:rPr>
      </w:pPr>
      <w:bookmarkStart w:id="174" w:name="Table_4_1"/>
      <w:r>
        <w:rPr>
          <w:rFonts w:ascii="Times New Roman" w:hAnsi="Times New Roman" w:eastAsia="宋体"/>
          <w:sz w:val="21"/>
        </w:rPr>
        <w:t>表 4-1</w:t>
      </w:r>
      <w:bookmarkEnd w:id="174"/>
      <w:r>
        <w:rPr>
          <w:rFonts w:ascii="Times New Roman" w:hAnsi="Times New Roman" w:eastAsia="宋体"/>
          <w:sz w:val="21"/>
        </w:rPr>
        <w:t xml:space="preserve"> 黄土高原与其他区域农业土壤 N₂O 排放、产量和产量尺度排放比较</w:t>
      </w:r>
      <w:r>
        <w:rPr>
          <w:rFonts w:ascii="Times New Roman" w:hAnsi="Times New Roman" w:eastAsia="宋体"/>
          <w:sz w:val="21"/>
        </w:rP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jc w:val="center"/>
      </w:pPr>
      <w:r>
        <w:rPr>
          <w:rFonts w:ascii="Times New Roman" w:hAnsi="Times New Roman" w:eastAsia="宋体"/>
          <w:sz w:val="21"/>
        </w:rPr>
        <w:t>表 4-1</w:t>
      </w:r>
      <w:r>
        <w:rPr>
          <w:rFonts w:ascii="Times New Roman" w:hAnsi="Times New Roman" w:eastAsia="宋体"/>
          <w:sz w:val="21"/>
        </w:rPr>
        <w:t>（续） 黄土高原与其他区域农业土壤 N₂O 排放、产量和产量尺度排放比较</w:t>
      </w:r>
      <w:r>
        <w:rPr>
          <w:rFonts w:ascii="Times New Roman" w:hAnsi="Times New Roman" w:eastAsia="宋体"/>
          <w:sz w:val="21"/>
        </w:rPr>
        <w:t>Table 4-1 (continued)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本研究基于已有田间观测文献，对黄土高原农业土壤 N₂O 排放特征及不同管理措施的效应进行了综合分析。总体来看，现有数据已经能够支持本研究对区域排放水平、作物体系差异和主要农作措施效应的基本判断，但由于本研究依赖公开发表文献，仍不可避免地受到原始数据数量、研究设计差异和区域观测覆盖不足等因素的限制。</w:t>
      </w:r>
    </w:p>
    <w:p w14:paraId="50447AA2" w14:textId="77777777" w:rsidR="00842031" w:rsidRDefault="00000000">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 N₂O 排放量明显高于粮食作物体系，但果园排放受树龄、施肥量、灌溉方式、气候年份和果园管理强度影响较大，未来仍需要更多长期定位观测来验证这一结论。</w:t>
      </w:r>
    </w:p>
    <w:p w14:paraId="50447AA2" w14:textId="77777777" w:rsidR="00842031" w:rsidRDefault="00000000">
      <w:pPr>
        <w:pStyle w:val="afffe"/>
        <w:ind w:firstLine="480"/>
      </w:pPr>
      <w:r>
        <w:t>其次，N₂O 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50447AA2" w14:textId="77777777" w:rsidR="00842031" w:rsidRDefault="00000000">
      <w:pPr>
        <w:pStyle w:val="afffe"/>
        <w:ind w:firstLine="480"/>
      </w:pPr>
      <w:r>
        <w:t>再次，本研究主要围绕 N₂O 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因此，某一措施是否适合大范围推广，不能只依据 N₂O 减排效果判断，还需要结合土壤质量、农户投入成本、作物收益和其他环境风险进行综合评估。</w:t>
      </w:r>
    </w:p>
    <w:p w14:paraId="50447AA2" w14:textId="77777777" w:rsidR="00842031" w:rsidRDefault="00000000">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其四，可将 Meta 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p>
      <w:pPr>
        <w:pStyle w:val="afff1"/>
        <w:jc w:val="center"/>
      </w:pPr>
      <w:r>
        <w:rPr>
          <w:rFonts w:ascii="Times New Roman" w:hAnsi="Times New Roman" w:eastAsia="宋体"/>
          <w:sz w:val="21"/>
        </w:rPr>
        <w:t>表 A.1 Meta分析有效效应量和独立文献数汇总</w:t>
        <w:br/>
      </w:r>
      <w:r>
        <w:rPr>
          <w:rFonts w:ascii="Times New Roman" w:hAnsi="Times New Roman" w:eastAsia="宋体"/>
          <w:sz w:val="21"/>
        </w:rP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r>
              <w:t>图号</w:t>
            </w:r>
          </w:p>
        </w:tc>
        <w:tc>
          <w:tcPr>
            <w:tcW w:w="1955" w:type="dxa"/>
            <w:tcBorders>
              <w:top w:val="single" w:sz="12" w:space="0" w:color="auto"/>
              <w:bottom w:val="single" w:sz="4" w:space="0" w:color="auto"/>
            </w:tcBorders>
            <w:vAlign w:val="center"/>
            <w:hideMark/>
          </w:tcPr>
          <w:p>
            <w:r>
              <w:t>类别</w:t>
            </w:r>
          </w:p>
        </w:tc>
        <w:tc>
          <w:tcPr>
            <w:tcW w:w="2060" w:type="dxa"/>
            <w:tcBorders>
              <w:top w:val="single" w:sz="12" w:space="0" w:color="auto"/>
              <w:bottom w:val="single" w:sz="4" w:space="0" w:color="auto"/>
            </w:tcBorders>
            <w:vAlign w:val="center"/>
            <w:hideMark/>
          </w:tcPr>
          <w:p>
            <w:r>
              <w:t>N₂O有效效应量 k</w:t>
            </w:r>
          </w:p>
        </w:tc>
        <w:tc>
          <w:tcPr>
            <w:tcW w:w="2238" w:type="dxa"/>
            <w:tcBorders>
              <w:top w:val="single" w:sz="12" w:space="0" w:color="auto"/>
              <w:bottom w:val="single" w:sz="4" w:space="0" w:color="auto"/>
            </w:tcBorders>
            <w:vAlign w:val="center"/>
            <w:hideMark/>
          </w:tcPr>
          <w:p>
            <w:r>
              <w:t>产量有效效应量 k</w:t>
            </w:r>
          </w:p>
        </w:tc>
        <w:tc>
          <w:tcPr>
            <w:tcW w:w="1089" w:type="dxa"/>
            <w:tcBorders>
              <w:top w:val="single" w:sz="12" w:space="0" w:color="auto"/>
              <w:bottom w:val="single" w:sz="4" w:space="0" w:color="auto"/>
            </w:tcBorders>
            <w:vAlign w:val="center"/>
            <w:hideMark/>
          </w:tcPr>
          <w:p>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footerReference w:type="even" r:id="rId70"/>
          <w:headerReference w:type="default" r:id="rId80"/>
          <w:headerReference w:type="even" r:id="rId81"/>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50447AA2" w14:textId="77777777" w:rsidR="00842031" w:rsidRDefault="00000000">
      <w:pPr>
        <w:pStyle w:val="afffe"/>
        <w:ind w:firstLine="480"/>
      </w:pPr>
      <w:r>
        <w:t>论文的最后一页,常常是写作者最为踟蹰之处。所有可量化的工作至此告一段落,留下的,是那些无法以数据呈现、却贯穿了整个研究过程的人与时光。谨借此一隅,向曾给予我帮助的师长、同窗与亲人,致以最诚挚的谢意。</w:t>
      </w:r>
    </w:p>
    <w:p w14:paraId="50447AA2" w14:textId="77777777" w:rsidR="00842031" w:rsidRDefault="00000000">
      <w:pPr>
        <w:pStyle w:val="afffe"/>
        <w:ind w:firstLine="480"/>
      </w:pPr>
      <w:r>
        <w:t>谨向我的指导教师顾江新副教授致以最深的敬意与谢忱。本研究以顾老师所赐的英文手稿为发端,自研究框架的搭建、数据库的构筑,至 Meta 分析路径的逐步铺展,无不蒙其指点。顾老师治学之审慎、修文之严谨,常使我在每一处不确定面前多一份克制,在每一次结论落笔之前多一分自省。能够在他门下完成这项以区域尺度数据整合为主线的研究,是本科阶段我所能想到的最为珍贵的一份学术馈赠。</w:t>
      </w:r>
    </w:p>
    <w:p w14:paraId="50447AA2" w14:textId="77777777" w:rsidR="00842031" w:rsidRDefault="00000000">
      <w:pPr>
        <w:pStyle w:val="afffe"/>
        <w:ind w:firstLine="480"/>
      </w:pPr>
      <w:r>
        <w:t>感谢 Prof. Kenneth Smith 与 Prof. Daniel Tang 两位老师。两位先生在课堂之外,以慷慨而持续的方式给予了我学术方向上的引领与人生路径上的建议。许多对我而言至关重要的选择——无论是科研方向、跨学科的尝试,还是对未来求学之路的判断——都得益于他们在恰当时刻给出的那些清晰而坦诚的指点。两位老师所示范的,不仅是各自的学术成就,更是一种持久而温和的、对学生的真正在意。</w:t>
      </w:r>
    </w:p>
    <w:p w14:paraId="50447AA2" w14:textId="77777777" w:rsidR="00842031" w:rsidRDefault="00000000">
      <w:pPr>
        <w:pStyle w:val="afffe"/>
        <w:ind w:firstLine="480"/>
      </w:pPr>
      <w:r>
        <w:t>也要特别感谢李思杭师姐。本科阶段,我有幸在师姐的实验室中度过了一段较为完整的科研训练时光——从最基本的实验操作、数据记录,到一项课题如何被组织、推进与收束,我对科研工作最早的、也是最具体的理解,都是在那段时日里慢慢建立起来的。后来这段工作以一篇论文的形式发表,执笔与主导皆出自师姐之手,我能列名其中,实属师姐对一名初学者最大的慷慨。那段扎实而具体的训练,在彼时尚不能完全体会其分量,如今回望,才知其影响延续至今。</w:t>
      </w:r>
    </w:p>
    <w:p w14:paraId="50447AA2" w14:textId="77777777" w:rsidR="00842031" w:rsidRDefault="00000000">
      <w:pPr>
        <w:pStyle w:val="afffe"/>
        <w:ind w:firstLine="480"/>
      </w:pPr>
      <w:r>
        <w:t>本研究之得以成形,亦离不开西北农林科技大学与亚利桑那大学两所母校的长期培育。两校在旱作农业、土壤学、环境化学与统计方法诸课程上的扎实训练,为本研究奠定了必要的知识基础;而两校共建的双学位项目所提供的跨学术体系训练,更使我得以在两种传统的并置中,反复审视脚下的这片黄土。同样不可忽视的是,正是这一平台,先后将我送往阿尔伯塔大学开展夏季研究,以及代尔夫特联合国教科文组织水教育学院(UNESCO-IHE Delft)完成毕业实习——若无两校在课程、项目与机会上的共同托举,本科阶段许多至关重要的尝试都将无从发生。</w:t>
      </w:r>
    </w:p>
    <w:p w14:paraId="50447AA2" w14:textId="77777777" w:rsidR="00842031" w:rsidRDefault="00000000">
      <w:pPr>
        <w:pStyle w:val="afffe"/>
        <w:ind w:firstLine="480"/>
      </w:pPr>
      <w:r>
        <w:t>感谢一路同行的同窗与友人。Meta 分析虽以个人为主要工作单位,但每一次为可疑的数据点反复溯源于原文、为模型设定与效应量估计反复推敲,都让我明白:孤灯之下,并不意味孤身一人。</w:t>
      </w:r>
    </w:p>
    <w:p w14:paraId="50447AA2" w14:textId="77777777" w:rsidR="00842031" w:rsidRDefault="00000000">
      <w:pPr>
        <w:pStyle w:val="afffe"/>
        <w:ind w:firstLine="480"/>
      </w:pPr>
      <w:r>
        <w:t>2025 年的夏天,我有幸在阿尔伯塔的草原与天空之下度过。那段时日里,真正令我难以忘怀的,并非某一项实验或某一组数据,而是同行的一群优秀同龄人。他们在科研姿态、学术视野与思考方式上所呈现出的成熟与从容,如一面静静伫立的镜子,使我重新打量自己长久以来习以为常的尺度。这段经历虽未直接进入本文的研究主题,却在更深的层面上,改变了我此后理解学术工作的方式。</w:t>
      </w:r>
    </w:p>
    <w:p w14:paraId="50447AA2" w14:textId="77777777" w:rsidR="00842031" w:rsidRDefault="00000000">
      <w:pPr>
        <w:pStyle w:val="afffe"/>
        <w:ind w:firstLine="480"/>
      </w:pPr>
      <w:r>
        <w:t>最后,要将这份谢意郑重地交予我的家人。从安庆到杨凌,从国内到国外,他们始终给予我充分的尊重与耐心。我自幼成长于长江岸边那座工业城市,那些自儿时便已熟悉的烟囱、河水与气味,在某种意义上构成了我对环境问题最初的、也是最真实的认识——而家人对这种好奇心始终如一的包容,使它得以保留至今,直至化为本论文的一部分。</w:t>
      </w:r>
    </w:p>
    <w:p w14:paraId="50447AA2" w14:textId="77777777" w:rsidR="00842031" w:rsidRDefault="00000000">
      <w:pPr>
        <w:pStyle w:val="afffe"/>
        <w:ind w:firstLine="480"/>
      </w:pPr>
      <w:r>
        <w:t>回望本科四年,我所学到的最重要的一件事,或许并非任何一项具体的结论,而是一种逐渐清晰的认识——环境问题所真正需要的工具,常常并不诞生于环境学科之内。本论文所采用的 Meta 分析,某种意义上已是一例;而在更广阔的尺度上,数据、模型与计算的语言,正日益成为理解环境议题所不可或缺的一部分。我接下来要去学习的,正是那些我所尚未熟悉的工具;而我所期望的,是有朝一日能带着它们,重新回到这片土地与这片天空之上,回到本论文所关心的那些尚未回答的问题之中。</w:t>
      </w:r>
    </w:p>
    <w:p w14:paraId="50447AA2" w14:textId="77777777" w:rsidR="00842031" w:rsidRDefault="00000000">
      <w:pPr>
        <w:pStyle w:val="afffe"/>
        <w:ind w:firstLine="480"/>
      </w:pPr>
      <w:r>
        <w:t>论文写至此处,N₂O 的故事远未结束,黄土高原的氮素循环亦不会因一篇本科论文的封笔而沉默。谨以本文作为本科阶段的一份阶段性记录,亦作为下一段路程的一处起点。</w:t>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jc w:val="center"/>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jc w:val="center"/>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80" Type="http://schemas.openxmlformats.org/officeDocument/2006/relationships/header" Target="header30.xml"/><Relationship Id="rId81" Type="http://schemas.openxmlformats.org/officeDocument/2006/relationships/header" Target="header3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